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④ DPP 年度托管服务产品手册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持续合规 · 法规跟踪 · 应急支持</w:t>
      </w:r>
    </w:p>
    <w:p>
      <w:pPr>
        <w:pStyle w:val="Heading1"/>
      </w:pPr>
      <w:r>
        <w:t xml:space="preserve">一、服务概述</w:t>
      </w:r>
    </w:p>
    <w:p>
      <w:pPr>
        <w:spacing w:after="120"/>
      </w:pPr>
      <w:r>
        <w:t xml:space="preserve">电池护照上线并非终点，而是持续合规的起点。年度托管服务为客户提供法规跟踪、数据维护和应急支持三大核心服务，确保电池护照在后续运营中始终符合最新法规要求。</w:t>
      </w:r>
    </w:p>
    <w:p>
      <w:pPr>
        <w:pStyle w:val="Heading1"/>
      </w:pPr>
      <w:r>
        <w:t xml:space="preserve">二、三大核心服务</w:t>
      </w:r>
    </w:p>
    <w:p>
      <w:pPr>
        <w:pStyle w:val="Heading2"/>
      </w:pPr>
      <w:r>
        <w:t xml:space="preserve">2.1 数据维护</w:t>
      </w:r>
    </w:p>
    <w:p>
      <w:pPr>
        <w:spacing w:after="80"/>
      </w:pPr>
      <w:r>
        <w:t xml:space="preserve">定期更新动态数据（如健康状态、循环次数）、检查数据完整性、处理数据变更。</w:t>
      </w:r>
    </w:p>
    <w:p>
      <w:pPr>
        <w:pStyle w:val="Heading2"/>
      </w:pPr>
      <w:r>
        <w:t xml:space="preserve">2.2 法规跟踪</w:t>
      </w:r>
    </w:p>
    <w:p>
      <w:pPr>
        <w:spacing w:after="80"/>
      </w:pPr>
      <w:r>
        <w:t xml:space="preserve">每日扫描法规变化，季度出简报，重大变更即时通知。确保客户始终合规。</w:t>
      </w:r>
    </w:p>
    <w:p>
      <w:pPr>
        <w:pStyle w:val="Heading2"/>
      </w:pPr>
      <w:r>
        <w:t xml:space="preserve">2.3 应急支持</w:t>
      </w:r>
    </w:p>
    <w:p>
      <w:pPr>
        <w:spacing w:after="120"/>
      </w:pPr>
      <w:r>
        <w:t xml:space="preserve">监管查验时1小时响应，协助准备材料、撰写回复。全程陪同应对。</w:t>
      </w:r>
    </w:p>
    <w:p>
      <w:pPr>
        <w:pStyle w:val="Heading1"/>
      </w:pPr>
      <w:r>
        <w:t xml:space="preserve">三、三档定价</w:t>
      </w:r>
    </w:p>
    <w:tbl>
      <w:tblPr>
        <w:tblW w:type="dxa" w:w="9026"/>
        <w:tblBorders>
          <w:top w:val="single" w:color="000000" w:sz="8"/>
          <w:left w:val="none"/>
          <w:bottom w:val="single" w:color="000000" w:sz="8"/>
          <w:right w:val="none"/>
          <w:insideH w:val="single" w:color="000000" w:sz="4"/>
          <w:insideV w:val="none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513"/>
        <w:gridCol w:w="3513"/>
      </w:tblGrid>
      <w:tr>
        <w:trPr>
          <w:cantSplit/>
          <w:tblHeader/>
        </w:trPr>
        <w:tc>
          <w:tcPr>
            <w:tcW w:type="dxa" w:w="2000"/>
            <w:tcBorders>
              <w:bottom w:val="single" w:color="000000" w:sz="6"/>
            </w:tcBorders>
          </w:tcPr>
          <w:p>
            <w:r>
              <w:rPr>
                <w:b/>
                <w:bCs/>
              </w:rPr>
              <w:t xml:space="preserve">档位</w:t>
            </w:r>
          </w:p>
        </w:tc>
        <w:tc>
          <w:tcPr>
            <w:tcW w:type="dxa" w:w="3513"/>
            <w:tcBorders>
              <w:bottom w:val="single" w:color="000000" w:sz="6"/>
            </w:tcBorders>
          </w:tcPr>
          <w:p>
            <w:r>
              <w:rPr>
                <w:b/>
                <w:bCs/>
              </w:rPr>
              <w:t xml:space="preserve">定价</w:t>
            </w:r>
          </w:p>
        </w:tc>
        <w:tc>
          <w:tcPr>
            <w:tcW w:type="dxa" w:w="3513"/>
            <w:tcBorders>
              <w:bottom w:val="single" w:color="000000" w:sz="6"/>
            </w:tcBorders>
          </w:tcPr>
          <w:p>
            <w:r>
              <w:rPr>
                <w:b/>
                <w:bCs/>
              </w:rPr>
              <w:t xml:space="preserve">服务内容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t xml:space="preserve">基础版</w:t>
            </w:r>
          </w:p>
        </w:tc>
        <w:tc>
          <w:tcPr>
            <w:tcW w:type="dxa" w:w="3513"/>
          </w:tcPr>
          <w:p>
            <w:r>
              <w:t xml:space="preserve">¥80,000–200,000/年</w:t>
            </w:r>
          </w:p>
        </w:tc>
        <w:tc>
          <w:tcPr>
            <w:tcW w:type="dxa" w:w="3513"/>
          </w:tcPr>
          <w:p>
            <w:r>
              <w:t xml:space="preserve">半年更新+简报，邮件响应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  <w:bCs/>
              </w:rPr>
              <w:t xml:space="preserve">标准版</w:t>
            </w:r>
          </w:p>
        </w:tc>
        <w:tc>
          <w:tcPr>
            <w:tcW w:type="dxa" w:w="3513"/>
          </w:tcPr>
          <w:p>
            <w:r>
              <w:rPr>
                <w:b/>
                <w:bCs/>
              </w:rPr>
              <w:t xml:space="preserve">¥200,000–350,000/年</w:t>
            </w:r>
          </w:p>
        </w:tc>
        <w:tc>
          <w:tcPr>
            <w:tcW w:type="dxa" w:w="3513"/>
          </w:tcPr>
          <w:p>
            <w:r>
              <w:t xml:space="preserve">季度更新+工作日响应，即时通知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t xml:space="preserve">旗舰版</w:t>
            </w:r>
          </w:p>
        </w:tc>
        <w:tc>
          <w:tcPr>
            <w:tcW w:type="dxa" w:w="3513"/>
          </w:tcPr>
          <w:p>
            <w:r>
              <w:t xml:space="preserve">¥500,000+/年</w:t>
            </w:r>
          </w:p>
        </w:tc>
        <w:tc>
          <w:tcPr>
            <w:tcW w:type="dxa" w:w="3513"/>
          </w:tcPr>
          <w:p>
            <w:r>
              <w:t xml:space="preserve">月度更新+随时响应，专属客户经理</w:t>
            </w:r>
          </w:p>
        </w:tc>
      </w:tr>
    </w:tbl>
    <w:p>
      <w:pPr>
        <w:pStyle w:val="Heading1"/>
        <w:spacing w:before="240"/>
      </w:pPr>
      <w:r>
        <w:t xml:space="preserve">四、核心时间节点</w:t>
      </w:r>
    </w:p>
    <w:p>
      <w:pPr>
        <w:spacing w:after="80"/>
      </w:pPr>
      <w:r>
        <w:rPr>
          <w:b/>
          <w:bCs/>
        </w:rPr>
        <w:t xml:space="preserve">2027年8月18日：</w:t>
      </w:r>
      <w:r>
        <w:t xml:space="preserve">碳足迹声明要求生效</w:t>
      </w:r>
    </w:p>
    <w:p>
      <w:pPr>
        <w:spacing w:after="80"/>
      </w:pPr>
      <w:r>
        <w:rPr>
          <w:b/>
          <w:bCs/>
        </w:rPr>
        <w:t xml:space="preserve">2031年1月1日：</w:t>
      </w:r>
      <w:r>
        <w:t xml:space="preserve">再生材料含量最低目标（第一阶段）</w:t>
      </w:r>
    </w:p>
    <w:p>
      <w:pPr>
        <w:spacing w:after="120"/>
      </w:pPr>
      <w:r>
        <w:rPr>
          <w:b/>
          <w:bCs/>
        </w:rPr>
        <w:t xml:space="preserve">2035年：</w:t>
      </w:r>
      <w:r>
        <w:t xml:space="preserve">再生材料含量最低目标（第二阶段）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页，共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④ 年度托管服务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120"/>
      <w:jc w:val="center"/>
    </w:pPr>
    <w:rPr>
      <w:rFonts w:ascii="Times New Roman" w:cs="Times New Roman" w:eastAsia="宋体" w:hAnsi="Times New Roman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/>
      <w:outlineLvl w:val="0"/>
    </w:pPr>
    <w:rPr>
      <w:rFonts w:ascii="Times New Roman" w:cs="Times New Roman" w:eastAsia="宋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180"/>
      <w:outlineLvl w:val="1"/>
    </w:pPr>
    <w:rPr>
      <w:rFonts w:ascii="Times New Roman" w:cs="Times New Roman" w:eastAsia="宋体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40"/>
      <w:outlineLvl w:val="2"/>
    </w:pPr>
    <w:rPr>
      <w:rFonts w:ascii="Times New Roman" w:cs="Times New Roman" w:eastAsia="宋体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2026-09-29T01:24:10.677Z</dcterms:created>
  <dcterms:modified xsi:type="dcterms:W3CDTF">2026-09-29T01:24:10.677Z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