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DPP 业务线员工手册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内部培训 · 销售指南 · 服务规范</w:t>
      </w:r>
    </w:p>
    <w:p>
      <w:pPr>
        <w:pStyle w:val="Heading1"/>
      </w:pPr>
      <w:r>
        <w:t xml:space="preserve">一、业务概述</w:t>
      </w:r>
    </w:p>
    <w:p>
      <w:pPr>
        <w:spacing w:after="120"/>
      </w:pPr>
      <w:r>
        <w:t xml:space="preserve">DPP（数字产品护照）是欧盟电池法规 (EU) 2023/1542 的核心要求。2027年8月18日起，所有进入欧盟市场的电池必须携带电池护照，包含 71 个数据点（Annex XIII）。我们的业务就是帮助电池企业完成这一合规要求。</w:t>
      </w:r>
    </w:p>
    <w:p>
      <w:pPr>
        <w:pStyle w:val="Heading1"/>
      </w:pPr>
      <w:r>
        <w:t xml:space="preserve">二、四阶段服务体系</w:t>
      </w:r>
    </w:p>
    <w:p>
      <w:pPr>
        <w:pStyle w:val="Heading2"/>
      </w:pPr>
      <w:r>
        <w:t xml:space="preserve">① 差距评估</w:t>
      </w:r>
    </w:p>
    <w:p>
      <w:pPr>
        <w:spacing w:after="80"/>
      </w:pPr>
      <w:r>
        <w:t xml:space="preserve">全面诊断企业现状与法规要求的差距，出具整改优先级路线图。</w:t>
      </w:r>
    </w:p>
    <w:p>
      <w:pPr>
        <w:spacing w:after="80"/>
      </w:pPr>
      <w:r>
        <w:rPr>
          <w:b/>
          <w:bCs/>
        </w:rPr>
        <w:t xml:space="preserve">定价：</w:t>
      </w:r>
      <w:r>
        <w:t xml:space="preserve">基础版 ¥80,000–150,000 / 标准版 ¥200,000–350,000 / 旗舰版 ¥500,000–800,000</w:t>
      </w:r>
    </w:p>
    <w:p>
      <w:pPr>
        <w:pStyle w:val="Heading2"/>
      </w:pPr>
      <w:r>
        <w:t xml:space="preserve">② 数据建设</w:t>
      </w:r>
    </w:p>
    <w:p>
      <w:pPr>
        <w:spacing w:after="80"/>
      </w:pPr>
      <w:r>
        <w:t xml:space="preserve">协助建立 71 个数据点的采集、验证和提交体系。</w:t>
      </w:r>
    </w:p>
    <w:p>
      <w:pPr>
        <w:spacing w:after="80"/>
      </w:pPr>
      <w:r>
        <w:rPr>
          <w:b/>
          <w:bCs/>
        </w:rPr>
        <w:t xml:space="preserve">定价：</w:t>
      </w:r>
      <w:r>
        <w:t xml:space="preserve">标准版 ¥200,000–300,000 / 旗舰版 ¥300,000–450,000</w:t>
      </w:r>
    </w:p>
    <w:p>
      <w:pPr>
        <w:pStyle w:val="Heading2"/>
      </w:pPr>
      <w:r>
        <w:t xml:space="preserve">③ 注册上线</w:t>
      </w:r>
    </w:p>
    <w:p>
      <w:pPr>
        <w:spacing w:after="80"/>
      </w:pPr>
      <w:r>
        <w:t xml:space="preserve">完成电池护照注册、审核和正式发布。</w:t>
      </w:r>
    </w:p>
    <w:p>
      <w:pPr>
        <w:spacing w:after="80"/>
      </w:pPr>
      <w:r>
        <w:rPr>
          <w:b/>
          <w:bCs/>
        </w:rPr>
        <w:t xml:space="preserve">定价：</w:t>
      </w:r>
      <w:r>
        <w:t xml:space="preserve">标准版 ¥300,000–450,000 / 旗舰版 ¥450,000–600,000 + 第三方费用 €6,500–21,000</w:t>
      </w:r>
    </w:p>
    <w:p>
      <w:pPr>
        <w:pStyle w:val="Heading2"/>
      </w:pPr>
      <w:r>
        <w:t xml:space="preserve">④ 年度托管</w:t>
      </w:r>
    </w:p>
    <w:p>
      <w:pPr>
        <w:spacing w:after="80"/>
      </w:pPr>
      <w:r>
        <w:t xml:space="preserve">法规跟踪、数据维护和应急支持，确保持续合规。</w:t>
      </w:r>
    </w:p>
    <w:p>
      <w:pPr>
        <w:spacing w:after="120"/>
      </w:pPr>
      <w:r>
        <w:rPr>
          <w:b/>
          <w:bCs/>
        </w:rPr>
        <w:t xml:space="preserve">定价：</w:t>
      </w:r>
      <w:r>
        <w:t xml:space="preserve">基础版 ¥80,000–200,000/年 / 标准版 ¥200,000–350,000/年 / 旗舰版 ¥500,000+/年</w:t>
      </w:r>
    </w:p>
    <w:p>
      <w:pPr>
        <w:pStyle w:val="Heading1"/>
      </w:pPr>
      <w:r>
        <w:t xml:space="preserve">三、客户终身价值</w:t>
      </w:r>
    </w:p>
    <w:p>
      <w:pPr>
        <w:spacing w:after="120"/>
      </w:pPr>
      <w:r>
        <w:t xml:space="preserve">首年①+②+③+④旗舰版合计：</w:t>
      </w:r>
      <w:r>
        <w:rPr>
          <w:b/>
          <w:bCs/>
          <w:sz w:val="28"/>
          <w:szCs w:val="28"/>
        </w:rPr>
        <w:t xml:space="preserve">¥660,000 – 2,350,000+</w:t>
      </w:r>
    </w:p>
    <w:p>
      <w:pPr>
        <w:spacing w:after="120"/>
      </w:pPr>
      <w:r>
        <w:t xml:space="preserve">这说明每位客户的终身价值非常高，请珍惜每一次客户服务机会。</w:t>
      </w:r>
    </w:p>
    <w:p>
      <w:pPr>
        <w:pStyle w:val="Heading1"/>
      </w:pPr>
      <w:r>
        <w:t xml:space="preserve">四、核心时间节点</w:t>
      </w:r>
    </w:p>
    <w:p>
      <w:pPr>
        <w:spacing w:after="80"/>
      </w:pPr>
      <w:r>
        <w:rPr>
          <w:b/>
          <w:bCs/>
        </w:rPr>
        <w:t xml:space="preserve">2027年8月18日：</w:t>
      </w:r>
      <w:r>
        <w:t xml:space="preserve">电池护照 Art.77 强制实施</w:t>
      </w:r>
    </w:p>
    <w:p>
      <w:pPr>
        <w:spacing w:after="80"/>
      </w:pPr>
      <w:r>
        <w:rPr>
          <w:b/>
          <w:bCs/>
        </w:rPr>
        <w:t xml:space="preserve">2027年8月18日：</w:t>
      </w:r>
      <w:r>
        <w:t xml:space="preserve">碳足迹声明要求生效</w:t>
      </w:r>
    </w:p>
    <w:p>
      <w:pPr>
        <w:spacing w:after="120"/>
      </w:pPr>
      <w:r>
        <w:rPr>
          <w:b/>
          <w:bCs/>
        </w:rPr>
        <w:t xml:space="preserve">2031年1月1日：</w:t>
      </w:r>
      <w:r>
        <w:t xml:space="preserve">再生材料含量最低目标（第一阶段）</w:t>
      </w:r>
    </w:p>
    <w:p>
      <w:pPr>
        <w:pStyle w:val="Heading1"/>
      </w:pPr>
      <w:r>
        <w:t xml:space="preserve">五、服务规范</w:t>
      </w:r>
    </w:p>
    <w:p>
      <w:pPr>
        <w:spacing w:after="80"/>
      </w:pPr>
      <w:r>
        <w:t xml:space="preserve">• 响应时效：工作日内 4 小时响应客户需求</w:t>
      </w:r>
    </w:p>
    <w:p>
      <w:pPr>
        <w:spacing w:after="80"/>
      </w:pPr>
      <w:r>
        <w:t xml:space="preserve">• 保密义务：严格保护客户数据隐私和商业秘密</w:t>
      </w:r>
    </w:p>
    <w:p>
      <w:pPr>
        <w:spacing w:after="80"/>
      </w:pPr>
      <w:r>
        <w:t xml:space="preserve">• 专业标准：遵循欧盟法规要求，确保交付质量</w:t>
      </w:r>
    </w:p>
    <w:p>
      <w:pPr>
        <w:spacing w:after="120"/>
      </w:pPr>
      <w:r>
        <w:t xml:space="preserve">• 持续学习：跟进法规变化，保持专业竞争力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页，共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20"/>
        <w:szCs w:val="20"/>
      </w:rPr>
      <w:t xml:space="preserve">DPP业务线员工手册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120"/>
      <w:jc w:val="center"/>
    </w:pPr>
    <w:rPr>
      <w:rFonts w:ascii="Times New Roman" w:cs="Times New Roman" w:eastAsia="宋体" w:hAnsi="Times New Roman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40"/>
      <w:outlineLvl w:val="0"/>
    </w:pPr>
    <w:rPr>
      <w:rFonts w:ascii="Times New Roman" w:cs="Times New Roman" w:eastAsia="宋体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180"/>
      <w:outlineLvl w:val="1"/>
    </w:pPr>
    <w:rPr>
      <w:rFonts w:ascii="Times New Roman" w:cs="Times New Roman" w:eastAsia="宋体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40"/>
      <w:outlineLvl w:val="2"/>
    </w:pPr>
    <w:rPr>
      <w:rFonts w:ascii="Times New Roman" w:cs="Times New Roman" w:eastAsia="宋体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2026-09-29T01:26:59.847Z</dcterms:created>
  <dcterms:modified xsi:type="dcterms:W3CDTF">2026-09-29T01:26:59.848Z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