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2"/>
          <w:szCs w:val="22"/>
        </w:rPr>
        <w:t xml:space="preserve">◆ 欧盟电池法规 (EU) 2023/1542 ◆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40" w:before="2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DPP差距评估服务协议</w:t>
      </w:r>
    </w:p>
    <w:p>
      <w:pPr>
        <w:pBdr>
          <w:bottom w:val="single" w:color="2E7D32" w:sz="18" w:space="10"/>
        </w:pBdr>
        <w:spacing w:after="400" w:before="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100"/>
        <w:jc w:val="center"/>
      </w:pPr>
      <w:r>
        <w:rPr>
          <w:rFonts w:ascii="Times New Roman" w:cs="Times New Roman" w:eastAsia="宋体" w:hAnsi="Times New Roman"/>
          <w:color w:val="424242"/>
          <w:sz w:val="26"/>
          <w:szCs w:val="26"/>
        </w:rPr>
        <w:t xml:space="preserve">欧盟电池与废电池法规 (EU) 2023/1542 合规服务</w:t>
      </w:r>
    </w:p>
    <w:p>
      <w:pPr>
        <w:spacing w:after="600" w:before="2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71数据点核查 · 32项证据链核验 · 六维加权评级</w:t>
      </w:r>
    </w:p>
    <w:p>
      <w:pPr>
        <w:spacing w:after="5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283593"/>
          <w:sz w:val="24"/>
          <w:szCs w:val="24"/>
        </w:rPr>
        <w:t xml:space="preserve"> · DPP业务线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color w:val="616161"/>
          <w:sz w:val="22"/>
          <w:szCs w:val="22"/>
        </w:rPr>
        <w:t xml:space="preserve">2026年9月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协议双方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677"/>
        <w:gridCol w:w="2980"/>
        <w:gridCol w:w="1677"/>
        <w:gridCol w:w="2980"/>
      </w:tblGrid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甲方（委托方）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乙方（服务方）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北京咨询有限公司</w:t>
            </w:r>
          </w:p>
        </w:tc>
      </w:tr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北京市顺义区</w:t>
            </w:r>
          </w:p>
        </w:tc>
      </w:tr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联系人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联系人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400-XXX-XXXX</w:t>
            </w:r>
          </w:p>
        </w:tc>
      </w:tr>
      <w:tr>
        <w:trPr>
          <w:cantSplit/>
        </w:trPr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电子邮箱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电子邮箱</w:t>
            </w:r>
          </w:p>
        </w:tc>
        <w:tc>
          <w:tcPr>
            <w:tcW w:type="dxa" w:w="29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dpp@shouxincaishui.com</w:t>
            </w:r>
          </w:p>
        </w:tc>
      </w:tr>
    </w:tbl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甲乙双方本着平等自愿、诚实信用的原则，经友好协商，就甲方委托乙方提供DPP（数字电池护照）差距评估服务事宜，达成如下协议，以资共同遵守。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第一条 服务内容与范围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1.1 乙方依据欧盟电池与废电池法规 (EU) 2023/1542、相关授权法案及欧盟委员会电池护照数据点指南，为甲方提供DPP差距评估服务。服务内容包括：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71个法规数据点逐项核查：对照甲方实际产品线（电池类型、SKU、供应链结构），逐项映射法规条款，确认每项数据的强制适用、条件适用、不适用或暂不填报；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32项核心核查（六维度证据链核验）：覆盖基本合规与身份信息、技术文档与合格评定、碳足迹与环境声明、材料与供应链、性能与耐久性、数据系统与动态数据，每项核查均以书面证据为依据并登记证据索引；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差距分级：按红灯（阻塞项）、黄灯（风险项）、绿灯（达标项）三级对核查结果分类，并完成六维加权综合评级，量化甲方整体合规水位；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整改路线图：输出三阶段整改行动计划，列明整改动作、责任方、预估周期与依赖关系，作为甲方后续合规建设的执行基线。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1.2 乙方应向甲方交付以下五项成果文件：①《差距评估报告》（PDF + Word）；②《71项核查工作表》（Excel）；③《差距分级明细》；④《整改路线图》；⑤《关键日期速查卡》。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1.3 本服务属于合规诊断与咨询服务，不包含整改的实际执行（流程重建、系统开发、产线改造等）、第三方检测/认证及欧盟注册规费；上述事项的服务边界以乙方产品手册及本协议约定为准。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第二条 服务期限与交付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2.1 服务周期按甲方选定的服务档位确定：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基础版：5-8个工作日；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标准版：8-15个工作日；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旗舰版：15-20个工作日（现场汇报与整改工作坊时间另计）。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2.2 服务周期自本协议生效且甲方按《资料准备清单》提供基础资料之日起算。因甲方资料延迟、供应商数据回收延迟或不可抗力导致的周期顺延，乙方不承担延迟责任，但应及时书面通知甲方并共同协商调整计划。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2.3 交付方式：电子文件经双方约定的加密安全通道交付；旗舰版现场汇报、工作坊的具体时间和地点由双方另行商定。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第三条 服务费用与支付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3.1 本项目服务费按甲方选定档位执行，三档报价如下（含税）：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90"/>
        <w:gridCol w:w="3167"/>
        <w:gridCol w:w="2608"/>
        <w:gridCol w:w="2049"/>
      </w:tblGrid>
      <w:tr>
        <w:trPr>
          <w:cantSplit/>
          <w:tblHeader/>
          <w:trHeight w:val="420" w:hRule="atLeast"/>
        </w:trPr>
        <w:tc>
          <w:tcPr>
            <w:tcW w:type="dxa" w:w="149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服务档位</w:t>
            </w:r>
          </w:p>
        </w:tc>
        <w:tc>
          <w:tcPr>
            <w:tcW w:type="dxa" w:w="316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2608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服务价格（人民币）</w:t>
            </w:r>
          </w:p>
        </w:tc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交付周期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基础版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单一电池类型，SKU≤10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¥80,000-150,000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5-8个工作日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标准版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多电池类型，SKU≤30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¥200,000-350,000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8-15个工作日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旗舰版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不限电池类型与SKU数量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¥500,000-800,000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15-20个工作日</w:t>
            </w:r>
          </w:p>
        </w:tc>
      </w:tr>
    </w:tbl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3.2 付款方式：本协议签署后5个工作日内，甲方向乙方支付服务费用的50%作为启动预付款；乙方完成报告交付并经甲方验收后5个工作日内，甲方支付剩余50%。所有款项通过对公转账支付。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3.3 加急服务：甲方要求在标准周期基础上压缩交付时间的，加急费用在所选档位服务费基础上加收30%，具体可压缩幅度于签约前由双方确认。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3.4 差旅费用：现场服务（旗舰版汇报、工作坊等）所发生的交通、住宿等差旅费用，按实际发生额据实结算，不包含在服务费内。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3.5 第三方检测、认证、核验费用及欧盟境内注册规费、授权代表服务费等，由甲方与第三方直接结算，不包含在本协议服务费内；乙方可推荐机构并协助对接。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第四条 双方权利义务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4.1 甲方权利义务：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按《资料准备清单》及时、完整地提供评估所需资料、文件和系统演示条件，并对所提供资料的真实性、准确性、完整性负责；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指定一名具有跨部门协调权限的项目经理，组织各部门对接人参加访谈、按时反馈待确认事项；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按本协议约定及时支付服务费用；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在收到乙方交付物后5个工作日内完成验收并反馈书面意见，逾期未反馈且未提出书面异议的，视为验收通过；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依据评估结论自主作出合规决策，并承担最终决策责任。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4.2 乙方权利义务：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按照专业、勤勉的标准组织项目团队，依据约定的方法论和周期完成评估服务并交付成果文件；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指定项目经理作为甲方唯一接口人，按沟通机制召开例会、发送周报并及时响应甲方问询；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持续跟踪欧盟法规、授权法案与实施条例更新；标准版30天内、旗舰版90天内因补充资料或法规细则更新导致的结论变化，免费更新报告；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对服务过程中知悉的甲方商业秘密、技术信息承担保密义务；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有权按约定收取服务费用，对甲方不合理的资料范围外要求可协商另行收费。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第五条 保密条款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双方已签署或将于本协议签署同时另行签署《保密协议》（NDA），NDA对保密信息范围、保密期限、资料使用范围及违约责任的约定，适用于本协议项下全部服务过程；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本协议保密条款与NDA约定不一致的，以对保密信息保护更为严格的约定为准；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项目期内所有资料仅通过加密安全通道传递；项目结束后，乙方按约定返还、归档或销毁甲方资料，并保留必要的保密义务履行记录。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第六条 知识产权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甲方在付清全部服务费用后，享有本项目成果文件在其企业内部合规管理用途下的使用权；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乙方的评估方法论、核查清单、评级模型、模板、工具及通用框架的知识产权归乙方所有，甲方不得复制、改编、出售或提供给第三方用于同类服务；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乙方未经甲方书面同意，不得公开甲方名称、项目内容及评估结论；如需作为案例引用，应进行脱敏处理并事先取得甲方书面同意。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第七条 违约责任与免责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任何一方违反本协议约定，应赔偿守约方由此遭受的直接经济损失；乙方未按约定期限交付且非因甲方原因造成的，每延迟一个工作日，甲方有权扣减服务费用的1%作为违约金，累计不超过服务费用的10%；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甲方逾期支付服务费用的，每逾期一日按应付未付金额的万分之五向乙方支付违约金；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乙方服务性质为合规咨询，所出具的评估意见、差距判定与整改建议均基于甲方提供的资料、访谈陈述、系统演示及评估基准日有效的法规规则，不构成法律意见或法定认证结论；甲方的最终合规决策与合规责任由甲方自行承担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政策变动免责：评估期间或报告交付后，欧盟法规、授权法案、实施条例或成员国监管要求发生重大变化，导致评估结论需要调整的，在约定更新期内乙方免费更新报告；超出更新期的，双方另行协商，乙方不因此承担违约责任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第八条 争议解决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因本协议引起的或与本协议有关的任何争议，双方应首先友好协商解决；协商不成的，任何一方均有权提交北京仲裁委员会，按照申请仲裁时该会现行有效的仲裁规则进行仲裁。仲裁裁决为终局裁决，对双方均有约束力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第九条 其他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本协议自双方法定代表人或授权代表签字并加盖公章（或通过合规电子签约平台签署）之日起生效；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本协议未尽事宜，由双方另行协商并签订补充协议，补充协议与本协议具有同等法律效力；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本协议附件《报价单》与本协议具有同等法律效力；本协议正文与附件不一致的，以正文为准；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本协议一式两份，甲乙双方各执一份，具有同等法律效力。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签署页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（以下无正文，为双方签署栏）</w:t>
      </w:r>
    </w:p>
    <w:tbl>
      <w:tblPr>
        <w:tblW w:type="dxa" w:w="931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57"/>
        <w:gridCol w:w="4657"/>
      </w:tblGrid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甲方（盖章）：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乙方（盖章）：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授权代表签字：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授权代表签字：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签署日期：        年    月    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签署日期：        年    月    日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附件：DPP差距评估服务报价单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2422"/>
        <w:gridCol w:w="2608"/>
        <w:gridCol w:w="2235"/>
      </w:tblGrid>
      <w:tr>
        <w:trPr>
          <w:cantSplit/>
          <w:tblHeader/>
          <w:trHeight w:val="440" w:hRule="atLeast"/>
        </w:trPr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对比项目</w:t>
            </w:r>
          </w:p>
        </w:tc>
        <w:tc>
          <w:tcPr>
            <w:tcW w:type="dxa" w:w="242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基础版</w:t>
            </w:r>
          </w:p>
        </w:tc>
        <w:tc>
          <w:tcPr>
            <w:tcW w:type="dxa" w:w="2608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标准版 ★ 推荐</w:t>
            </w:r>
          </w:p>
        </w:tc>
        <w:tc>
          <w:tcPr>
            <w:tcW w:type="dxa" w:w="2235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旗舰版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适用客户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单一电池类型、SKU≤10，需快速建立合规基线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多电池类型、SKU≤30，需完整行动计划支撑立项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不限电池类型与SKU，需深度陪跑整改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服务价格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¥80,000-150,000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¥200,000-350,000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¥500,000-800,000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交付周期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5-8个工作日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8-15个工作日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15-20个工作日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评估报告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标准差距评估报告（PDF + Word）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完整差距评估报告 + 法规适配矩阵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完整报告 + 深度分析附件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汇报答疑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远程汇报1次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远程汇报2次 + 书面答疑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现场汇报 + 整改工作坊（半天）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免费更新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30天内免费更新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90天内免费更新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增值辅导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3个月整改辅导期，后续服务专属折扣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付款节奏：合同签署支付50%启动款，报告交付验收后支付剩余50%，对公转账；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加急服务：在标准周期基础上压缩交付时间的，加收30%费用；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差旅费用：现场服务差旅按实际发生额据实结算；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评估费抵扣：签约后续数据建设、注册上线、年度托管服务时，已支付评估费按约定比例抵扣；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本报价单有效期30日，第三方检测/认证费、欧盟注册规费及授权代表服务费不含在上述价格内。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96" w:bottom="1300" w:left="1296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宋体" w:hAnsi="Times New Roman"/>
        <w:color w:val="757575"/>
        <w:sz w:val="18"/>
        <w:szCs w:val="18"/>
      </w:rPr>
      <w:t xml:space="preserve">财税 · 机密文件　第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财税 · DPP业务线</w:t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   |    DPP差距评估工具箱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DPP差距评估服务协议</dc:title>
  <dc:creator>财税</dc:creator>
  <dc:description>DPP差距评估工具箱</dc:description>
  <cp:lastModifiedBy>Un-named</cp:lastModifiedBy>
  <cp:revision>1</cp:revision>
  <dcterms:created xsi:type="dcterms:W3CDTF">2026-09-26T01:54:27.180Z</dcterms:created>
  <dcterms:modified xsi:type="dcterms:W3CDTF">2026-09-26T01:54:27.181Z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