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rFonts w:ascii="Times New Roman" w:cs="Times New Roman" w:eastAsia="宋体" w:hAnsi="Times New Roman"/>
          <w:b/>
          <w:bCs/>
          <w:color w:val="1A237E"/>
          <w:sz w:val="52"/>
          <w:szCs w:val="52"/>
        </w:rPr>
        <w:t xml:space="preserve">DPP合规差距评估报告</w:t>
      </w:r>
    </w:p>
    <w:p>
      <w:pPr>
        <w:spacing w:after="900"/>
        <w:jc w:val="center"/>
      </w:pPr>
      <w:r>
        <w:rPr>
          <w:rFonts w:ascii="Times New Roman" w:cs="Times New Roman" w:eastAsia="宋体" w:hAnsi="Times New Roman"/>
          <w:b/>
          <w:bCs/>
          <w:color w:val="2E7D32"/>
          <w:sz w:val="28"/>
          <w:szCs w:val="28"/>
        </w:rPr>
        <w:t xml:space="preserve">欧盟电池护照（电池行业版）</w:t>
      </w:r>
    </w:p>
    <w:tbl>
      <w:tblPr>
        <w:tblW w:type="dxa" w:w="9026"/>
        <w:tblBorders>
          <w:top w:val="single" w:color="1A237E" w:sz="4"/>
          <w:left w:val="single" w:color="1A237E" w:sz="4"/>
          <w:bottom w:val="single" w:color="1A237E" w:sz="4"/>
          <w:right w:val="single" w:color="1A237E" w:sz="4"/>
          <w:insideH w:val="single" w:color="BFBFBF" w:sz="4"/>
          <w:insideV w:val="single" w:color="BFBFBF" w:sz="4"/>
        </w:tblBorders>
        <w:tblCellMar>
          <w:top w:type="dxa" w:w="80"/>
          <w:left w:type="dxa" w:w="140"/>
          <w:bottom w:type="dxa" w:w="80"/>
          <w:right w:type="dxa" w:w="140"/>
        </w:tblCellMar>
      </w:tblPr>
      <w:tblGrid>
        <w:gridCol w:w="2800"/>
        <w:gridCol w:w="6226"/>
      </w:tblGrid>
      <w:tr>
        <w:trPr>
          <w:cantSplit/>
        </w:trPr>
        <w:tc>
          <w:tcPr>
            <w:tcW w:type="dxa" w:w="2800"/>
            <w:shd w:fill="E8EAF6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1"/>
                <w:szCs w:val="21"/>
              </w:rPr>
              <w:t xml:space="preserve">客户名称</w:t>
            </w:r>
          </w:p>
        </w:tc>
        <w:tc>
          <w:tcPr>
            <w:tcW w:type="dxa" w:w="62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【客户公司全称】</w:t>
            </w:r>
          </w:p>
        </w:tc>
      </w:tr>
      <w:tr>
        <w:trPr>
          <w:cantSplit/>
        </w:trPr>
        <w:tc>
          <w:tcPr>
            <w:tcW w:type="dxa" w:w="2800"/>
            <w:shd w:fill="E8EAF6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1"/>
                <w:szCs w:val="21"/>
              </w:rPr>
              <w:t xml:space="preserve">报告编号</w:t>
            </w:r>
          </w:p>
        </w:tc>
        <w:tc>
          <w:tcPr>
            <w:tcW w:type="dxa" w:w="62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【DPP-EVAL-YYYY-001】</w:t>
            </w:r>
          </w:p>
        </w:tc>
      </w:tr>
      <w:tr>
        <w:trPr>
          <w:cantSplit/>
        </w:trPr>
        <w:tc>
          <w:tcPr>
            <w:tcW w:type="dxa" w:w="2800"/>
            <w:shd w:fill="E8EAF6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1"/>
                <w:szCs w:val="21"/>
              </w:rPr>
              <w:t xml:space="preserve">评估基准日</w:t>
            </w:r>
          </w:p>
        </w:tc>
        <w:tc>
          <w:tcPr>
            <w:tcW w:type="dxa" w:w="62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【YYYY年MM月DD日】</w:t>
            </w:r>
          </w:p>
        </w:tc>
      </w:tr>
      <w:tr>
        <w:trPr>
          <w:cantSplit/>
        </w:trPr>
        <w:tc>
          <w:tcPr>
            <w:tcW w:type="dxa" w:w="2800"/>
            <w:shd w:fill="E8EAF6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1"/>
                <w:szCs w:val="21"/>
              </w:rPr>
              <w:t xml:space="preserve">评估师</w:t>
            </w:r>
          </w:p>
        </w:tc>
        <w:tc>
          <w:tcPr>
            <w:tcW w:type="dxa" w:w="62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【姓名】</w:t>
            </w:r>
          </w:p>
        </w:tc>
      </w:tr>
      <w:tr>
        <w:trPr>
          <w:cantSplit/>
        </w:trPr>
        <w:tc>
          <w:tcPr>
            <w:tcW w:type="dxa" w:w="2800"/>
            <w:shd w:fill="E8EAF6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1"/>
                <w:szCs w:val="21"/>
              </w:rPr>
              <w:t xml:space="preserve">报告版本</w:t>
            </w:r>
          </w:p>
        </w:tc>
        <w:tc>
          <w:tcPr>
            <w:tcW w:type="dxa" w:w="62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【V1.0】</w:t>
            </w:r>
          </w:p>
        </w:tc>
      </w:tr>
    </w:tbl>
    <w:p>
      <w:pPr>
        <w:spacing w:after="80" w:before="1000"/>
        <w:jc w:val="center"/>
      </w:pPr>
      <w:r>
        <w:rPr>
          <w:rFonts w:ascii="Times New Roman" w:cs="Times New Roman" w:eastAsia="宋体" w:hAnsi="Times New Roman"/>
          <w:color w:val="8A8A8A"/>
          <w:sz w:val="20"/>
          <w:szCs w:val="20"/>
        </w:rPr>
        <w:t xml:space="preserve">本报告含商业与技术敏感信息，仅供客户内部使用</w:t>
      </w:r>
    </w:p>
    <w:p>
      <w:pPr>
        <w:spacing w:after="1200"/>
        <w:jc w:val="center"/>
      </w:pPr>
      <w:r>
        <w:rPr>
          <w:rFonts w:ascii="Times New Roman" w:cs="Times New Roman" w:eastAsia="宋体" w:hAnsi="Times New Roman"/>
          <w:color w:val="8A8A8A"/>
          <w:sz w:val="20"/>
          <w:szCs w:val="20"/>
        </w:rPr>
        <w:t xml:space="preserve">未经书面许可不得转发第三方</w:t>
      </w:r>
    </w:p>
    <w:p>
      <w:pPr>
        <w:spacing w:after="60"/>
        <w:jc w:val="center"/>
      </w:pPr>
      <w:r>
        <w:rPr>
          <w:rFonts w:ascii="Times New Roman" w:cs="Times New Roman" w:eastAsia="宋体" w:hAnsi="Times New Roman"/>
          <w:b/>
          <w:bCs/>
          <w:color w:val="1A237E"/>
          <w:sz w:val="26"/>
          <w:szCs w:val="26"/>
        </w:rPr>
        <w:t xml:space="preserve"> · DPP业务线</w:t>
      </w:r>
    </w:p>
    <w:p>
      <w:pPr>
        <w:jc w:val="center"/>
      </w:pPr>
      <w:r>
        <w:rPr>
          <w:rFonts w:ascii="Times New Roman" w:cs="Times New Roman" w:eastAsia="宋体" w:hAnsi="Times New Roman"/>
          <w:color w:val="8A8A8A"/>
          <w:sz w:val="20"/>
          <w:szCs w:val="20"/>
        </w:rPr>
        <w:t xml:space="preserve">北京会计师事务所 / 咨询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rPr>
          <w:rFonts w:ascii="Times New Roman" w:cs="Times New Roman" w:eastAsia="宋体" w:hAnsi="Times New Roman"/>
          <w:b/>
          <w:bCs/>
          <w:color w:val="1A237E"/>
          <w:sz w:val="32"/>
          <w:szCs w:val="32"/>
        </w:rPr>
        <w:t xml:space="preserve">报告摘要</w:t>
      </w:r>
    </w:p>
    <w:p>
      <w:pPr>
        <w:spacing w:after="120" w:line="320"/>
      </w:pPr>
      <w:r>
        <w:rPr>
          <w:rFonts w:ascii="Times New Roman" w:cs="Times New Roman" w:eastAsia="宋体" w:hAnsi="Times New Roman"/>
          <w:i/>
          <w:iCs/>
          <w:color w:val="8A8A8A"/>
          <w:sz w:val="21"/>
          <w:szCs w:val="21"/>
        </w:rPr>
        <w:t xml:space="preserve">提示：本页内容须在全部核查完成、评级定稿后填写，与正文各章数据保持一致。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CellMar>
          <w:top w:type="dxa" w:w="60"/>
          <w:left w:type="dxa" w:w="110"/>
          <w:bottom w:type="dxa" w:w="60"/>
          <w:right w:type="dxa" w:w="110"/>
        </w:tblCellMar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项目</w:t>
            </w:r>
          </w:p>
        </w:tc>
        <w:tc>
          <w:tcPr>
            <w:tcW w:type="dxa" w:w="6626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评估范围</w:t>
            </w:r>
          </w:p>
        </w:tc>
        <w:tc>
          <w:tcPr>
            <w:tcW w:type="dxa" w:w="66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【纳入评估的产品线/SKU范围、生产工厂、电池类型】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核心结论</w:t>
            </w:r>
          </w:p>
        </w:tc>
        <w:tc>
          <w:tcPr>
            <w:tcW w:type="dxa" w:w="66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【一句话结论：最紧迫的差距与建议路径】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红/黄/绿项数量</w:t>
            </w:r>
          </w:p>
        </w:tc>
        <w:tc>
          <w:tcPr>
            <w:tcW w:type="dxa" w:w="66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【红灯 X 项 · 黄灯 Y 项 · 绿灯 Z 项（不适用 N 项）】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综合评级</w:t>
            </w:r>
          </w:p>
        </w:tc>
        <w:tc>
          <w:tcPr>
            <w:tcW w:type="dxa" w:w="66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【绿色 / 黄色 / 红色，加权总分 XX 分】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关键建议</w:t>
            </w:r>
          </w:p>
        </w:tc>
        <w:tc>
          <w:tcPr>
            <w:tcW w:type="dxa" w:w="66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【优先级最高的2-3项整改动作】</w:t>
            </w:r>
          </w:p>
        </w:tc>
      </w:tr>
    </w:tbl>
    <w:p>
      <w:pPr>
        <w:spacing w:after="60"/>
      </w:pPr>
      <w:r>
        <w:rPr>
          <w:rFonts w:ascii="Times New Roman" w:cs="Times New Roman" w:eastAsia="宋体" w:hAnsi="Times New Roman"/>
        </w:rPr>
        <w:t xml:space="preserve"/>
      </w:r>
    </w:p>
    <w:p>
      <w:pPr>
        <w:spacing w:after="120" w:line="320"/>
      </w:pPr>
      <w:r>
        <w:rPr>
          <w:rFonts w:ascii="Times New Roman" w:cs="Times New Roman" w:eastAsia="宋体" w:hAnsi="Times New Roman"/>
        </w:rPr>
        <w:t xml:space="preserve">评估依据：(EU) 2023/1542《电池与废电池法规》及已发布授权法案框架，结合《32项核查清单（内部工作版）》逐项执行，并对71个法规数据点完成适用性映射。本报告结论以评估基准日客户提供的证据为限。</w:t>
      </w:r>
    </w:p>
    <w:p>
      <w:pPr>
        <w:pStyle w:val="Heading1"/>
        <w:pageBreakBefore/>
      </w:pPr>
      <w:r>
        <w:rPr>
          <w:rFonts w:ascii="Times New Roman" w:cs="Times New Roman" w:eastAsia="宋体" w:hAnsi="Times New Roman"/>
          <w:b/>
          <w:bCs/>
          <w:color w:val="1A237E"/>
          <w:sz w:val="32"/>
          <w:szCs w:val="32"/>
        </w:rPr>
        <w:t xml:space="preserve">第一章 评估背景与范围</w:t>
      </w:r>
    </w:p>
    <w:p>
      <w:pPr>
        <w:pStyle w:val="Heading2"/>
      </w:pPr>
      <w:r>
        <w:rPr>
          <w:rFonts w:ascii="Times New Roman" w:cs="Times New Roman" w:eastAsia="宋体" w:hAnsi="Times New Roman"/>
          <w:b/>
          <w:bCs/>
          <w:color w:val="2E7D32"/>
          <w:sz w:val="26"/>
          <w:szCs w:val="26"/>
        </w:rPr>
        <w:t xml:space="preserve">1.1 法规背景</w:t>
      </w:r>
    </w:p>
    <w:p>
      <w:pPr>
        <w:spacing w:after="120" w:line="320"/>
      </w:pPr>
      <w:r>
        <w:rPr>
          <w:rFonts w:ascii="Times New Roman" w:cs="Times New Roman" w:eastAsia="宋体" w:hAnsi="Times New Roman"/>
        </w:rPr>
        <w:t xml:space="preserve">欧盟(EU) 2023/1542《电池与废电池法规》建立了电池护照（Digital Product Passport, DPP）制度。自2027年2月18日起，电动汽车（EV）电池、轻型交通工具（LMT）电池、容量大于2kWh的工业电池，须在欧盟电池护照体系中持有有效护照方可投放市场。每本护照需填报71个法规数据点，数据来源于企业内部、一级/二级供应商及第三方检测核验机构。</w:t>
      </w:r>
    </w:p>
    <w:p>
      <w:pPr>
        <w:pStyle w:val="Heading2"/>
      </w:pPr>
      <w:r>
        <w:rPr>
          <w:rFonts w:ascii="Times New Roman" w:cs="Times New Roman" w:eastAsia="宋体" w:hAnsi="Times New Roman"/>
          <w:b/>
          <w:bCs/>
          <w:color w:val="2E7D32"/>
          <w:sz w:val="26"/>
          <w:szCs w:val="26"/>
        </w:rPr>
        <w:t xml:space="preserve">1.2 评估目的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Times New Roman" w:cs="Times New Roman" w:eastAsia="宋体" w:hAnsi="Times New Roman"/>
        </w:rPr>
        <w:t xml:space="preserve">摸清客户现状与法规要求之间的差距全貌：哪些已满足、哪些部分满足、哪些缺失；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Times New Roman" w:cs="Times New Roman" w:eastAsia="宋体" w:hAnsi="Times New Roman"/>
        </w:rPr>
        <w:t xml:space="preserve">对差距进行红黄绿分级，开展六维加权综合评级，量化整体合规水位；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Times New Roman" w:cs="Times New Roman" w:eastAsia="宋体" w:hAnsi="Times New Roman"/>
        </w:rPr>
        <w:t xml:space="preserve">追溯差距根因（数据/流程/技术/供应商），输出可执行的整改路线图与预算优先级。</w:t>
      </w:r>
    </w:p>
    <w:p>
      <w:pPr>
        <w:pStyle w:val="Heading2"/>
      </w:pPr>
      <w:r>
        <w:rPr>
          <w:rFonts w:ascii="Times New Roman" w:cs="Times New Roman" w:eastAsia="宋体" w:hAnsi="Times New Roman"/>
          <w:b/>
          <w:bCs/>
          <w:color w:val="2E7D32"/>
          <w:sz w:val="26"/>
          <w:szCs w:val="26"/>
        </w:rPr>
        <w:t xml:space="preserve">1.3 评估对象与范围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CellMar>
          <w:top w:type="dxa" w:w="60"/>
          <w:left w:type="dxa" w:w="110"/>
          <w:bottom w:type="dxa" w:w="60"/>
          <w:right w:type="dxa" w:w="110"/>
        </w:tblCellMar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项目</w:t>
            </w:r>
          </w:p>
        </w:tc>
        <w:tc>
          <w:tcPr>
            <w:tcW w:type="dxa" w:w="6626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主营产品</w:t>
            </w:r>
          </w:p>
        </w:tc>
        <w:tc>
          <w:tcPr>
            <w:tcW w:type="dxa" w:w="66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【产品类别与主要型号】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纳入范围</w:t>
            </w:r>
          </w:p>
        </w:tc>
        <w:tc>
          <w:tcPr>
            <w:tcW w:type="dxa" w:w="66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【纳入评估的产品线/SKU范围、生产工厂】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出口情况</w:t>
            </w:r>
          </w:p>
        </w:tc>
        <w:tc>
          <w:tcPr>
            <w:tcW w:type="dxa" w:w="66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【近3年对欧盟出口额、目的国、客户类型】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护照强制适用性</w:t>
            </w:r>
          </w:p>
        </w:tc>
        <w:tc>
          <w:tcPr>
            <w:tcW w:type="dxa" w:w="66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【适用 / 不适用 / 部分适用，注明判定依据】</w:t>
            </w:r>
          </w:p>
        </w:tc>
      </w:tr>
    </w:tbl>
    <w:p>
      <w:pPr>
        <w:pStyle w:val="Heading2"/>
      </w:pPr>
      <w:r>
        <w:rPr>
          <w:rFonts w:ascii="Times New Roman" w:cs="Times New Roman" w:eastAsia="宋体" w:hAnsi="Times New Roman"/>
          <w:b/>
          <w:bCs/>
          <w:color w:val="2E7D32"/>
          <w:sz w:val="26"/>
          <w:szCs w:val="26"/>
        </w:rPr>
        <w:t xml:space="preserve">1.4 电池类型判定结果</w:t>
      </w:r>
    </w:p>
    <w:p>
      <w:pPr>
        <w:spacing w:after="120" w:line="320"/>
      </w:pPr>
      <w:r>
        <w:rPr>
          <w:rFonts w:ascii="Times New Roman" w:cs="Times New Roman" w:eastAsia="宋体" w:hAnsi="Times New Roman"/>
          <w:i/>
          <w:iCs/>
          <w:color w:val="8A8A8A"/>
          <w:sz w:val="21"/>
          <w:szCs w:val="21"/>
        </w:rPr>
        <w:t xml:space="preserve">依据Art.77(1)，结合《电池类型判定表》逐SKU判定；同一企业存在多种电池类型时按SKU分开标注，不适用项不计入评级分母。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CellMar>
          <w:top w:type="dxa" w:w="60"/>
          <w:left w:type="dxa" w:w="110"/>
          <w:bottom w:type="dxa" w:w="60"/>
          <w:right w:type="dxa" w:w="110"/>
        </w:tblCellMar>
      </w:tblPr>
      <w:tblGrid>
        <w:gridCol w:w="2600"/>
        <w:gridCol w:w="1600"/>
        <w:gridCol w:w="4826"/>
      </w:tblGrid>
      <w:tr>
        <w:trPr>
          <w:cantSplit/>
          <w:tblHeader/>
        </w:trPr>
        <w:tc>
          <w:tcPr>
            <w:tcW w:type="dxa" w:w="26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电池类型</w:t>
            </w:r>
          </w:p>
        </w:tc>
        <w:tc>
          <w:tcPr>
            <w:tcW w:type="dxa" w:w="16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是否涉及</w:t>
            </w:r>
          </w:p>
        </w:tc>
        <w:tc>
          <w:tcPr>
            <w:tcW w:type="dxa" w:w="4826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判定说明与涉及SKU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EV电池</w:t>
            </w:r>
          </w:p>
        </w:tc>
        <w:tc>
          <w:tcPr>
            <w:tcW w:type="dxa" w:w="1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【是/否】</w:t>
            </w:r>
          </w:p>
        </w:tc>
        <w:tc>
          <w:tcPr>
            <w:tcW w:type="dxa" w:w="4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【涉及SKU/型号，为M/N/O类或&gt;25kg的L类车辆牵引供电】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LMT电池</w:t>
            </w:r>
          </w:p>
        </w:tc>
        <w:tc>
          <w:tcPr>
            <w:tcW w:type="dxa" w:w="1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【是/否】</w:t>
            </w:r>
          </w:p>
        </w:tc>
        <w:tc>
          <w:tcPr>
            <w:tcW w:type="dxa" w:w="4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【涉及SKU/型号，为≤25kg的轻型交通工具供电】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工业电池（&gt;2kWh）</w:t>
            </w:r>
          </w:p>
        </w:tc>
        <w:tc>
          <w:tcPr>
            <w:tcW w:type="dxa" w:w="1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【是/否】</w:t>
            </w:r>
          </w:p>
        </w:tc>
        <w:tc>
          <w:tcPr>
            <w:tcW w:type="dxa" w:w="4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【涉及SKU/型号，含固定储能系统电池】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便携式 / SLI电池</w:t>
            </w:r>
          </w:p>
        </w:tc>
        <w:tc>
          <w:tcPr>
            <w:tcW w:type="dxa" w:w="1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【是/否】</w:t>
            </w:r>
          </w:p>
        </w:tc>
        <w:tc>
          <w:tcPr>
            <w:tcW w:type="dxa" w:w="4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【不适用护照，但适用标签/EPR义务】</w:t>
            </w:r>
          </w:p>
        </w:tc>
      </w:tr>
    </w:tbl>
    <w:p>
      <w:pPr>
        <w:pStyle w:val="Heading1"/>
        <w:pageBreakBefore/>
      </w:pPr>
      <w:r>
        <w:rPr>
          <w:rFonts w:ascii="Times New Roman" w:cs="Times New Roman" w:eastAsia="宋体" w:hAnsi="Times New Roman"/>
          <w:b/>
          <w:bCs/>
          <w:color w:val="1A237E"/>
          <w:sz w:val="32"/>
          <w:szCs w:val="32"/>
        </w:rPr>
        <w:t xml:space="preserve">第二章 评估方法论</w:t>
      </w:r>
    </w:p>
    <w:p>
      <w:pPr>
        <w:pStyle w:val="Heading2"/>
      </w:pPr>
      <w:r>
        <w:rPr>
          <w:rFonts w:ascii="Times New Roman" w:cs="Times New Roman" w:eastAsia="宋体" w:hAnsi="Times New Roman"/>
          <w:b/>
          <w:bCs/>
          <w:color w:val="2E7D32"/>
          <w:sz w:val="26"/>
          <w:szCs w:val="26"/>
        </w:rPr>
        <w:t xml:space="preserve">2.1 三维度核查体系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CellMar>
          <w:top w:type="dxa" w:w="60"/>
          <w:left w:type="dxa" w:w="110"/>
          <w:bottom w:type="dxa" w:w="60"/>
          <w:right w:type="dxa" w:w="110"/>
        </w:tblCellMar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核查维度</w:t>
            </w:r>
          </w:p>
        </w:tc>
        <w:tc>
          <w:tcPr>
            <w:tcW w:type="dxa" w:w="6426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核查方式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法规条款映射</w:t>
            </w:r>
          </w:p>
        </w:tc>
        <w:tc>
          <w:tcPr>
            <w:tcW w:type="dxa" w:w="64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建立71数据点×适用电池类型（EV/LMT/工业）映射矩阵，逐项标注强制适用/条件适用/不适用/暂不填报，附法规条款依据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证据链核查</w:t>
            </w:r>
          </w:p>
        </w:tc>
        <w:tc>
          <w:tcPr>
            <w:tcW w:type="dxa" w:w="64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每项判断必须有书面证据：证书、测试报告、制度文件、系统截图、供应商问卷回执；逐项登记证据索引，无证据即判未满足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差距根因分析</w:t>
            </w:r>
          </w:p>
        </w:tc>
        <w:tc>
          <w:tcPr>
            <w:tcW w:type="dxa" w:w="64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每个差距项追溯根因并归类：数据缺失、流程缺失、技术缺失、供应商缺失，根因决定整改动作与预算归属</w:t>
            </w:r>
          </w:p>
        </w:tc>
      </w:tr>
    </w:tbl>
    <w:p>
      <w:pPr>
        <w:pStyle w:val="Heading2"/>
      </w:pPr>
      <w:r>
        <w:rPr>
          <w:rFonts w:ascii="Times New Roman" w:cs="Times New Roman" w:eastAsia="宋体" w:hAnsi="Times New Roman"/>
          <w:b/>
          <w:bCs/>
          <w:color w:val="2E7D32"/>
          <w:sz w:val="26"/>
          <w:szCs w:val="26"/>
        </w:rPr>
        <w:t xml:space="preserve">2.2 L1-L4 判定层次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CellMar>
          <w:top w:type="dxa" w:w="60"/>
          <w:left w:type="dxa" w:w="110"/>
          <w:bottom w:type="dxa" w:w="60"/>
          <w:right w:type="dxa" w:w="110"/>
        </w:tblCellMar>
      </w:tblPr>
      <w:tblGrid>
        <w:gridCol w:w="2000"/>
        <w:gridCol w:w="7026"/>
      </w:tblGrid>
      <w:tr>
        <w:trPr>
          <w:cantSplit/>
          <w:tblHeader/>
        </w:trPr>
        <w:tc>
          <w:tcPr>
            <w:tcW w:type="dxa" w:w="20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层次</w:t>
            </w:r>
          </w:p>
        </w:tc>
        <w:tc>
          <w:tcPr>
            <w:tcW w:type="dxa" w:w="7026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判定内容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L1 有没有</w:t>
            </w:r>
          </w:p>
        </w:tc>
        <w:tc>
          <w:tcPr>
            <w:tcW w:type="dxa" w:w="70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数据/文件是否存在（如CE证书、碳足迹报告、BMS能否输出SoH）；L1不通过直接判红灯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L2 对不对</w:t>
            </w:r>
          </w:p>
        </w:tc>
        <w:tc>
          <w:tcPr>
            <w:tcW w:type="dxa" w:w="70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内容是否符合法规口径：测试方法是否法规认可、计量单位是否正确、责任主体是否适格、声明是否与条款一致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L3 全不全</w:t>
            </w:r>
          </w:p>
        </w:tc>
        <w:tc>
          <w:tcPr>
            <w:tcW w:type="dxa" w:w="70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是否覆盖全部适用SKU、全部生产工厂、全部相关供应商；证书范围与实际出口产品是否一一对应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L4 新不新</w:t>
            </w:r>
          </w:p>
        </w:tc>
        <w:tc>
          <w:tcPr>
            <w:tcW w:type="dxa" w:w="70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数据是否最新：证书是否在有效期、报告是否对应现行配方工艺、动态数据是否持续更新、法规变化后是否同步修订</w:t>
            </w:r>
          </w:p>
        </w:tc>
      </w:tr>
    </w:tbl>
    <w:p>
      <w:pPr>
        <w:spacing w:after="120" w:line="320"/>
      </w:pPr>
      <w:r>
        <w:rPr>
          <w:rFonts w:ascii="Times New Roman" w:cs="Times New Roman" w:eastAsia="宋体" w:hAnsi="Times New Roman"/>
        </w:rPr>
        <w:t xml:space="preserve">判定规则：四个层次依次递进——L1不通过无需再评后续层次；L1通过但L2不通过按“部分满足”处理；L1-L4全部通过才判“已满足”。</w:t>
      </w:r>
    </w:p>
    <w:p>
      <w:pPr>
        <w:pStyle w:val="Heading2"/>
      </w:pPr>
      <w:r>
        <w:rPr>
          <w:rFonts w:ascii="Times New Roman" w:cs="Times New Roman" w:eastAsia="宋体" w:hAnsi="Times New Roman"/>
          <w:b/>
          <w:bCs/>
          <w:color w:val="2E7D32"/>
          <w:sz w:val="26"/>
          <w:szCs w:val="26"/>
        </w:rPr>
        <w:t xml:space="preserve">2.3 证据标准</w:t>
      </w:r>
    </w:p>
    <w:p>
      <w:pPr>
        <w:spacing w:after="120" w:line="320"/>
      </w:pPr>
      <w:r>
        <w:rPr>
          <w:rFonts w:ascii="Times New Roman" w:cs="Times New Roman" w:eastAsia="宋体" w:hAnsi="Times New Roman"/>
        </w:rPr>
        <w:t xml:space="preserve">核查方法为文件审阅、人员访谈、系统演示、证据采集四种方式交叉验证。证据须可复核、在有效期、覆盖全部适用SKU；每项证据登记来源、日期、版本与覆盖范围。</w:t>
      </w:r>
    </w:p>
    <w:p>
      <w:pPr>
        <w:spacing w:after="120" w:line="320"/>
      </w:pPr>
      <w:r>
        <w:rPr>
          <w:rFonts w:ascii="Times New Roman" w:cs="Times New Roman" w:eastAsia="宋体" w:hAnsi="Times New Roman"/>
          <w:i/>
          <w:iCs/>
          <w:color w:val="8A8A8A"/>
          <w:sz w:val="21"/>
          <w:szCs w:val="21"/>
        </w:rPr>
        <w:t xml:space="preserve">示例：CE认证须看到证书扫描件+公告机构名称及编号+覆盖型号清单+有效期+测试报告编号；再生材料含量须看到供应商再生含量声明+质量平衡计算表+口径说明+第三方核验证明（如适用）。</w:t>
      </w:r>
    </w:p>
    <w:p>
      <w:pPr>
        <w:pStyle w:val="Heading1"/>
        <w:pageBreakBefore/>
      </w:pPr>
      <w:r>
        <w:rPr>
          <w:rFonts w:ascii="Times New Roman" w:cs="Times New Roman" w:eastAsia="宋体" w:hAnsi="Times New Roman"/>
          <w:b/>
          <w:bCs/>
          <w:color w:val="1A237E"/>
          <w:sz w:val="32"/>
          <w:szCs w:val="32"/>
        </w:rPr>
        <w:t xml:space="preserve">第三章 71数据项核查结果总览</w:t>
      </w:r>
    </w:p>
    <w:p>
      <w:pPr>
        <w:spacing w:after="120" w:line="320"/>
      </w:pPr>
      <w:r>
        <w:rPr>
          <w:rFonts w:ascii="Times New Roman" w:cs="Times New Roman" w:eastAsia="宋体" w:hAnsi="Times New Roman"/>
        </w:rPr>
        <w:t xml:space="preserve">依据欧委会《Digital Battery Passport – data points by category》指南，71个数据点按九大类组织。下表按数据类别汇总满足情况：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CellMar>
          <w:top w:type="dxa" w:w="60"/>
          <w:left w:type="dxa" w:w="110"/>
          <w:bottom w:type="dxa" w:w="60"/>
          <w:right w:type="dxa" w:w="110"/>
        </w:tblCellMar>
      </w:tblPr>
      <w:tblGrid>
        <w:gridCol w:w="700"/>
        <w:gridCol w:w="3000"/>
        <w:gridCol w:w="1100"/>
        <w:gridCol w:w="1100"/>
        <w:gridCol w:w="1100"/>
        <w:gridCol w:w="1100"/>
        <w:gridCol w:w="926"/>
      </w:tblGrid>
      <w:tr>
        <w:trPr>
          <w:cantSplit/>
          <w:tblHeader/>
        </w:trPr>
        <w:tc>
          <w:tcPr>
            <w:tcW w:type="dxa" w:w="7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#</w:t>
            </w:r>
          </w:p>
        </w:tc>
        <w:tc>
          <w:tcPr>
            <w:tcW w:type="dxa" w:w="30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数据类别</w:t>
            </w:r>
          </w:p>
        </w:tc>
        <w:tc>
          <w:tcPr>
            <w:tcW w:type="dxa" w:w="11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项数</w:t>
            </w:r>
          </w:p>
        </w:tc>
        <w:tc>
          <w:tcPr>
            <w:tcW w:type="dxa" w:w="11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已满足</w:t>
            </w:r>
          </w:p>
        </w:tc>
        <w:tc>
          <w:tcPr>
            <w:tcW w:type="dxa" w:w="11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部分满足</w:t>
            </w:r>
          </w:p>
        </w:tc>
        <w:tc>
          <w:tcPr>
            <w:tcW w:type="dxa" w:w="11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缺失</w:t>
            </w:r>
          </w:p>
        </w:tc>
        <w:tc>
          <w:tcPr>
            <w:tcW w:type="dxa" w:w="926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满足率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电池身份信息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约15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【X】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【Y】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【Z】</w:t>
            </w:r>
          </w:p>
        </w:tc>
        <w:tc>
          <w:tcPr>
            <w:tcW w:type="dxa" w:w="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【XX%】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碳足迹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约2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【X】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【Y】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【Z】</w:t>
            </w:r>
          </w:p>
        </w:tc>
        <w:tc>
          <w:tcPr>
            <w:tcW w:type="dxa" w:w="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【XX%】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负责任采购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约1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【X】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【Y】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【Z】</w:t>
            </w:r>
          </w:p>
        </w:tc>
        <w:tc>
          <w:tcPr>
            <w:tcW w:type="dxa" w:w="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【XX%】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再生材料含量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约6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【X】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【Y】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【Z】</w:t>
            </w:r>
          </w:p>
        </w:tc>
        <w:tc>
          <w:tcPr>
            <w:tcW w:type="dxa" w:w="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【XX%】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性能与耐久性参数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约14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【X】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【Y】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【Z】</w:t>
            </w:r>
          </w:p>
        </w:tc>
        <w:tc>
          <w:tcPr>
            <w:tcW w:type="dxa" w:w="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【XX%】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标签与合规声明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约5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【X】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【Y】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【Z】</w:t>
            </w:r>
          </w:p>
        </w:tc>
        <w:tc>
          <w:tcPr>
            <w:tcW w:type="dxa" w:w="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【XX%】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详细材料组成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约5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【X】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【Y】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【Z】</w:t>
            </w:r>
          </w:p>
        </w:tc>
        <w:tc>
          <w:tcPr>
            <w:tcW w:type="dxa" w:w="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【XX%】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合格评定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约1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【X】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【Y】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【Z】</w:t>
            </w:r>
          </w:p>
        </w:tc>
        <w:tc>
          <w:tcPr>
            <w:tcW w:type="dxa" w:w="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【XX%】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动态使用数据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约21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【X】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【Y】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【Z】</w:t>
            </w:r>
          </w:p>
        </w:tc>
        <w:tc>
          <w:tcPr>
            <w:tcW w:type="dxa" w:w="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【XX%】</w:t>
            </w:r>
          </w:p>
        </w:tc>
      </w:tr>
    </w:tbl>
    <w:p>
      <w:pPr>
        <w:spacing w:after="60"/>
      </w:pPr>
      <w:r>
        <w:rPr>
          <w:rFonts w:ascii="Times New Roman" w:cs="Times New Roman" w:eastAsia="宋体" w:hAnsi="Times New Roman"/>
        </w:rPr>
        <w:t xml:space="preserve"/>
      </w:r>
    </w:p>
    <w:p>
      <w:pPr>
        <w:spacing w:after="120" w:line="320"/>
      </w:pPr>
      <w:r>
        <w:rPr>
          <w:rFonts w:ascii="Times New Roman" w:cs="Times New Roman" w:eastAsia="宋体" w:hAnsi="Times New Roman"/>
        </w:rPr>
        <w:t xml:space="preserve">汇总：应满足【X】项，已满足【Y】项，部分满足【Z】项，缺失【W】项，整体满足率【XX%】（不适用/暂不填报项不计入分母）。</w:t>
      </w:r>
    </w:p>
    <w:p>
      <w:pPr>
        <w:pStyle w:val="Heading1"/>
        <w:pageBreakBefore/>
      </w:pPr>
      <w:r>
        <w:rPr>
          <w:rFonts w:ascii="Times New Roman" w:cs="Times New Roman" w:eastAsia="宋体" w:hAnsi="Times New Roman"/>
          <w:b/>
          <w:bCs/>
          <w:color w:val="1A237E"/>
          <w:sz w:val="32"/>
          <w:szCs w:val="32"/>
        </w:rPr>
        <w:t xml:space="preserve">第四章 32项核查结果详述</w:t>
      </w:r>
    </w:p>
    <w:p>
      <w:pPr>
        <w:spacing w:after="120" w:line="320"/>
      </w:pPr>
      <w:r>
        <w:rPr>
          <w:rFonts w:ascii="Times New Roman" w:cs="Times New Roman" w:eastAsia="宋体" w:hAnsi="Times New Roman"/>
        </w:rPr>
        <w:t xml:space="preserve">本章按A-F六个维度分节。每项包含核查要点、现状描述、书面证据与四级判定；判定取值为“已满足/部分满足/未满足/不适用”。</w:t>
      </w:r>
    </w:p>
    <w:p>
      <w:pPr>
        <w:pStyle w:val="Heading2"/>
      </w:pPr>
      <w:r>
        <w:rPr>
          <w:rFonts w:ascii="Times New Roman" w:cs="Times New Roman" w:eastAsia="宋体" w:hAnsi="Times New Roman"/>
          <w:b/>
          <w:bCs/>
          <w:color w:val="2E7D32"/>
          <w:sz w:val="26"/>
          <w:szCs w:val="26"/>
        </w:rPr>
        <w:t xml:space="preserve">（一） 维度A：企业与产品范围</w:t>
      </w:r>
    </w:p>
    <w:p>
      <w:pPr>
        <w:spacing w:after="120" w:line="320"/>
      </w:pPr>
      <w:r>
        <w:rPr>
          <w:rFonts w:ascii="Times New Roman" w:cs="Times New Roman" w:eastAsia="宋体" w:hAnsi="Times New Roman"/>
        </w:rPr>
        <w:t xml:space="preserve">本维度共核查5项。其中已满足【X】项、部分满足【Y】项、未满足【Z】项。主要发现：【填写2-3句概述】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CellMar>
          <w:top w:type="dxa" w:w="60"/>
          <w:left w:type="dxa" w:w="110"/>
          <w:bottom w:type="dxa" w:w="60"/>
          <w:right w:type="dxa" w:w="110"/>
        </w:tblCellMar>
      </w:tblPr>
      <w:tblGrid>
        <w:gridCol w:w="800"/>
        <w:gridCol w:w="1800"/>
        <w:gridCol w:w="2500"/>
        <w:gridCol w:w="2926"/>
        <w:gridCol w:w="1000"/>
      </w:tblGrid>
      <w:tr>
        <w:trPr>
          <w:cantSplit/>
          <w:tblHeader/>
        </w:trPr>
        <w:tc>
          <w:tcPr>
            <w:tcW w:type="dxa" w:w="8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编号</w:t>
            </w:r>
          </w:p>
        </w:tc>
        <w:tc>
          <w:tcPr>
            <w:tcW w:type="dxa" w:w="18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核查项</w:t>
            </w:r>
          </w:p>
        </w:tc>
        <w:tc>
          <w:tcPr>
            <w:tcW w:type="dxa" w:w="25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核查要点</w:t>
            </w:r>
          </w:p>
        </w:tc>
        <w:tc>
          <w:tcPr>
            <w:tcW w:type="dxa" w:w="2926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现状、证据与方法</w:t>
            </w:r>
          </w:p>
        </w:tc>
        <w:tc>
          <w:tcPr>
            <w:tcW w:type="dxa" w:w="10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判定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A1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企业基本信息完备性</w:t>
            </w:r>
          </w:p>
        </w:tc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核查要点：制造商名称、地址、</w:t>
            </w:r>
          </w:p>
        </w:tc>
        <w:tc>
          <w:tcPr>
            <w:tcW w:type="dxa" w:w="2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【现状描述】；证据【E-XX】；方法：查阅营业执照、海关记录</w:t>
            </w:r>
          </w:p>
        </w:tc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A2</w:t>
            </w:r>
          </w:p>
        </w:tc>
        <w:tc>
          <w:tcPr>
            <w:tcW w:type="dxa" w:w="1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电池产品类别判定</w:t>
            </w:r>
          </w:p>
        </w:tc>
        <w:tc>
          <w:tcPr>
            <w:tcW w:type="dxa" w:w="25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核查要点：按Art.77(1)判定LMT/工业(&gt;2kWh)/EV强制适用</w:t>
            </w:r>
          </w:p>
        </w:tc>
        <w:tc>
          <w:tcPr>
            <w:tcW w:type="dxa" w:w="29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【现状描述】；证据【E-XX】；方法：逐SKU核对规格书</w:t>
            </w:r>
          </w:p>
        </w:tc>
        <w:tc>
          <w:tcPr>
            <w:tcW w:type="dxa" w:w="10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A3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出口欧盟业务与目的国</w:t>
            </w:r>
          </w:p>
        </w:tc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核查要点：影响合规优先级与时间表</w:t>
            </w:r>
          </w:p>
        </w:tc>
        <w:tc>
          <w:tcPr>
            <w:tcW w:type="dxa" w:w="2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【现状描述】；证据【E-XX】；方法：调取报关单、客户订单</w:t>
            </w:r>
          </w:p>
        </w:tc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A4</w:t>
            </w:r>
          </w:p>
        </w:tc>
        <w:tc>
          <w:tcPr>
            <w:tcW w:type="dxa" w:w="1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制造地信息完整性</w:t>
            </w:r>
          </w:p>
        </w:tc>
        <w:tc>
          <w:tcPr>
            <w:tcW w:type="dxa" w:w="25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核查要点：制造地点信息须进入护照</w:t>
            </w:r>
          </w:p>
        </w:tc>
        <w:tc>
          <w:tcPr>
            <w:tcW w:type="dxa" w:w="29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【现状描述】；证据【E-XX】；方法：盘点工厂与OEM清单</w:t>
            </w:r>
          </w:p>
        </w:tc>
        <w:tc>
          <w:tcPr>
            <w:tcW w:type="dxa" w:w="10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A5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品牌/型号/序列号体系</w:t>
            </w:r>
          </w:p>
        </w:tc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核查要点：型号信息须进入护照；护照以单块电池为对象</w:t>
            </w:r>
          </w:p>
        </w:tc>
        <w:tc>
          <w:tcPr>
            <w:tcW w:type="dxa" w:w="2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【现状描述】；证据【E-XX】；方法：检查命名规则与唯一性</w:t>
            </w:r>
          </w:p>
        </w:tc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</w:tbl>
    <w:p>
      <w:pPr>
        <w:spacing w:after="60"/>
      </w:pPr>
      <w:r>
        <w:rPr>
          <w:rFonts w:ascii="Times New Roman" w:cs="Times New Roman" w:eastAsia="宋体" w:hAnsi="Times New Roman"/>
        </w:rPr>
        <w:t xml:space="preserve"/>
      </w:r>
    </w:p>
    <w:p>
      <w:pPr>
        <w:pStyle w:val="Heading2"/>
      </w:pPr>
      <w:r>
        <w:rPr>
          <w:rFonts w:ascii="Times New Roman" w:cs="Times New Roman" w:eastAsia="宋体" w:hAnsi="Times New Roman"/>
          <w:b/>
          <w:bCs/>
          <w:color w:val="2E7D32"/>
          <w:sz w:val="26"/>
          <w:szCs w:val="26"/>
        </w:rPr>
        <w:t xml:space="preserve">（二） 维度B：合规资质与技术文件</w:t>
      </w:r>
    </w:p>
    <w:p>
      <w:pPr>
        <w:spacing w:after="120" w:line="320"/>
      </w:pPr>
      <w:r>
        <w:rPr>
          <w:rFonts w:ascii="Times New Roman" w:cs="Times New Roman" w:eastAsia="宋体" w:hAnsi="Times New Roman"/>
        </w:rPr>
        <w:t xml:space="preserve">本维度共核查6项。其中已满足【X】项、部分满足【Y】项、未满足【Z】项。主要发现：【填写2-3句概述】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CellMar>
          <w:top w:type="dxa" w:w="60"/>
          <w:left w:type="dxa" w:w="110"/>
          <w:bottom w:type="dxa" w:w="60"/>
          <w:right w:type="dxa" w:w="110"/>
        </w:tblCellMar>
      </w:tblPr>
      <w:tblGrid>
        <w:gridCol w:w="800"/>
        <w:gridCol w:w="1800"/>
        <w:gridCol w:w="2500"/>
        <w:gridCol w:w="2926"/>
        <w:gridCol w:w="1000"/>
      </w:tblGrid>
      <w:tr>
        <w:trPr>
          <w:cantSplit/>
          <w:tblHeader/>
        </w:trPr>
        <w:tc>
          <w:tcPr>
            <w:tcW w:type="dxa" w:w="8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编号</w:t>
            </w:r>
          </w:p>
        </w:tc>
        <w:tc>
          <w:tcPr>
            <w:tcW w:type="dxa" w:w="18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核查项</w:t>
            </w:r>
          </w:p>
        </w:tc>
        <w:tc>
          <w:tcPr>
            <w:tcW w:type="dxa" w:w="25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核查要点</w:t>
            </w:r>
          </w:p>
        </w:tc>
        <w:tc>
          <w:tcPr>
            <w:tcW w:type="dxa" w:w="2926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现状、证据与方法</w:t>
            </w:r>
          </w:p>
        </w:tc>
        <w:tc>
          <w:tcPr>
            <w:tcW w:type="dxa" w:w="10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判定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B1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CE认证与EU符合性声明(DoC)</w:t>
            </w:r>
          </w:p>
        </w:tc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核查要点：投放欧盟市场的基本前提</w:t>
            </w:r>
          </w:p>
        </w:tc>
        <w:tc>
          <w:tcPr>
            <w:tcW w:type="dxa" w:w="2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【现状描述】；证据【E-XX】；方法：核验证书、测试报告</w:t>
            </w:r>
          </w:p>
        </w:tc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B2</w:t>
            </w:r>
          </w:p>
        </w:tc>
        <w:tc>
          <w:tcPr>
            <w:tcW w:type="dxa" w:w="1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标签与铭牌合规</w:t>
            </w:r>
          </w:p>
        </w:tc>
        <w:tc>
          <w:tcPr>
            <w:tcW w:type="dxa" w:w="25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核查要点：附录VI：容量、化学体系、收集符号、镉/铅标识</w:t>
            </w:r>
          </w:p>
        </w:tc>
        <w:tc>
          <w:tcPr>
            <w:tcW w:type="dxa" w:w="29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【现状描述】；证据【E-XX】；方法：对照附录VI核对实物</w:t>
            </w:r>
          </w:p>
        </w:tc>
        <w:tc>
          <w:tcPr>
            <w:tcW w:type="dxa" w:w="10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B3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碳足迹声明</w:t>
            </w:r>
          </w:p>
        </w:tc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核查要点：Art.7：按授权法案时间表分阶段强制</w:t>
            </w:r>
          </w:p>
        </w:tc>
        <w:tc>
          <w:tcPr>
            <w:tcW w:type="dxa" w:w="2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【现状描述】；证据【E-XX】；方法：确认LCA机构委托情况</w:t>
            </w:r>
          </w:p>
        </w:tc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B4</w:t>
            </w:r>
          </w:p>
        </w:tc>
        <w:tc>
          <w:tcPr>
            <w:tcW w:type="dxa" w:w="1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供应链尽职调查政策</w:t>
            </w:r>
          </w:p>
        </w:tc>
        <w:tc>
          <w:tcPr>
            <w:tcW w:type="dxa" w:w="25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核查要点：Art.47-51：含钴/锂/镍/天然石墨且&gt;2kWh须尽调</w:t>
            </w:r>
          </w:p>
        </w:tc>
        <w:tc>
          <w:tcPr>
            <w:tcW w:type="dxa" w:w="29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【现状描述】；证据【E-XX】；方法：查阅尽调政策文件</w:t>
            </w:r>
          </w:p>
        </w:tc>
        <w:tc>
          <w:tcPr>
            <w:tcW w:type="dxa" w:w="10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B5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技术文件体系化程度</w:t>
            </w:r>
          </w:p>
        </w:tc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核查要点：DoC支撑文件须可随时调取</w:t>
            </w:r>
          </w:p>
        </w:tc>
        <w:tc>
          <w:tcPr>
            <w:tcW w:type="dxa" w:w="2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【现状描述】；证据【E-XX】；方法：抽查文件完整性</w:t>
            </w:r>
          </w:p>
        </w:tc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B6</w:t>
            </w:r>
          </w:p>
        </w:tc>
        <w:tc>
          <w:tcPr>
            <w:tcW w:type="dxa" w:w="1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EPR注册</w:t>
            </w:r>
          </w:p>
        </w:tc>
        <w:tc>
          <w:tcPr>
            <w:tcW w:type="dxa" w:w="25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核查要点：Art.55起：生产者注册与EPR义务</w:t>
            </w:r>
          </w:p>
        </w:tc>
        <w:tc>
          <w:tcPr>
            <w:tcW w:type="dxa" w:w="29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【现状描述】；证据【E-XX】；方法：核对成员国注册记录</w:t>
            </w:r>
          </w:p>
        </w:tc>
        <w:tc>
          <w:tcPr>
            <w:tcW w:type="dxa" w:w="10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</w:tbl>
    <w:p>
      <w:pPr>
        <w:spacing w:after="60"/>
      </w:pPr>
      <w:r>
        <w:rPr>
          <w:rFonts w:ascii="Times New Roman" w:cs="Times New Roman" w:eastAsia="宋体" w:hAnsi="Times New Roman"/>
        </w:rPr>
        <w:t xml:space="preserve"/>
      </w:r>
    </w:p>
    <w:p>
      <w:pPr>
        <w:pStyle w:val="Heading2"/>
      </w:pPr>
      <w:r>
        <w:rPr>
          <w:rFonts w:ascii="Times New Roman" w:cs="Times New Roman" w:eastAsia="宋体" w:hAnsi="Times New Roman"/>
          <w:b/>
          <w:bCs/>
          <w:color w:val="2E7D32"/>
          <w:sz w:val="26"/>
          <w:szCs w:val="26"/>
        </w:rPr>
        <w:t xml:space="preserve">（三） 维度C：护照数据项准备</w:t>
      </w:r>
    </w:p>
    <w:p>
      <w:pPr>
        <w:spacing w:after="120" w:line="320"/>
      </w:pPr>
      <w:r>
        <w:rPr>
          <w:rFonts w:ascii="Times New Roman" w:cs="Times New Roman" w:eastAsia="宋体" w:hAnsi="Times New Roman"/>
        </w:rPr>
        <w:t xml:space="preserve">本维度共核查9项。其中已满足【X】项、部分满足【Y】项、未满足【Z】项。主要发现：【填写2-3句概述】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CellMar>
          <w:top w:type="dxa" w:w="60"/>
          <w:left w:type="dxa" w:w="110"/>
          <w:bottom w:type="dxa" w:w="60"/>
          <w:right w:type="dxa" w:w="110"/>
        </w:tblCellMar>
      </w:tblPr>
      <w:tblGrid>
        <w:gridCol w:w="800"/>
        <w:gridCol w:w="1800"/>
        <w:gridCol w:w="2500"/>
        <w:gridCol w:w="2926"/>
        <w:gridCol w:w="1000"/>
      </w:tblGrid>
      <w:tr>
        <w:trPr>
          <w:cantSplit/>
          <w:tblHeader/>
        </w:trPr>
        <w:tc>
          <w:tcPr>
            <w:tcW w:type="dxa" w:w="8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编号</w:t>
            </w:r>
          </w:p>
        </w:tc>
        <w:tc>
          <w:tcPr>
            <w:tcW w:type="dxa" w:w="18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核查项</w:t>
            </w:r>
          </w:p>
        </w:tc>
        <w:tc>
          <w:tcPr>
            <w:tcW w:type="dxa" w:w="25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核查要点</w:t>
            </w:r>
          </w:p>
        </w:tc>
        <w:tc>
          <w:tcPr>
            <w:tcW w:type="dxa" w:w="2926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现状、证据与方法</w:t>
            </w:r>
          </w:p>
        </w:tc>
        <w:tc>
          <w:tcPr>
            <w:tcW w:type="dxa" w:w="10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判定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C1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通用制造信息</w:t>
            </w:r>
          </w:p>
        </w:tc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核查要点：制造商信息、制造日期、地点、类别、化学体系</w:t>
            </w:r>
          </w:p>
        </w:tc>
        <w:tc>
          <w:tcPr>
            <w:tcW w:type="dxa" w:w="2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【现状描述】；证据【E-XX】；方法：核对数据格式完整性</w:t>
            </w:r>
          </w:p>
        </w:tc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C2</w:t>
            </w:r>
          </w:p>
        </w:tc>
        <w:tc>
          <w:tcPr>
            <w:tcW w:type="dxa" w:w="1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技术参数数据</w:t>
            </w:r>
          </w:p>
        </w:tc>
        <w:tc>
          <w:tcPr>
            <w:tcW w:type="dxa" w:w="25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核查要点：标称电压、额定容量、额定功率/能量、重量</w:t>
            </w:r>
          </w:p>
        </w:tc>
        <w:tc>
          <w:tcPr>
            <w:tcW w:type="dxa" w:w="29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【现状描述】；证据【E-XX】；方法：对照规格书核对</w:t>
            </w:r>
          </w:p>
        </w:tc>
        <w:tc>
          <w:tcPr>
            <w:tcW w:type="dxa" w:w="10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C3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预期寿命与质保信息</w:t>
            </w:r>
          </w:p>
        </w:tc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核查要点：预期寿命、质保条款、预期循环次数</w:t>
            </w:r>
          </w:p>
        </w:tc>
        <w:tc>
          <w:tcPr>
            <w:tcW w:type="dxa" w:w="2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【现状描述】；证据【E-XX】；方法：核对研发数据</w:t>
            </w:r>
          </w:p>
        </w:tc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C4</w:t>
            </w:r>
          </w:p>
        </w:tc>
        <w:tc>
          <w:tcPr>
            <w:tcW w:type="dxa" w:w="1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再生材料含量数据</w:t>
            </w:r>
          </w:p>
        </w:tc>
        <w:tc>
          <w:tcPr>
            <w:tcW w:type="dxa" w:w="25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核查要点：Art.8：钴/锂/镍/铅再生含量比例</w:t>
            </w:r>
          </w:p>
        </w:tc>
        <w:tc>
          <w:tcPr>
            <w:tcW w:type="dxa" w:w="29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【现状描述】；证据【E-XX】；方法：核对供应商数据</w:t>
            </w:r>
          </w:p>
        </w:tc>
        <w:tc>
          <w:tcPr>
            <w:tcW w:type="dxa" w:w="10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C5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关键原材料与组件信息</w:t>
            </w:r>
          </w:p>
        </w:tc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核查要点：电池组件与关键原材料(CRM)信息</w:t>
            </w:r>
          </w:p>
        </w:tc>
        <w:tc>
          <w:tcPr>
            <w:tcW w:type="dxa" w:w="2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【现状描述】；证据【E-XX】；方法：核对BOM表覆盖度</w:t>
            </w:r>
          </w:p>
        </w:tc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C6</w:t>
            </w:r>
          </w:p>
        </w:tc>
        <w:tc>
          <w:tcPr>
            <w:tcW w:type="dxa" w:w="1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拆解信息</w:t>
            </w:r>
          </w:p>
        </w:tc>
        <w:tc>
          <w:tcPr>
            <w:tcW w:type="dxa" w:w="25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核查要点：拆解/移除/更换说明与安全注意事项</w:t>
            </w:r>
          </w:p>
        </w:tc>
        <w:tc>
          <w:tcPr>
            <w:tcW w:type="dxa" w:w="29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【现状描述】；证据【E-XX】；方法：工程文档可提取性</w:t>
            </w:r>
          </w:p>
        </w:tc>
        <w:tc>
          <w:tcPr>
            <w:tcW w:type="dxa" w:w="10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C7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安全措施信息</w:t>
            </w:r>
          </w:p>
        </w:tc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核查要点：安全运行条件与防护措施</w:t>
            </w:r>
          </w:p>
        </w:tc>
        <w:tc>
          <w:tcPr>
            <w:tcW w:type="dxa" w:w="2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【现状描述】；证据【E-XX】；方法：核对话书、测试报告</w:t>
            </w:r>
          </w:p>
        </w:tc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C8</w:t>
            </w:r>
          </w:p>
        </w:tc>
        <w:tc>
          <w:tcPr>
            <w:tcW w:type="dxa" w:w="1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电池状态数据(SoH)</w:t>
            </w:r>
          </w:p>
        </w:tc>
        <w:tc>
          <w:tcPr>
            <w:tcW w:type="dxa" w:w="25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核查要点：电池状态数据可获取性</w:t>
            </w:r>
          </w:p>
        </w:tc>
        <w:tc>
          <w:tcPr>
            <w:tcW w:type="dxa" w:w="29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【现状描述】；证据【E-XX】；方法：核对BMS读取能力</w:t>
            </w:r>
          </w:p>
        </w:tc>
        <w:tc>
          <w:tcPr>
            <w:tcW w:type="dxa" w:w="10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C9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有害物质信息</w:t>
            </w:r>
          </w:p>
        </w:tc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核查要点：镉、铅等有害物质含量信息</w:t>
            </w:r>
          </w:p>
        </w:tc>
        <w:tc>
          <w:tcPr>
            <w:tcW w:type="dxa" w:w="2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【现状描述】；证据【E-XX】；方法：核对检测报告覆盖度</w:t>
            </w:r>
          </w:p>
        </w:tc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</w:tbl>
    <w:p>
      <w:pPr>
        <w:spacing w:after="60"/>
      </w:pPr>
      <w:r>
        <w:rPr>
          <w:rFonts w:ascii="Times New Roman" w:cs="Times New Roman" w:eastAsia="宋体" w:hAnsi="Times New Roman"/>
        </w:rPr>
        <w:t xml:space="preserve"/>
      </w:r>
    </w:p>
    <w:p>
      <w:pPr>
        <w:pStyle w:val="Heading2"/>
      </w:pPr>
      <w:r>
        <w:rPr>
          <w:rFonts w:ascii="Times New Roman" w:cs="Times New Roman" w:eastAsia="宋体" w:hAnsi="Times New Roman"/>
          <w:b/>
          <w:bCs/>
          <w:color w:val="2E7D32"/>
          <w:sz w:val="26"/>
          <w:szCs w:val="26"/>
        </w:rPr>
        <w:t xml:space="preserve">（四） 维度D：供应链数据获取</w:t>
      </w:r>
    </w:p>
    <w:p>
      <w:pPr>
        <w:spacing w:after="120" w:line="320"/>
      </w:pPr>
      <w:r>
        <w:rPr>
          <w:rFonts w:ascii="Times New Roman" w:cs="Times New Roman" w:eastAsia="宋体" w:hAnsi="Times New Roman"/>
        </w:rPr>
        <w:t xml:space="preserve">本维度共核查4项。其中已满足【X】项、部分满足【Y】项、未满足【Z】项。主要发现：【填写2-3句概述】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CellMar>
          <w:top w:type="dxa" w:w="60"/>
          <w:left w:type="dxa" w:w="110"/>
          <w:bottom w:type="dxa" w:w="60"/>
          <w:right w:type="dxa" w:w="110"/>
        </w:tblCellMar>
      </w:tblPr>
      <w:tblGrid>
        <w:gridCol w:w="800"/>
        <w:gridCol w:w="1800"/>
        <w:gridCol w:w="2500"/>
        <w:gridCol w:w="2926"/>
        <w:gridCol w:w="1000"/>
      </w:tblGrid>
      <w:tr>
        <w:trPr>
          <w:cantSplit/>
          <w:tblHeader/>
        </w:trPr>
        <w:tc>
          <w:tcPr>
            <w:tcW w:type="dxa" w:w="8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编号</w:t>
            </w:r>
          </w:p>
        </w:tc>
        <w:tc>
          <w:tcPr>
            <w:tcW w:type="dxa" w:w="18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核查项</w:t>
            </w:r>
          </w:p>
        </w:tc>
        <w:tc>
          <w:tcPr>
            <w:tcW w:type="dxa" w:w="25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核查要点</w:t>
            </w:r>
          </w:p>
        </w:tc>
        <w:tc>
          <w:tcPr>
            <w:tcW w:type="dxa" w:w="2926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现状、证据与方法</w:t>
            </w:r>
          </w:p>
        </w:tc>
        <w:tc>
          <w:tcPr>
            <w:tcW w:type="dxa" w:w="10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判定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D1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一级供应商清单完整性</w:t>
            </w:r>
          </w:p>
        </w:tc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核查要点：护照数据与尽调的数据源头</w:t>
            </w:r>
          </w:p>
        </w:tc>
        <w:tc>
          <w:tcPr>
            <w:tcW w:type="dxa" w:w="2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【现状描述】；证据【E-XX】；方法：盘点一级供应商清单</w:t>
            </w:r>
          </w:p>
        </w:tc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D2</w:t>
            </w:r>
          </w:p>
        </w:tc>
        <w:tc>
          <w:tcPr>
            <w:tcW w:type="dxa" w:w="1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二级关键供应商识别</w:t>
            </w:r>
          </w:p>
        </w:tc>
        <w:tc>
          <w:tcPr>
            <w:tcW w:type="dxa" w:w="25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核查要点：关键原材料冶炼厂/精炼厂与原产国</w:t>
            </w:r>
          </w:p>
        </w:tc>
        <w:tc>
          <w:tcPr>
            <w:tcW w:type="dxa" w:w="29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【现状描述】；证据【E-XX】；方法：供应商问卷溯源</w:t>
            </w:r>
          </w:p>
        </w:tc>
        <w:tc>
          <w:tcPr>
            <w:tcW w:type="dxa" w:w="10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D3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供应商数据提供能力</w:t>
            </w:r>
          </w:p>
        </w:tc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核查要点：影响采集周期与交付排期</w:t>
            </w:r>
          </w:p>
        </w:tc>
        <w:tc>
          <w:tcPr>
            <w:tcW w:type="dxa" w:w="2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【现状描述】；证据【E-XX】；方法：抽样测试问卷回复</w:t>
            </w:r>
          </w:p>
        </w:tc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D4</w:t>
            </w:r>
          </w:p>
        </w:tc>
        <w:tc>
          <w:tcPr>
            <w:tcW w:type="dxa" w:w="1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商业机密分级披露机制</w:t>
            </w:r>
          </w:p>
        </w:tc>
        <w:tc>
          <w:tcPr>
            <w:tcW w:type="dxa" w:w="25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核查要点：Art.78：区分公开与受限访问</w:t>
            </w:r>
          </w:p>
        </w:tc>
        <w:tc>
          <w:tcPr>
            <w:tcW w:type="dxa" w:w="29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【现状描述】；证据【E-XX】；方法：检查分级审批流程</w:t>
            </w:r>
          </w:p>
        </w:tc>
        <w:tc>
          <w:tcPr>
            <w:tcW w:type="dxa" w:w="10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</w:tbl>
    <w:p>
      <w:pPr>
        <w:spacing w:after="60"/>
      </w:pPr>
      <w:r>
        <w:rPr>
          <w:rFonts w:ascii="Times New Roman" w:cs="Times New Roman" w:eastAsia="宋体" w:hAnsi="Times New Roman"/>
        </w:rPr>
        <w:t xml:space="preserve"/>
      </w:r>
    </w:p>
    <w:p>
      <w:pPr>
        <w:pStyle w:val="Heading2"/>
      </w:pPr>
      <w:r>
        <w:rPr>
          <w:rFonts w:ascii="Times New Roman" w:cs="Times New Roman" w:eastAsia="宋体" w:hAnsi="Times New Roman"/>
          <w:b/>
          <w:bCs/>
          <w:color w:val="2E7D32"/>
          <w:sz w:val="26"/>
          <w:szCs w:val="26"/>
        </w:rPr>
        <w:t xml:space="preserve">（五） 维度E：IT系统与数据载体</w:t>
      </w:r>
    </w:p>
    <w:p>
      <w:pPr>
        <w:spacing w:after="120" w:line="320"/>
      </w:pPr>
      <w:r>
        <w:rPr>
          <w:rFonts w:ascii="Times New Roman" w:cs="Times New Roman" w:eastAsia="宋体" w:hAnsi="Times New Roman"/>
        </w:rPr>
        <w:t xml:space="preserve">本维度共核查4项。其中已满足【X】项、部分满足【Y】项、未满足【Z】项。主要发现：【填写2-3句概述】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CellMar>
          <w:top w:type="dxa" w:w="60"/>
          <w:left w:type="dxa" w:w="110"/>
          <w:bottom w:type="dxa" w:w="60"/>
          <w:right w:type="dxa" w:w="110"/>
        </w:tblCellMar>
      </w:tblPr>
      <w:tblGrid>
        <w:gridCol w:w="800"/>
        <w:gridCol w:w="1800"/>
        <w:gridCol w:w="2500"/>
        <w:gridCol w:w="2926"/>
        <w:gridCol w:w="1000"/>
      </w:tblGrid>
      <w:tr>
        <w:trPr>
          <w:cantSplit/>
          <w:tblHeader/>
        </w:trPr>
        <w:tc>
          <w:tcPr>
            <w:tcW w:type="dxa" w:w="8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编号</w:t>
            </w:r>
          </w:p>
        </w:tc>
        <w:tc>
          <w:tcPr>
            <w:tcW w:type="dxa" w:w="18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核查项</w:t>
            </w:r>
          </w:p>
        </w:tc>
        <w:tc>
          <w:tcPr>
            <w:tcW w:type="dxa" w:w="25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核查要点</w:t>
            </w:r>
          </w:p>
        </w:tc>
        <w:tc>
          <w:tcPr>
            <w:tcW w:type="dxa" w:w="2926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现状、证据与方法</w:t>
            </w:r>
          </w:p>
        </w:tc>
        <w:tc>
          <w:tcPr>
            <w:tcW w:type="dxa" w:w="10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判定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E1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QR码方案</w:t>
            </w:r>
          </w:p>
        </w:tc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核查要点：Art.77：电池须附二维码（分阶段实施）</w:t>
            </w:r>
          </w:p>
        </w:tc>
        <w:tc>
          <w:tcPr>
            <w:tcW w:type="dxa" w:w="2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【现状描述】；证据【E-XX】；方法：确认生成/印刷方案</w:t>
            </w:r>
          </w:p>
        </w:tc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E2</w:t>
            </w:r>
          </w:p>
        </w:tc>
        <w:tc>
          <w:tcPr>
            <w:tcW w:type="dxa" w:w="1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数据护照系统对接能力</w:t>
            </w:r>
          </w:p>
        </w:tc>
        <w:tc>
          <w:tcPr>
            <w:tcW w:type="dxa" w:w="25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核查要点：Art.77-78：护照数据经欧盟系统存取</w:t>
            </w:r>
          </w:p>
        </w:tc>
        <w:tc>
          <w:tcPr>
            <w:tcW w:type="dxa" w:w="29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【现状描述】；证据【E-XX】；方法：评估IT对接能力</w:t>
            </w:r>
          </w:p>
        </w:tc>
        <w:tc>
          <w:tcPr>
            <w:tcW w:type="dxa" w:w="10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E3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内部数据管理系统</w:t>
            </w:r>
          </w:p>
        </w:tc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核查要点：影响数据持续维护效率</w:t>
            </w:r>
          </w:p>
        </w:tc>
        <w:tc>
          <w:tcPr>
            <w:tcW w:type="dxa" w:w="2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【现状描述】；证据【E-XX】；方法：评估工具化程度</w:t>
            </w:r>
          </w:p>
        </w:tc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E4</w:t>
            </w:r>
          </w:p>
        </w:tc>
        <w:tc>
          <w:tcPr>
            <w:tcW w:type="dxa" w:w="1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数据安全与访问控制</w:t>
            </w:r>
          </w:p>
        </w:tc>
        <w:tc>
          <w:tcPr>
            <w:tcW w:type="dxa" w:w="25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核查要点：Art.78(4)：防泄露防篡改</w:t>
            </w:r>
          </w:p>
        </w:tc>
        <w:tc>
          <w:tcPr>
            <w:tcW w:type="dxa" w:w="29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【现状描述】；证据【E-XX】；方法：检查权限管理</w:t>
            </w:r>
          </w:p>
        </w:tc>
        <w:tc>
          <w:tcPr>
            <w:tcW w:type="dxa" w:w="10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</w:tbl>
    <w:p>
      <w:pPr>
        <w:spacing w:after="60"/>
      </w:pPr>
      <w:r>
        <w:rPr>
          <w:rFonts w:ascii="Times New Roman" w:cs="Times New Roman" w:eastAsia="宋体" w:hAnsi="Times New Roman"/>
        </w:rPr>
        <w:t xml:space="preserve"/>
      </w:r>
    </w:p>
    <w:p>
      <w:pPr>
        <w:pStyle w:val="Heading2"/>
      </w:pPr>
      <w:r>
        <w:rPr>
          <w:rFonts w:ascii="Times New Roman" w:cs="Times New Roman" w:eastAsia="宋体" w:hAnsi="Times New Roman"/>
          <w:b/>
          <w:bCs/>
          <w:color w:val="2E7D32"/>
          <w:sz w:val="26"/>
          <w:szCs w:val="26"/>
        </w:rPr>
        <w:t xml:space="preserve">（六） 维度F：管理流程与人员</w:t>
      </w:r>
    </w:p>
    <w:p>
      <w:pPr>
        <w:spacing w:after="120" w:line="320"/>
      </w:pPr>
      <w:r>
        <w:rPr>
          <w:rFonts w:ascii="Times New Roman" w:cs="Times New Roman" w:eastAsia="宋体" w:hAnsi="Times New Roman"/>
        </w:rPr>
        <w:t xml:space="preserve">本维度共核查4项。其中已满足【X】项、部分满足【Y】项、未满足【Z】项。主要发现：【填写2-3句概述】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CellMar>
          <w:top w:type="dxa" w:w="60"/>
          <w:left w:type="dxa" w:w="110"/>
          <w:bottom w:type="dxa" w:w="60"/>
          <w:right w:type="dxa" w:w="110"/>
        </w:tblCellMar>
      </w:tblPr>
      <w:tblGrid>
        <w:gridCol w:w="800"/>
        <w:gridCol w:w="1800"/>
        <w:gridCol w:w="2500"/>
        <w:gridCol w:w="2926"/>
        <w:gridCol w:w="1000"/>
      </w:tblGrid>
      <w:tr>
        <w:trPr>
          <w:cantSplit/>
          <w:tblHeader/>
        </w:trPr>
        <w:tc>
          <w:tcPr>
            <w:tcW w:type="dxa" w:w="8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编号</w:t>
            </w:r>
          </w:p>
        </w:tc>
        <w:tc>
          <w:tcPr>
            <w:tcW w:type="dxa" w:w="18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核查项</w:t>
            </w:r>
          </w:p>
        </w:tc>
        <w:tc>
          <w:tcPr>
            <w:tcW w:type="dxa" w:w="25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核查要点</w:t>
            </w:r>
          </w:p>
        </w:tc>
        <w:tc>
          <w:tcPr>
            <w:tcW w:type="dxa" w:w="2926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现状、证据与方法</w:t>
            </w:r>
          </w:p>
        </w:tc>
        <w:tc>
          <w:tcPr>
            <w:tcW w:type="dxa" w:w="10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判定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F1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内部责任人与跨部门小组</w:t>
            </w:r>
          </w:p>
        </w:tc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核查要点：Art.17：生产者总体责任</w:t>
            </w:r>
          </w:p>
        </w:tc>
        <w:tc>
          <w:tcPr>
            <w:tcW w:type="dxa" w:w="2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【现状描述】；证据【E-XX】；方法：确认负责人及协同机制</w:t>
            </w:r>
          </w:p>
        </w:tc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F2</w:t>
            </w:r>
          </w:p>
        </w:tc>
        <w:tc>
          <w:tcPr>
            <w:tcW w:type="dxa" w:w="1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数据维护更新流程</w:t>
            </w:r>
          </w:p>
        </w:tc>
        <w:tc>
          <w:tcPr>
            <w:tcW w:type="dxa" w:w="25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核查要点：Art.77(3)：动态数据持续更新义务</w:t>
            </w:r>
          </w:p>
        </w:tc>
        <w:tc>
          <w:tcPr>
            <w:tcW w:type="dxa" w:w="29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【现状描述】；证据【E-XX】；方法：检查更新频率与责任人</w:t>
            </w:r>
          </w:p>
        </w:tc>
        <w:tc>
          <w:tcPr>
            <w:tcW w:type="dxa" w:w="10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F3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主管机关查验应对流程</w:t>
            </w:r>
          </w:p>
        </w:tc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核查要点：Art.80：市场监管机构查验配合义务</w:t>
            </w:r>
          </w:p>
        </w:tc>
        <w:tc>
          <w:tcPr>
            <w:tcW w:type="dxa" w:w="2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【现状描述】；证据【E-XX】；方法：检查响应流程与证据留存</w:t>
            </w:r>
          </w:p>
        </w:tc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F4</w:t>
            </w:r>
          </w:p>
        </w:tc>
        <w:tc>
          <w:tcPr>
            <w:tcW w:type="dxa" w:w="1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记录保存期限管理</w:t>
            </w:r>
          </w:p>
        </w:tc>
        <w:tc>
          <w:tcPr>
            <w:tcW w:type="dxa" w:w="25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核查要点：护照数据按法定期限保存</w:t>
            </w:r>
          </w:p>
        </w:tc>
        <w:tc>
          <w:tcPr>
            <w:tcW w:type="dxa" w:w="29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【现状描述】；证据【E-XX】；方法：检查档案管理制度</w:t>
            </w:r>
          </w:p>
        </w:tc>
        <w:tc>
          <w:tcPr>
            <w:tcW w:type="dxa" w:w="10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</w:tbl>
    <w:p>
      <w:pPr>
        <w:pStyle w:val="Heading1"/>
        <w:pageBreakBefore/>
      </w:pPr>
      <w:r>
        <w:rPr>
          <w:rFonts w:ascii="Times New Roman" w:cs="Times New Roman" w:eastAsia="宋体" w:hAnsi="Times New Roman"/>
          <w:b/>
          <w:bCs/>
          <w:color w:val="1A237E"/>
          <w:sz w:val="32"/>
          <w:szCs w:val="32"/>
        </w:rPr>
        <w:t xml:space="preserve">第五章 差距分析</w:t>
      </w:r>
    </w:p>
    <w:p>
      <w:pPr>
        <w:spacing w:after="120" w:line="320"/>
      </w:pPr>
      <w:r>
        <w:rPr>
          <w:rFonts w:ascii="Times New Roman" w:cs="Times New Roman" w:eastAsia="宋体" w:hAnsi="Times New Roman"/>
        </w:rPr>
        <w:t xml:space="preserve">32项核查结果按红黄绿三级归集。红灯为阻塞项，不解决则无法在2027年2月后投放欧盟市场；黄灯为风险项，应限期补充；绿灯为达标项，直接进入护照办理材料池。</w:t>
      </w:r>
    </w:p>
    <w:p>
      <w:pPr>
        <w:pStyle w:val="Heading2"/>
      </w:pPr>
      <w:r>
        <w:rPr>
          <w:rFonts w:ascii="Times New Roman" w:cs="Times New Roman" w:eastAsia="宋体" w:hAnsi="Times New Roman"/>
          <w:b/>
          <w:bCs/>
          <w:color w:val="2E7D32"/>
          <w:sz w:val="26"/>
          <w:szCs w:val="26"/>
        </w:rPr>
        <w:t xml:space="preserve">5.1 红灯明细（阻塞项）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CellMar>
          <w:top w:type="dxa" w:w="60"/>
          <w:left w:type="dxa" w:w="110"/>
          <w:bottom w:type="dxa" w:w="60"/>
          <w:right w:type="dxa" w:w="110"/>
        </w:tblCellMar>
      </w:tblPr>
      <w:tblGrid>
        <w:gridCol w:w="1000"/>
        <w:gridCol w:w="2200"/>
        <w:gridCol w:w="2800"/>
        <w:gridCol w:w="1826"/>
        <w:gridCol w:w="1200"/>
      </w:tblGrid>
      <w:tr>
        <w:trPr>
          <w:cantSplit/>
          <w:tblHeader/>
        </w:trPr>
        <w:tc>
          <w:tcPr>
            <w:tcW w:type="dxa" w:w="10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编号</w:t>
            </w:r>
          </w:p>
        </w:tc>
        <w:tc>
          <w:tcPr>
            <w:tcW w:type="dxa" w:w="22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核查项</w:t>
            </w:r>
          </w:p>
        </w:tc>
        <w:tc>
          <w:tcPr>
            <w:tcW w:type="dxa" w:w="28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差距描述</w:t>
            </w:r>
          </w:p>
        </w:tc>
        <w:tc>
          <w:tcPr>
            <w:tcW w:type="dxa" w:w="1826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合规影响</w:t>
            </w:r>
          </w:p>
        </w:tc>
        <w:tc>
          <w:tcPr>
            <w:tcW w:type="dxa" w:w="12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建议时限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【编号】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【核查项名称】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【差距描述】</w:t>
            </w:r>
          </w:p>
        </w:tc>
        <w:tc>
          <w:tcPr>
            <w:tcW w:type="dxa" w:w="1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【对合规的影响】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【建议完成时限】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【编号】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【核查项名称】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【差距描述】</w:t>
            </w:r>
          </w:p>
        </w:tc>
        <w:tc>
          <w:tcPr>
            <w:tcW w:type="dxa" w:w="1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【对合规的影响】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【建议完成时限】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【编号】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【核查项名称】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【差距描述】</w:t>
            </w:r>
          </w:p>
        </w:tc>
        <w:tc>
          <w:tcPr>
            <w:tcW w:type="dxa" w:w="1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【对合规的影响】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【建议完成时限】</w:t>
            </w:r>
          </w:p>
        </w:tc>
      </w:tr>
    </w:tbl>
    <w:p>
      <w:pPr>
        <w:pStyle w:val="Heading2"/>
      </w:pPr>
      <w:r>
        <w:rPr>
          <w:rFonts w:ascii="Times New Roman" w:cs="Times New Roman" w:eastAsia="宋体" w:hAnsi="Times New Roman"/>
          <w:b/>
          <w:bCs/>
          <w:color w:val="2E7D32"/>
          <w:sz w:val="26"/>
          <w:szCs w:val="26"/>
        </w:rPr>
        <w:t xml:space="preserve">5.2 黄灯明细（风险项）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CellMar>
          <w:top w:type="dxa" w:w="60"/>
          <w:left w:type="dxa" w:w="110"/>
          <w:bottom w:type="dxa" w:w="60"/>
          <w:right w:type="dxa" w:w="110"/>
        </w:tblCellMar>
      </w:tblPr>
      <w:tblGrid>
        <w:gridCol w:w="1000"/>
        <w:gridCol w:w="2200"/>
        <w:gridCol w:w="2800"/>
        <w:gridCol w:w="1826"/>
        <w:gridCol w:w="1200"/>
      </w:tblGrid>
      <w:tr>
        <w:trPr>
          <w:cantSplit/>
          <w:tblHeader/>
        </w:trPr>
        <w:tc>
          <w:tcPr>
            <w:tcW w:type="dxa" w:w="10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编号</w:t>
            </w:r>
          </w:p>
        </w:tc>
        <w:tc>
          <w:tcPr>
            <w:tcW w:type="dxa" w:w="22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核查项</w:t>
            </w:r>
          </w:p>
        </w:tc>
        <w:tc>
          <w:tcPr>
            <w:tcW w:type="dxa" w:w="28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差距描述</w:t>
            </w:r>
          </w:p>
        </w:tc>
        <w:tc>
          <w:tcPr>
            <w:tcW w:type="dxa" w:w="1826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合规影响</w:t>
            </w:r>
          </w:p>
        </w:tc>
        <w:tc>
          <w:tcPr>
            <w:tcW w:type="dxa" w:w="12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建议时限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【编号】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【核查项名称】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【差距描述：有基础但不全/过时/覆盖不足】</w:t>
            </w:r>
          </w:p>
        </w:tc>
        <w:tc>
          <w:tcPr>
            <w:tcW w:type="dxa" w:w="1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【对查验结果的影响】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【建议完成时限】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【编号】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【核查项名称】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【差距描述：有基础但不全/过时/覆盖不足】</w:t>
            </w:r>
          </w:p>
        </w:tc>
        <w:tc>
          <w:tcPr>
            <w:tcW w:type="dxa" w:w="1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【对查验结果的影响】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【建议完成时限】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【编号】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【核查项名称】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【差距描述：有基础但不全/过时/覆盖不足】</w:t>
            </w:r>
          </w:p>
        </w:tc>
        <w:tc>
          <w:tcPr>
            <w:tcW w:type="dxa" w:w="1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【对查验结果的影响】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【建议完成时限】</w:t>
            </w:r>
          </w:p>
        </w:tc>
      </w:tr>
    </w:tbl>
    <w:p>
      <w:pPr>
        <w:pStyle w:val="Heading2"/>
      </w:pPr>
      <w:r>
        <w:rPr>
          <w:rFonts w:ascii="Times New Roman" w:cs="Times New Roman" w:eastAsia="宋体" w:hAnsi="Times New Roman"/>
          <w:b/>
          <w:bCs/>
          <w:color w:val="2E7D32"/>
          <w:sz w:val="26"/>
          <w:szCs w:val="26"/>
        </w:rPr>
        <w:t xml:space="preserve">5.3 绿灯明细（达标项）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CellMar>
          <w:top w:type="dxa" w:w="60"/>
          <w:left w:type="dxa" w:w="110"/>
          <w:bottom w:type="dxa" w:w="60"/>
          <w:right w:type="dxa" w:w="110"/>
        </w:tblCellMar>
      </w:tblPr>
      <w:tblGrid>
        <w:gridCol w:w="1000"/>
        <w:gridCol w:w="2200"/>
        <w:gridCol w:w="2800"/>
        <w:gridCol w:w="1826"/>
        <w:gridCol w:w="1200"/>
      </w:tblGrid>
      <w:tr>
        <w:trPr>
          <w:cantSplit/>
          <w:tblHeader/>
        </w:trPr>
        <w:tc>
          <w:tcPr>
            <w:tcW w:type="dxa" w:w="10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编号</w:t>
            </w:r>
          </w:p>
        </w:tc>
        <w:tc>
          <w:tcPr>
            <w:tcW w:type="dxa" w:w="22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核查项</w:t>
            </w:r>
          </w:p>
        </w:tc>
        <w:tc>
          <w:tcPr>
            <w:tcW w:type="dxa" w:w="28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证据摘要</w:t>
            </w:r>
          </w:p>
        </w:tc>
        <w:tc>
          <w:tcPr>
            <w:tcW w:type="dxa" w:w="1826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处置</w:t>
            </w:r>
          </w:p>
        </w:tc>
        <w:tc>
          <w:tcPr>
            <w:tcW w:type="dxa" w:w="12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维护要求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【编号】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【核查项名称】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【证据摘要】</w:t>
            </w:r>
          </w:p>
        </w:tc>
        <w:tc>
          <w:tcPr>
            <w:tcW w:type="dxa" w:w="1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进入护照材料池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持续维护要求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【编号】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【核查项名称】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【证据摘要】</w:t>
            </w:r>
          </w:p>
        </w:tc>
        <w:tc>
          <w:tcPr>
            <w:tcW w:type="dxa" w:w="1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进入护照材料池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持续维护要求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【编号】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【核查项名称】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【证据摘要】</w:t>
            </w:r>
          </w:p>
        </w:tc>
        <w:tc>
          <w:tcPr>
            <w:tcW w:type="dxa" w:w="1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进入护照材料池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持续维护要求</w:t>
            </w:r>
          </w:p>
        </w:tc>
      </w:tr>
    </w:tbl>
    <w:p>
      <w:pPr>
        <w:pStyle w:val="Heading2"/>
      </w:pPr>
      <w:r>
        <w:rPr>
          <w:rFonts w:ascii="Times New Roman" w:cs="Times New Roman" w:eastAsia="宋体" w:hAnsi="Times New Roman"/>
          <w:b/>
          <w:bCs/>
          <w:color w:val="2E7D32"/>
          <w:sz w:val="26"/>
          <w:szCs w:val="26"/>
        </w:rPr>
        <w:t xml:space="preserve">5.4 关键差距 TOP5</w:t>
      </w:r>
    </w:p>
    <w:p>
      <w:pPr>
        <w:spacing w:after="120" w:line="320"/>
      </w:pPr>
      <w:r>
        <w:rPr>
          <w:rFonts w:ascii="Times New Roman" w:cs="Times New Roman" w:eastAsia="宋体" w:hAnsi="Times New Roman"/>
        </w:rPr>
        <w:t xml:space="preserve">按“合规影响×修复难度”排序，列出对护照办理进度影响最大的五项差距：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CellMar>
          <w:top w:type="dxa" w:w="60"/>
          <w:left w:type="dxa" w:w="110"/>
          <w:bottom w:type="dxa" w:w="60"/>
          <w:right w:type="dxa" w:w="110"/>
        </w:tblCellMar>
      </w:tblPr>
      <w:tblGrid>
        <w:gridCol w:w="900"/>
        <w:gridCol w:w="2800"/>
        <w:gridCol w:w="3200"/>
        <w:gridCol w:w="2126"/>
      </w:tblGrid>
      <w:tr>
        <w:trPr>
          <w:cantSplit/>
          <w:tblHeader/>
        </w:trPr>
        <w:tc>
          <w:tcPr>
            <w:tcW w:type="dxa" w:w="9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排名</w:t>
            </w:r>
          </w:p>
        </w:tc>
        <w:tc>
          <w:tcPr>
            <w:tcW w:type="dxa" w:w="28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关键差距</w:t>
            </w:r>
          </w:p>
        </w:tc>
        <w:tc>
          <w:tcPr>
            <w:tcW w:type="dxa" w:w="32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合规影响</w:t>
            </w:r>
          </w:p>
        </w:tc>
        <w:tc>
          <w:tcPr>
            <w:tcW w:type="dxa" w:w="2126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建议动作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【差距项】</w:t>
            </w:r>
          </w:p>
        </w:tc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【影响描述】</w:t>
            </w:r>
          </w:p>
        </w:tc>
        <w:tc>
          <w:tcPr>
            <w:tcW w:type="dxa" w:w="21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【建议动作】</w:t>
            </w:r>
          </w:p>
        </w:tc>
      </w:tr>
      <w:tr>
        <w:trPr>
          <w:cantSplit/>
        </w:trPr>
        <w:tc>
          <w:tcPr>
            <w:tcW w:type="dxa" w:w="9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dxa" w:w="2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【差距项】</w:t>
            </w:r>
          </w:p>
        </w:tc>
        <w:tc>
          <w:tcPr>
            <w:tcW w:type="dxa" w:w="32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【影响描述】</w:t>
            </w:r>
          </w:p>
        </w:tc>
        <w:tc>
          <w:tcPr>
            <w:tcW w:type="dxa" w:w="21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【建议动作】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【差距项】</w:t>
            </w:r>
          </w:p>
        </w:tc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【影响描述】</w:t>
            </w:r>
          </w:p>
        </w:tc>
        <w:tc>
          <w:tcPr>
            <w:tcW w:type="dxa" w:w="21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【建议动作】</w:t>
            </w:r>
          </w:p>
        </w:tc>
      </w:tr>
      <w:tr>
        <w:trPr>
          <w:cantSplit/>
        </w:trPr>
        <w:tc>
          <w:tcPr>
            <w:tcW w:type="dxa" w:w="9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2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【差距项】</w:t>
            </w:r>
          </w:p>
        </w:tc>
        <w:tc>
          <w:tcPr>
            <w:tcW w:type="dxa" w:w="32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【影响描述】</w:t>
            </w:r>
          </w:p>
        </w:tc>
        <w:tc>
          <w:tcPr>
            <w:tcW w:type="dxa" w:w="21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【建议动作】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【差距项】</w:t>
            </w:r>
          </w:p>
        </w:tc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【影响描述】</w:t>
            </w:r>
          </w:p>
        </w:tc>
        <w:tc>
          <w:tcPr>
            <w:tcW w:type="dxa" w:w="21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【建议动作】</w:t>
            </w:r>
          </w:p>
        </w:tc>
      </w:tr>
    </w:tbl>
    <w:p>
      <w:pPr>
        <w:pStyle w:val="Heading1"/>
        <w:pageBreakBefore/>
      </w:pPr>
      <w:r>
        <w:rPr>
          <w:rFonts w:ascii="Times New Roman" w:cs="Times New Roman" w:eastAsia="宋体" w:hAnsi="Times New Roman"/>
          <w:b/>
          <w:bCs/>
          <w:color w:val="1A237E"/>
          <w:sz w:val="32"/>
          <w:szCs w:val="32"/>
        </w:rPr>
        <w:t xml:space="preserve">第六章 综合评级</w:t>
      </w:r>
    </w:p>
    <w:p>
      <w:pPr>
        <w:spacing w:after="120" w:line="320"/>
      </w:pPr>
      <w:r>
        <w:rPr>
          <w:rFonts w:ascii="Times New Roman" w:cs="Times New Roman" w:eastAsia="宋体" w:hAnsi="Times New Roman"/>
        </w:rPr>
        <w:t xml:space="preserve">维度得分 =（已满足项×1 + 部分满足项×0.5）÷ 适用项数 × 100；不适用项不计入分母。六维得分按下列权重加权汇总。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CellMar>
          <w:top w:type="dxa" w:w="60"/>
          <w:left w:type="dxa" w:w="110"/>
          <w:bottom w:type="dxa" w:w="60"/>
          <w:right w:type="dxa" w:w="110"/>
        </w:tblCellMar>
      </w:tblPr>
      <w:tblGrid>
        <w:gridCol w:w="4200"/>
        <w:gridCol w:w="1600"/>
        <w:gridCol w:w="1400"/>
        <w:gridCol w:w="1826"/>
      </w:tblGrid>
      <w:tr>
        <w:trPr>
          <w:cantSplit/>
          <w:tblHeader/>
        </w:trPr>
        <w:tc>
          <w:tcPr>
            <w:tcW w:type="dxa" w:w="42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核查维度</w:t>
            </w:r>
          </w:p>
        </w:tc>
        <w:tc>
          <w:tcPr>
            <w:tcW w:type="dxa" w:w="16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维度得分</w:t>
            </w:r>
          </w:p>
        </w:tc>
        <w:tc>
          <w:tcPr>
            <w:tcW w:type="dxa" w:w="14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权重</w:t>
            </w:r>
          </w:p>
        </w:tc>
        <w:tc>
          <w:tcPr>
            <w:tcW w:type="dxa" w:w="1826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加权得分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① 基本合规与身份信息（A）</w:t>
            </w:r>
          </w:p>
        </w:tc>
        <w:tc>
          <w:tcPr>
            <w:tcW w:type="dxa" w:w="1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【XX】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20%</w:t>
            </w:r>
          </w:p>
        </w:tc>
        <w:tc>
          <w:tcPr>
            <w:tcW w:type="dxa" w:w="1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【加权得分】</w:t>
            </w:r>
          </w:p>
        </w:tc>
      </w:tr>
      <w:tr>
        <w:trPr>
          <w:cantSplit/>
        </w:trPr>
        <w:tc>
          <w:tcPr>
            <w:tcW w:type="dxa" w:w="42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② 技术文档与合格评定（B）</w:t>
            </w:r>
          </w:p>
        </w:tc>
        <w:tc>
          <w:tcPr>
            <w:tcW w:type="dxa" w:w="16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【XX】</w:t>
            </w:r>
          </w:p>
        </w:tc>
        <w:tc>
          <w:tcPr>
            <w:tcW w:type="dxa" w:w="14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20%</w:t>
            </w:r>
          </w:p>
        </w:tc>
        <w:tc>
          <w:tcPr>
            <w:tcW w:type="dxa" w:w="18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【加权得分】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③ 碳足迹与环境声明（C）</w:t>
            </w:r>
          </w:p>
        </w:tc>
        <w:tc>
          <w:tcPr>
            <w:tcW w:type="dxa" w:w="1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【XX】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15%</w:t>
            </w:r>
          </w:p>
        </w:tc>
        <w:tc>
          <w:tcPr>
            <w:tcW w:type="dxa" w:w="1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【加权得分】</w:t>
            </w:r>
          </w:p>
        </w:tc>
      </w:tr>
      <w:tr>
        <w:trPr>
          <w:cantSplit/>
        </w:trPr>
        <w:tc>
          <w:tcPr>
            <w:tcW w:type="dxa" w:w="42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④ 材料与供应链（D）</w:t>
            </w:r>
          </w:p>
        </w:tc>
        <w:tc>
          <w:tcPr>
            <w:tcW w:type="dxa" w:w="16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【XX】</w:t>
            </w:r>
          </w:p>
        </w:tc>
        <w:tc>
          <w:tcPr>
            <w:tcW w:type="dxa" w:w="14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20%</w:t>
            </w:r>
          </w:p>
        </w:tc>
        <w:tc>
          <w:tcPr>
            <w:tcW w:type="dxa" w:w="18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【加权得分】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⑤ 性能与耐久性（E+性能项）</w:t>
            </w:r>
          </w:p>
        </w:tc>
        <w:tc>
          <w:tcPr>
            <w:tcW w:type="dxa" w:w="1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【XX】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15%</w:t>
            </w:r>
          </w:p>
        </w:tc>
        <w:tc>
          <w:tcPr>
            <w:tcW w:type="dxa" w:w="1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【加权得分】</w:t>
            </w:r>
          </w:p>
        </w:tc>
      </w:tr>
      <w:tr>
        <w:trPr>
          <w:cantSplit/>
        </w:trPr>
        <w:tc>
          <w:tcPr>
            <w:tcW w:type="dxa" w:w="42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⑥ 数据系统与动态数据（F+数据项）</w:t>
            </w:r>
          </w:p>
        </w:tc>
        <w:tc>
          <w:tcPr>
            <w:tcW w:type="dxa" w:w="16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【XX】</w:t>
            </w:r>
          </w:p>
        </w:tc>
        <w:tc>
          <w:tcPr>
            <w:tcW w:type="dxa" w:w="14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10%</w:t>
            </w:r>
          </w:p>
        </w:tc>
        <w:tc>
          <w:tcPr>
            <w:tcW w:type="dxa" w:w="18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【加权得分】</w:t>
            </w:r>
          </w:p>
        </w:tc>
      </w:tr>
    </w:tbl>
    <w:p>
      <w:pPr>
        <w:spacing w:after="60"/>
      </w:pPr>
      <w:r>
        <w:rPr>
          <w:rFonts w:ascii="Times New Roman" w:cs="Times New Roman" w:eastAsia="宋体" w:hAnsi="Times New Roman"/>
        </w:rPr>
        <w:t xml:space="preserve"/>
      </w:r>
    </w:p>
    <w:p>
      <w:pPr>
        <w:spacing w:after="160" w:line="320"/>
      </w:pPr>
      <w:r>
        <w:rPr>
          <w:rFonts w:ascii="Times New Roman" w:cs="Times New Roman" w:eastAsia="宋体" w:hAnsi="Times New Roman"/>
          <w:b/>
          <w:bCs/>
        </w:rPr>
        <w:t xml:space="preserve">加权总分：</w:t>
      </w:r>
      <w:r>
        <w:rPr>
          <w:rFonts w:ascii="Times New Roman" w:cs="Times New Roman" w:eastAsia="宋体" w:hAnsi="Times New Roman"/>
          <w:b/>
          <w:bCs/>
          <w:color w:val="1A237E"/>
          <w:sz w:val="26"/>
          <w:szCs w:val="26"/>
        </w:rPr>
        <w:t xml:space="preserve">【XX 分】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CellMar>
          <w:top w:type="dxa" w:w="60"/>
          <w:left w:type="dxa" w:w="110"/>
          <w:bottom w:type="dxa" w:w="60"/>
          <w:right w:type="dxa" w:w="110"/>
        </w:tblCellMar>
      </w:tblPr>
      <w:tblGrid>
        <w:gridCol w:w="1600"/>
        <w:gridCol w:w="1800"/>
        <w:gridCol w:w="5626"/>
      </w:tblGrid>
      <w:tr>
        <w:trPr>
          <w:cantSplit/>
          <w:tblHeader/>
        </w:trPr>
        <w:tc>
          <w:tcPr>
            <w:tcW w:type="dxa" w:w="16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综合评级</w:t>
            </w:r>
          </w:p>
        </w:tc>
        <w:tc>
          <w:tcPr>
            <w:tcW w:type="dxa" w:w="18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总分区间</w:t>
            </w:r>
          </w:p>
        </w:tc>
        <w:tc>
          <w:tcPr>
            <w:tcW w:type="dxa" w:w="5626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含义与建议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2E7D32"/>
                <w:sz w:val="21"/>
                <w:szCs w:val="21"/>
              </w:rPr>
              <w:t xml:space="preserve">绿色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≥80分</w:t>
            </w:r>
          </w:p>
        </w:tc>
        <w:tc>
          <w:tcPr>
            <w:tcW w:type="dxa" w:w="56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基础扎实，可快速进入注册上线准备，仅需补齐零星项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E65100"/>
                <w:sz w:val="21"/>
                <w:szCs w:val="21"/>
              </w:rPr>
              <w:t xml:space="preserve">黄色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50-79分</w:t>
            </w:r>
          </w:p>
        </w:tc>
        <w:tc>
          <w:tcPr>
            <w:tcW w:type="dxa" w:w="56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存在系统性差距，需按路线图在3-6个月内完成建设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B71C1C"/>
                <w:sz w:val="21"/>
                <w:szCs w:val="21"/>
              </w:rPr>
              <w:t xml:space="preserve">红色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&lt;50分</w:t>
            </w:r>
          </w:p>
        </w:tc>
        <w:tc>
          <w:tcPr>
            <w:tcW w:type="dxa" w:w="56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差距涉及多个基础环节，需立即启动、分阶段重建并预留缓冲</w:t>
            </w:r>
          </w:p>
        </w:tc>
      </w:tr>
    </w:tbl>
    <w:p>
      <w:pPr>
        <w:spacing w:after="60"/>
      </w:pPr>
      <w:r>
        <w:rPr>
          <w:rFonts w:ascii="Times New Roman" w:cs="Times New Roman" w:eastAsia="宋体" w:hAnsi="Times New Roman"/>
        </w:rPr>
        <w:t xml:space="preserve"/>
      </w:r>
    </w:p>
    <w:p>
      <w:pPr>
        <w:spacing w:after="120" w:line="320"/>
      </w:pPr>
      <w:r>
        <w:rPr>
          <w:rFonts w:ascii="Times New Roman" w:cs="Times New Roman" w:eastAsia="宋体" w:hAnsi="Times New Roman"/>
          <w:b w:val="false"/>
          <w:bCs w:val="false"/>
        </w:rPr>
        <w:t xml:space="preserve">评级结论：【客户名称】本次综合评级为【绿色/黄色/红色】，加权总分【XX】分。【2-3句结论说明】</w:t>
      </w:r>
    </w:p>
    <w:p>
      <w:pPr>
        <w:pStyle w:val="Heading1"/>
        <w:pageBreakBefore/>
      </w:pPr>
      <w:r>
        <w:rPr>
          <w:rFonts w:ascii="Times New Roman" w:cs="Times New Roman" w:eastAsia="宋体" w:hAnsi="Times New Roman"/>
          <w:b/>
          <w:bCs/>
          <w:color w:val="1A237E"/>
          <w:sz w:val="32"/>
          <w:szCs w:val="32"/>
        </w:rPr>
        <w:t xml:space="preserve">第七章 差距根因分析</w:t>
      </w:r>
    </w:p>
    <w:p>
      <w:pPr>
        <w:spacing w:after="120" w:line="320"/>
      </w:pPr>
      <w:r>
        <w:rPr>
          <w:rFonts w:ascii="Times New Roman" w:cs="Times New Roman" w:eastAsia="宋体" w:hAnsi="Times New Roman"/>
        </w:rPr>
        <w:t xml:space="preserve">对每一个差距项追溯根因并归入四类，根因类型决定整改动作与预算归属；同一差距可能存在多重根因，按主因归类并注明次因。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CellMar>
          <w:top w:type="dxa" w:w="60"/>
          <w:left w:type="dxa" w:w="110"/>
          <w:bottom w:type="dxa" w:w="60"/>
          <w:right w:type="dxa" w:w="110"/>
        </w:tblCellMar>
      </w:tblPr>
      <w:tblGrid>
        <w:gridCol w:w="1300"/>
        <w:gridCol w:w="2400"/>
        <w:gridCol w:w="2400"/>
        <w:gridCol w:w="1400"/>
        <w:gridCol w:w="1526"/>
      </w:tblGrid>
      <w:tr>
        <w:trPr>
          <w:cantSplit/>
          <w:tblHeader/>
        </w:trPr>
        <w:tc>
          <w:tcPr>
            <w:tcW w:type="dxa" w:w="13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根因类型</w:t>
            </w:r>
          </w:p>
        </w:tc>
        <w:tc>
          <w:tcPr>
            <w:tcW w:type="dxa" w:w="24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典型表现</w:t>
            </w:r>
          </w:p>
        </w:tc>
        <w:tc>
          <w:tcPr>
            <w:tcW w:type="dxa" w:w="24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诊断问题</w:t>
            </w:r>
          </w:p>
        </w:tc>
        <w:tc>
          <w:tcPr>
            <w:tcW w:type="dxa" w:w="14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涉及差距项</w:t>
            </w:r>
          </w:p>
        </w:tc>
        <w:tc>
          <w:tcPr>
            <w:tcW w:type="dxa" w:w="1526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整改方向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数据缺失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有数据但散落在个人电脑未收集 / 业务中根本未产生该数据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数据是否曾产生？若产生过，存在哪里、谁能调取？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【涉及项：编号列表】</w:t>
            </w:r>
          </w:p>
        </w:tc>
        <w:tc>
          <w:tcPr>
            <w:tcW w:type="dxa" w:w="15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【归集/补测安排】</w:t>
            </w:r>
          </w:p>
        </w:tc>
      </w:tr>
      <w:tr>
        <w:trPr>
          <w:cantSplit/>
        </w:trPr>
        <w:tc>
          <w:tcPr>
            <w:tcW w:type="dxa" w:w="13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流程缺失</w:t>
            </w:r>
          </w:p>
        </w:tc>
        <w:tc>
          <w:tcPr>
            <w:tcW w:type="dxa" w:w="24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没有数据管理流程、跨部门责任不清、数据更新无制度</w:t>
            </w:r>
          </w:p>
        </w:tc>
        <w:tc>
          <w:tcPr>
            <w:tcW w:type="dxa" w:w="24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有没有书面流程规定谁产出、谁审核、多久更新？</w:t>
            </w:r>
          </w:p>
        </w:tc>
        <w:tc>
          <w:tcPr>
            <w:tcW w:type="dxa" w:w="14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【涉及项：编号列表】</w:t>
            </w:r>
          </w:p>
        </w:tc>
        <w:tc>
          <w:tcPr>
            <w:tcW w:type="dxa" w:w="15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【建制/责任分工】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技术缺失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检测设备与方法不支持、IT系统无相应字段或接口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现有设备与系统能否产出/承载该数据？改造还是新建？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【涉及项：编号列表】</w:t>
            </w:r>
          </w:p>
        </w:tc>
        <w:tc>
          <w:tcPr>
            <w:tcW w:type="dxa" w:w="15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【设备/IT改造方案】</w:t>
            </w:r>
          </w:p>
        </w:tc>
      </w:tr>
      <w:tr>
        <w:trPr>
          <w:cantSplit/>
        </w:trPr>
        <w:tc>
          <w:tcPr>
            <w:tcW w:type="dxa" w:w="13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供应商缺失</w:t>
            </w:r>
          </w:p>
        </w:tc>
        <w:tc>
          <w:tcPr>
            <w:tcW w:type="dxa" w:w="24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上游不提供数据 / 供应商自己也没有 / 需更换供应商</w:t>
            </w:r>
          </w:p>
        </w:tc>
        <w:tc>
          <w:tcPr>
            <w:tcW w:type="dxa" w:w="24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是否实测过供应商配合度？能否通过合同条款约束？</w:t>
            </w:r>
          </w:p>
        </w:tc>
        <w:tc>
          <w:tcPr>
            <w:tcW w:type="dxa" w:w="14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【涉及项：编号列表】</w:t>
            </w:r>
          </w:p>
        </w:tc>
        <w:tc>
          <w:tcPr>
            <w:tcW w:type="dxa" w:w="15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【问卷/合同/替代供应商】</w:t>
            </w:r>
          </w:p>
        </w:tc>
      </w:tr>
    </w:tbl>
    <w:p>
      <w:pPr>
        <w:pStyle w:val="Heading1"/>
        <w:pageBreakBefore/>
      </w:pPr>
      <w:r>
        <w:rPr>
          <w:rFonts w:ascii="Times New Roman" w:cs="Times New Roman" w:eastAsia="宋体" w:hAnsi="Times New Roman"/>
          <w:b/>
          <w:bCs/>
          <w:color w:val="1A237E"/>
          <w:sz w:val="32"/>
          <w:szCs w:val="32"/>
        </w:rPr>
        <w:t xml:space="preserve">第八章 整改路线图建议</w:t>
      </w:r>
    </w:p>
    <w:p>
      <w:pPr>
        <w:spacing w:after="120" w:line="320"/>
      </w:pPr>
      <w:r>
        <w:rPr>
          <w:rFonts w:ascii="Times New Roman" w:cs="Times New Roman" w:eastAsia="宋体" w:hAnsi="Times New Roman"/>
        </w:rPr>
        <w:t xml:space="preserve">按三阶段安排整改：0-3个月消除红灯阻塞项，3-6个月补齐黄灯风险项并完成系统建设，6-12个月实现常态化维护与注册上线。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CellMar>
          <w:top w:type="dxa" w:w="60"/>
          <w:left w:type="dxa" w:w="110"/>
          <w:bottom w:type="dxa" w:w="60"/>
          <w:right w:type="dxa" w:w="110"/>
        </w:tblCellMar>
      </w:tblPr>
      <w:tblGrid>
        <w:gridCol w:w="1800"/>
        <w:gridCol w:w="1900"/>
        <w:gridCol w:w="2926"/>
        <w:gridCol w:w="1300"/>
        <w:gridCol w:w="1100"/>
      </w:tblGrid>
      <w:tr>
        <w:trPr>
          <w:cantSplit/>
          <w:tblHeader/>
        </w:trPr>
        <w:tc>
          <w:tcPr>
            <w:tcW w:type="dxa" w:w="18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阶段</w:t>
            </w:r>
          </w:p>
        </w:tc>
        <w:tc>
          <w:tcPr>
            <w:tcW w:type="dxa" w:w="19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目标</w:t>
            </w:r>
          </w:p>
        </w:tc>
        <w:tc>
          <w:tcPr>
            <w:tcW w:type="dxa" w:w="2926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关键动作</w:t>
            </w:r>
          </w:p>
        </w:tc>
        <w:tc>
          <w:tcPr>
            <w:tcW w:type="dxa" w:w="13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覆盖差距</w:t>
            </w:r>
          </w:p>
        </w:tc>
        <w:tc>
          <w:tcPr>
            <w:tcW w:type="dxa" w:w="11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责任与里程碑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第一阶段 0-3个月</w:t>
            </w:r>
          </w:p>
        </w:tc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立即启动 · 消除红灯</w:t>
            </w:r>
          </w:p>
        </w:tc>
        <w:tc>
          <w:tcPr>
            <w:tcW w:type="dxa" w:w="2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指定合规负责人与跨部门小组；补齐DoC与标签差距；启动供应商问卷；完成法规适配矩阵复核</w:t>
            </w:r>
          </w:p>
        </w:tc>
        <w:tc>
          <w:tcPr>
            <w:tcW w:type="dxa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【红灯项编号】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【责任部门/里程碑】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第二阶段 3-6个月</w:t>
            </w:r>
          </w:p>
        </w:tc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短期补齐 · 系统建设</w:t>
            </w:r>
          </w:p>
        </w:tc>
        <w:tc>
          <w:tcPr>
            <w:tcW w:type="dxa" w:w="2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供应商数据采集与催收；数据手册与型号数据卡编制；委托LCA机构；护照系统对接与QR码落地</w:t>
            </w:r>
          </w:p>
        </w:tc>
        <w:tc>
          <w:tcPr>
            <w:tcW w:type="dxa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【黄灯项编号】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【责任部门/里程碑】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第三阶段 6-12个月</w:t>
            </w:r>
          </w:p>
        </w:tc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中期完善 · 注册上线</w:t>
            </w:r>
          </w:p>
        </w:tc>
        <w:tc>
          <w:tcPr>
            <w:tcW w:type="dxa" w:w="2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动态数据更新机制运行；数据核验与内部审计；办理护照数据提交与注册；建立年度托管与查验应对机制</w:t>
            </w:r>
          </w:p>
        </w:tc>
        <w:tc>
          <w:tcPr>
            <w:tcW w:type="dxa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【全部遗留项】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【责任部门/里程碑】</w:t>
            </w:r>
          </w:p>
        </w:tc>
      </w:tr>
    </w:tbl>
    <w:p>
      <w:pPr>
        <w:pStyle w:val="Heading1"/>
        <w:pageBreakBefore/>
      </w:pPr>
      <w:r>
        <w:rPr>
          <w:rFonts w:ascii="Times New Roman" w:cs="Times New Roman" w:eastAsia="宋体" w:hAnsi="Times New Roman"/>
          <w:b/>
          <w:bCs/>
          <w:color w:val="1A237E"/>
          <w:sz w:val="32"/>
          <w:szCs w:val="32"/>
        </w:rPr>
        <w:t xml:space="preserve">第九章 结论与下一步建议</w:t>
      </w:r>
    </w:p>
    <w:p>
      <w:pPr>
        <w:spacing w:after="120" w:line="320"/>
      </w:pPr>
      <w:r>
        <w:rPr>
          <w:rFonts w:ascii="Times New Roman" w:cs="Times New Roman" w:eastAsia="宋体" w:hAnsi="Times New Roman"/>
        </w:rPr>
        <w:t xml:space="preserve">【结论：客户整体合规水位、最紧迫的差距、在强制生效日前完成整改的可行性判断。】</w:t>
      </w:r>
    </w:p>
    <w:p>
      <w:pPr>
        <w:pStyle w:val="Heading2"/>
      </w:pPr>
      <w:r>
        <w:rPr>
          <w:rFonts w:ascii="Times New Roman" w:cs="Times New Roman" w:eastAsia="宋体" w:hAnsi="Times New Roman"/>
          <w:b/>
          <w:bCs/>
          <w:color w:val="2E7D32"/>
          <w:sz w:val="26"/>
          <w:szCs w:val="26"/>
        </w:rPr>
        <w:t xml:space="preserve">9.1 下一步服务衔接建议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Times New Roman" w:cs="Times New Roman" w:eastAsia="宋体" w:hAnsi="Times New Roman"/>
        </w:rPr>
        <w:t xml:space="preserve">数据规划与手册编制：按《71数据项标准清单》建立型号数据卡，完成数据归集与口径统一；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Times New Roman" w:cs="Times New Roman" w:eastAsia="宋体" w:hAnsi="Times New Roman"/>
        </w:rPr>
        <w:t xml:space="preserve">供应商数据收集辅导：代发回收《供应商数据问卷（中英双语）》并执行催收SOP，完成二级溯源；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Times New Roman" w:cs="Times New Roman" w:eastAsia="宋体" w:hAnsi="Times New Roman"/>
        </w:rPr>
        <w:t xml:space="preserve">eIDAS与欧盟授权代表办理、欧盟注册中心注册辅导：数据齐备后办理护照数据提交与注册；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Times New Roman" w:cs="Times New Roman" w:eastAsia="宋体" w:hAnsi="Times New Roman"/>
        </w:rPr>
        <w:t xml:space="preserve">年度托管：评估报告数据在服务期内持续更新，不重复收取评估费。</w:t>
      </w:r>
    </w:p>
    <w:p>
      <w:pPr>
        <w:spacing w:after="120" w:line="320"/>
      </w:pPr>
      <w:r>
        <w:rPr>
          <w:rFonts w:ascii="Times New Roman" w:cs="Times New Roman" w:eastAsia="宋体" w:hAnsi="Times New Roman"/>
        </w:rPr>
        <w:t xml:space="preserve">以上服务可整体委托，也可按阶段分别委托。</w:t>
      </w:r>
    </w:p>
    <w:p>
      <w:pPr>
        <w:pStyle w:val="Heading1"/>
        <w:pageBreakBefore/>
      </w:pPr>
      <w:r>
        <w:rPr>
          <w:rFonts w:ascii="Times New Roman" w:cs="Times New Roman" w:eastAsia="宋体" w:hAnsi="Times New Roman"/>
          <w:b/>
          <w:bCs/>
          <w:color w:val="1A237E"/>
          <w:sz w:val="32"/>
          <w:szCs w:val="32"/>
        </w:rPr>
        <w:t xml:space="preserve">附录</w:t>
      </w:r>
    </w:p>
    <w:p>
      <w:pPr>
        <w:pStyle w:val="Heading2"/>
      </w:pPr>
      <w:r>
        <w:rPr>
          <w:rFonts w:ascii="Times New Roman" w:cs="Times New Roman" w:eastAsia="宋体" w:hAnsi="Times New Roman"/>
          <w:b/>
          <w:bCs/>
          <w:color w:val="2E7D32"/>
          <w:sz w:val="26"/>
          <w:szCs w:val="26"/>
        </w:rPr>
        <w:t xml:space="preserve">附录一 术语表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CellMar>
          <w:top w:type="dxa" w:w="60"/>
          <w:left w:type="dxa" w:w="110"/>
          <w:bottom w:type="dxa" w:w="60"/>
          <w:right w:type="dxa" w:w="110"/>
        </w:tblCellMar>
      </w:tblPr>
      <w:tblGrid>
        <w:gridCol w:w="2200"/>
        <w:gridCol w:w="6826"/>
      </w:tblGrid>
      <w:tr>
        <w:trPr>
          <w:cantSplit/>
          <w:tblHeader/>
        </w:trPr>
        <w:tc>
          <w:tcPr>
            <w:tcW w:type="dxa" w:w="22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术语</w:t>
            </w:r>
          </w:p>
        </w:tc>
        <w:tc>
          <w:tcPr>
            <w:tcW w:type="dxa" w:w="6826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释义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DPP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Digital Product Passport，数字产品护照；本报告语境下即欧盟电池护照</w:t>
            </w:r>
          </w:p>
        </w:tc>
      </w:tr>
      <w:tr>
        <w:trPr>
          <w:cantSplit/>
        </w:trPr>
        <w:tc>
          <w:tcPr>
            <w:tcW w:type="dxa" w:w="22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EV / LMT</w:t>
            </w:r>
          </w:p>
        </w:tc>
        <w:tc>
          <w:tcPr>
            <w:tcW w:type="dxa" w:w="68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电动汽车电池 / 轻型交通工具（电动自行车、滑板车等）电池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DoC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EU Declaration of Conformity，欧盟符合性声明</w:t>
            </w:r>
          </w:p>
        </w:tc>
      </w:tr>
      <w:tr>
        <w:trPr>
          <w:cantSplit/>
        </w:trPr>
        <w:tc>
          <w:tcPr>
            <w:tcW w:type="dxa" w:w="22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EPR</w:t>
            </w:r>
          </w:p>
        </w:tc>
        <w:tc>
          <w:tcPr>
            <w:tcW w:type="dxa" w:w="68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Extended Producer Responsibility，生产者延伸责任（注册）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SoH / SOC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电池健康状态 / 荷电状态</w:t>
            </w:r>
          </w:p>
        </w:tc>
      </w:tr>
      <w:tr>
        <w:trPr>
          <w:cantSplit/>
        </w:trPr>
        <w:tc>
          <w:tcPr>
            <w:tcW w:type="dxa" w:w="22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LCA / PEF</w:t>
            </w:r>
          </w:p>
        </w:tc>
        <w:tc>
          <w:tcPr>
            <w:tcW w:type="dxa" w:w="68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生命周期评价 / 欧盟产品环境足迹方法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CRM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Critical Raw Materials，关键原材料</w:t>
            </w:r>
          </w:p>
        </w:tc>
      </w:tr>
    </w:tbl>
    <w:p>
      <w:pPr>
        <w:pStyle w:val="Heading2"/>
      </w:pPr>
      <w:r>
        <w:rPr>
          <w:rFonts w:ascii="Times New Roman" w:cs="Times New Roman" w:eastAsia="宋体" w:hAnsi="Times New Roman"/>
          <w:b/>
          <w:bCs/>
          <w:color w:val="2E7D32"/>
          <w:sz w:val="26"/>
          <w:szCs w:val="26"/>
        </w:rPr>
        <w:t xml:space="preserve">附录二 关键日期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CellMar>
          <w:top w:type="dxa" w:w="60"/>
          <w:left w:type="dxa" w:w="110"/>
          <w:bottom w:type="dxa" w:w="60"/>
          <w:right w:type="dxa" w:w="110"/>
        </w:tblCellMar>
      </w:tblPr>
      <w:tblGrid>
        <w:gridCol w:w="2800"/>
        <w:gridCol w:w="2400"/>
        <w:gridCol w:w="3826"/>
      </w:tblGrid>
      <w:tr>
        <w:trPr>
          <w:cantSplit/>
          <w:tblHeader/>
        </w:trPr>
        <w:tc>
          <w:tcPr>
            <w:tcW w:type="dxa" w:w="28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法规节点</w:t>
            </w:r>
          </w:p>
        </w:tc>
        <w:tc>
          <w:tcPr>
            <w:tcW w:type="dxa" w:w="24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时间</w:t>
            </w:r>
          </w:p>
        </w:tc>
        <w:tc>
          <w:tcPr>
            <w:tcW w:type="dxa" w:w="3826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对客户的影响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供应链尽职调查义务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2025-08-18（已生效）</w:t>
            </w:r>
          </w:p>
        </w:tc>
        <w:tc>
          <w:tcPr>
            <w:tcW w:type="dxa" w:w="3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含钴/锂/镍/天然石墨且容量大于2kWh的电池须建立尽职调查政策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二维码标识分阶段要求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2026-02-18起</w:t>
            </w:r>
          </w:p>
        </w:tc>
        <w:tc>
          <w:tcPr>
            <w:tcW w:type="dxa" w:w="3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电池须附二维码，扫码直达电池护照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标签新要求分阶段实施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2026-08-18起</w:t>
            </w:r>
          </w:p>
        </w:tc>
        <w:tc>
          <w:tcPr>
            <w:tcW w:type="dxa" w:w="3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容量、化学体系、单独收集符号、镉/铅标识等按附录VI实施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负责任采购信息适用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2027-08-18起</w:t>
            </w:r>
          </w:p>
        </w:tc>
        <w:tc>
          <w:tcPr>
            <w:tcW w:type="dxa" w:w="3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Art.52(3)所述尽调报告中的负责任采购信息进入护照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电池护照强制生效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2027-02-18</w:t>
            </w:r>
          </w:p>
        </w:tc>
        <w:tc>
          <w:tcPr>
            <w:tcW w:type="dxa" w:w="3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LMT电池、容量大于2kWh工业电池、EV电池须持有效护照方可在欧盟投放市场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碳足迹声明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按授权法案时间表</w:t>
            </w:r>
          </w:p>
        </w:tc>
        <w:tc>
          <w:tcPr>
            <w:tcW w:type="dxa" w:w="3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EV电池等分阶段强制，须委托LCA机构测算</w:t>
            </w:r>
          </w:p>
        </w:tc>
      </w:tr>
    </w:tbl>
    <w:p>
      <w:pPr>
        <w:pStyle w:val="Heading2"/>
      </w:pPr>
      <w:r>
        <w:rPr>
          <w:rFonts w:ascii="Times New Roman" w:cs="Times New Roman" w:eastAsia="宋体" w:hAnsi="Times New Roman"/>
          <w:b/>
          <w:bCs/>
          <w:color w:val="2E7D32"/>
          <w:sz w:val="26"/>
          <w:szCs w:val="26"/>
        </w:rPr>
        <w:t xml:space="preserve">附录三 证据索引</w:t>
      </w:r>
    </w:p>
    <w:p>
      <w:pPr>
        <w:spacing w:after="120" w:line="320"/>
      </w:pPr>
      <w:r>
        <w:rPr>
          <w:rFonts w:ascii="Times New Roman" w:cs="Times New Roman" w:eastAsia="宋体" w:hAnsi="Times New Roman"/>
          <w:i/>
          <w:iCs/>
          <w:color w:val="8A8A8A"/>
          <w:sz w:val="21"/>
          <w:szCs w:val="21"/>
        </w:rPr>
        <w:t xml:space="preserve">逐项登记核查中采信的书面证据，与第四章证据编号一一对应。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CellMar>
          <w:top w:type="dxa" w:w="60"/>
          <w:left w:type="dxa" w:w="110"/>
          <w:bottom w:type="dxa" w:w="60"/>
          <w:right w:type="dxa" w:w="110"/>
        </w:tblCellMar>
      </w:tblPr>
      <w:tblGrid>
        <w:gridCol w:w="1300"/>
        <w:gridCol w:w="2800"/>
        <w:gridCol w:w="2200"/>
        <w:gridCol w:w="1800"/>
        <w:gridCol w:w="926"/>
      </w:tblGrid>
      <w:tr>
        <w:trPr>
          <w:cantSplit/>
          <w:tblHeader/>
        </w:trPr>
        <w:tc>
          <w:tcPr>
            <w:tcW w:type="dxa" w:w="13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证据编号</w:t>
            </w:r>
          </w:p>
        </w:tc>
        <w:tc>
          <w:tcPr>
            <w:tcW w:type="dxa" w:w="28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证据名称</w:t>
            </w:r>
          </w:p>
        </w:tc>
        <w:tc>
          <w:tcPr>
            <w:tcW w:type="dxa" w:w="22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来源</w:t>
            </w:r>
          </w:p>
        </w:tc>
        <w:tc>
          <w:tcPr>
            <w:tcW w:type="dxa" w:w="18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日期/版本</w:t>
            </w:r>
          </w:p>
        </w:tc>
        <w:tc>
          <w:tcPr>
            <w:tcW w:type="dxa" w:w="926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覆盖范围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【E-01】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【证据名称】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【来源/提供部门】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【日期/版本】</w:t>
            </w:r>
          </w:p>
        </w:tc>
        <w:tc>
          <w:tcPr>
            <w:tcW w:type="dxa" w:w="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【覆盖范围（SKU/工厂/供应商）】</w:t>
            </w:r>
          </w:p>
        </w:tc>
      </w:tr>
      <w:tr>
        <w:trPr>
          <w:cantSplit/>
        </w:trPr>
        <w:tc>
          <w:tcPr>
            <w:tcW w:type="dxa" w:w="13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【E-01】</w:t>
            </w:r>
          </w:p>
        </w:tc>
        <w:tc>
          <w:tcPr>
            <w:tcW w:type="dxa" w:w="2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【证据名称】</w:t>
            </w:r>
          </w:p>
        </w:tc>
        <w:tc>
          <w:tcPr>
            <w:tcW w:type="dxa" w:w="22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【来源/提供部门】</w:t>
            </w:r>
          </w:p>
        </w:tc>
        <w:tc>
          <w:tcPr>
            <w:tcW w:type="dxa" w:w="1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【日期/版本】</w:t>
            </w:r>
          </w:p>
        </w:tc>
        <w:tc>
          <w:tcPr>
            <w:tcW w:type="dxa" w:w="9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【覆盖范围（SKU/工厂/供应商）】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【E-01】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【证据名称】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【来源/提供部门】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【日期/版本】</w:t>
            </w:r>
          </w:p>
        </w:tc>
        <w:tc>
          <w:tcPr>
            <w:tcW w:type="dxa" w:w="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【覆盖范围（SKU/工厂/供应商）】</w:t>
            </w:r>
          </w:p>
        </w:tc>
      </w:tr>
      <w:tr>
        <w:trPr>
          <w:cantSplit/>
        </w:trPr>
        <w:tc>
          <w:tcPr>
            <w:tcW w:type="dxa" w:w="13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【E-01】</w:t>
            </w:r>
          </w:p>
        </w:tc>
        <w:tc>
          <w:tcPr>
            <w:tcW w:type="dxa" w:w="2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【证据名称】</w:t>
            </w:r>
          </w:p>
        </w:tc>
        <w:tc>
          <w:tcPr>
            <w:tcW w:type="dxa" w:w="22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【来源/提供部门】</w:t>
            </w:r>
          </w:p>
        </w:tc>
        <w:tc>
          <w:tcPr>
            <w:tcW w:type="dxa" w:w="1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【日期/版本】</w:t>
            </w:r>
          </w:p>
        </w:tc>
        <w:tc>
          <w:tcPr>
            <w:tcW w:type="dxa" w:w="9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【覆盖范围（SKU/工厂/供应商）】</w:t>
            </w:r>
          </w:p>
        </w:tc>
      </w:tr>
    </w:tbl>
    <w:p>
      <w:pPr>
        <w:spacing w:after="60"/>
      </w:pPr>
      <w:r>
        <w:rPr>
          <w:rFonts w:ascii="Times New Roman" w:cs="Times New Roman" w:eastAsia="宋体" w:hAnsi="Times New Roman"/>
        </w:rPr>
        <w:t xml:space="preserve"/>
      </w:r>
    </w:p>
    <w:p>
      <w:pPr>
        <w:spacing w:after="120" w:line="320"/>
      </w:pPr>
      <w:r>
        <w:rPr>
          <w:rFonts w:ascii="Times New Roman" w:cs="Times New Roman" w:eastAsia="宋体" w:hAnsi="Times New Roman"/>
        </w:rPr>
        <w:t xml:space="preserve">单项评级口径：已满足=证据完整、在有效期、覆盖全部适用SKU；部分满足=有基础需补强；未满足=无材料或无流程；不适用项不计入分母。</w:t>
      </w:r>
    </w:p>
    <w:sectPr>
      <w:headerReference w:type="default" r:id="rId7"/>
      <w:footerReference w:type="default" r:id="rId8"/>
      <w:type w:val="nextPage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宋体" w:hAnsi="Times New Roman"/>
        <w:color w:val="546E7A"/>
        <w:sz w:val="18"/>
        <w:szCs w:val="18"/>
      </w:rPr>
      <w:t xml:space="preserve">财税 · DPP业务线    第 </w:t>
    </w:r>
    <w:r>
      <w:rPr>
        <w:rFonts w:ascii="Times New Roman" w:cs="Times New Roman" w:eastAsia="宋体" w:hAnsi="Times New Roman"/>
        <w:color w:val="546E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宋体" w:hAnsi="Times New Roman"/>
        <w:color w:val="546E7A"/>
        <w:sz w:val="18"/>
        <w:szCs w:val="18"/>
      </w:rPr>
      <w:t xml:space="preserve"> 页 / 共 </w:t>
    </w:r>
    <w:r>
      <w:rPr>
        <w:rFonts w:ascii="Times New Roman" w:cs="Times New Roman" w:eastAsia="宋体" w:hAnsi="Times New Roman"/>
        <w:color w:val="546E7A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Times New Roman" w:cs="Times New Roman" w:eastAsia="宋体" w:hAnsi="Times New Roman"/>
        <w:color w:val="546E7A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237E" w:sz="6" w:space="4"/>
      </w:pBdr>
      <w:jc w:val="right"/>
    </w:pPr>
    <w:r>
      <w:rPr>
        <w:rFonts w:ascii="Times New Roman" w:cs="Times New Roman" w:eastAsia="宋体" w:hAnsi="Times New Roman"/>
        <w:b/>
        <w:bCs/>
        <w:color w:val="1A237E"/>
        <w:sz w:val="18"/>
        <w:szCs w:val="18"/>
      </w:rPr>
      <w:t xml:space="preserve">DPP合规差距评估报告 · 【客户公司全称】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DPP合规差距评估报告</dc:title>
  <dc:creator>财税</dc:creator>
  <cp:lastModifiedBy>Un-named</cp:lastModifiedBy>
  <cp:revision>1</cp:revision>
  <dcterms:created xsi:type="dcterms:W3CDTF">2026-09-26T01:31:16.074Z</dcterms:created>
  <dcterms:modified xsi:type="dcterms:W3CDTF">2026-09-26T01:31:16.074Z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