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9669" w14:textId="77777777" w:rsidR="00E4056F" w:rsidRDefault="00000000">
      <w:pPr>
        <w:spacing w:after="60"/>
        <w:jc w:val="center"/>
      </w:pPr>
      <w:r>
        <w:rPr>
          <w:b/>
          <w:bCs/>
          <w:sz w:val="30"/>
          <w:szCs w:val="30"/>
        </w:rPr>
        <w:t>Information Geometry and Time-Series Momentum</w:t>
      </w:r>
    </w:p>
    <w:p w14:paraId="601814BB" w14:textId="77777777" w:rsidR="00E4056F" w:rsidRDefault="00000000">
      <w:pPr>
        <w:spacing w:after="240"/>
        <w:jc w:val="center"/>
      </w:pPr>
      <w:r>
        <w:rPr>
          <w:i/>
          <w:iCs/>
          <w:sz w:val="22"/>
          <w:szCs w:val="22"/>
        </w:rPr>
        <w:t>Executive Summary</w:t>
      </w:r>
    </w:p>
    <w:p w14:paraId="16E03AEE" w14:textId="77777777" w:rsidR="00E4056F" w:rsidRDefault="00000000">
      <w:pPr>
        <w:spacing w:before="220" w:after="100"/>
      </w:pPr>
      <w:r>
        <w:rPr>
          <w:b/>
          <w:bCs/>
          <w:sz w:val="24"/>
          <w:szCs w:val="24"/>
        </w:rPr>
        <w:t>1. Overview</w:t>
      </w:r>
    </w:p>
    <w:p w14:paraId="33416CA4" w14:textId="6DF10588" w:rsidR="00E4056F" w:rsidRDefault="00000000">
      <w:pPr>
        <w:spacing w:after="140"/>
        <w:jc w:val="both"/>
      </w:pPr>
      <w:r>
        <w:rPr>
          <w:sz w:val="21"/>
          <w:szCs w:val="21"/>
        </w:rPr>
        <w:t>This study introduces Information-Geometric Momentum (IGM), a time-series momentum (TSMOM) strategy that reweights positions using a diagnostic derived from the distributional dynamics of each asset's returns. The diagnostic, termed directional purity, distinguishes momentum signals driven by genuine directional (mean) shifts from those driven by volatility (scale) distortions. Positions are scaled by this diagnostic so that capital concentrates on cleaner trends. IGM is benchmarked against standard TSMOM and a Kalman-filter-based TSMOM variant (KF-TSMOM) across 17 ETFs spanning equities, fixed income, commodities, and currencies (2003–2025, OOS 2014</w:t>
      </w:r>
      <w:r w:rsidR="00BE6883">
        <w:rPr>
          <w:sz w:val="21"/>
          <w:szCs w:val="21"/>
        </w:rPr>
        <w:t>-</w:t>
      </w:r>
      <w:r>
        <w:rPr>
          <w:sz w:val="21"/>
          <w:szCs w:val="21"/>
        </w:rPr>
        <w:t>2025).</w:t>
      </w:r>
    </w:p>
    <w:p w14:paraId="6FF1A18C" w14:textId="77777777" w:rsidR="00E4056F" w:rsidRDefault="00000000">
      <w:pPr>
        <w:spacing w:before="220" w:after="100"/>
      </w:pPr>
      <w:r>
        <w:rPr>
          <w:b/>
          <w:bCs/>
          <w:sz w:val="24"/>
          <w:szCs w:val="24"/>
        </w:rPr>
        <w:t>2. Methodology</w:t>
      </w:r>
    </w:p>
    <w:p w14:paraId="23CF6D20" w14:textId="6913F6EE" w:rsidR="00E4056F" w:rsidRDefault="00000000">
      <w:pPr>
        <w:spacing w:after="140"/>
        <w:jc w:val="both"/>
      </w:pPr>
      <w:r>
        <w:rPr>
          <w:sz w:val="21"/>
          <w:szCs w:val="21"/>
        </w:rPr>
        <w:t>The framework treats each asset's return distribution as evolving through a curved statistical parameter space, and decomposes month-to-month distributional movement into a location (trend) component and a scale (volatility) component using an information-theoretic weighting scheme. The ratio of these components yields a bounded purity score in [0,1] for each asset-month, which is used to attenuate standard TSMOM position sizes; a tuning exponent controls how aggressively low-purity signals are downweighted, calibrated on an in-sample period (2003</w:t>
      </w:r>
      <w:r w:rsidR="00BE6883">
        <w:rPr>
          <w:sz w:val="21"/>
          <w:szCs w:val="21"/>
        </w:rPr>
        <w:t>-</w:t>
      </w:r>
      <w:r>
        <w:rPr>
          <w:sz w:val="21"/>
          <w:szCs w:val="21"/>
        </w:rPr>
        <w:t>2013) and held fixed out of sample. Full derivations, closed-form formulas, and parameter values underlying the diagnostic are withheld from this summary as proprietary.</w:t>
      </w:r>
    </w:p>
    <w:p w14:paraId="679A2270" w14:textId="77777777" w:rsidR="00E4056F" w:rsidRDefault="00000000">
      <w:pPr>
        <w:spacing w:after="140"/>
        <w:jc w:val="both"/>
      </w:pPr>
      <w:r>
        <w:rPr>
          <w:sz w:val="21"/>
          <w:szCs w:val="21"/>
        </w:rPr>
        <w:t>All strategies (standard TSMOM, KF-TSMOM, IGM) use identical volatility-targeted position sizing (40% annualized target) and an equal-weighted portfolio construction, differing only in the multiplicative signal applied to each position. Momentum signals use trailing 12-month returns; volatility is estimated via an EWMA of daily squared returns.</w:t>
      </w:r>
    </w:p>
    <w:p w14:paraId="1F281D46" w14:textId="77777777" w:rsidR="00E4056F" w:rsidRDefault="00000000">
      <w:pPr>
        <w:spacing w:before="220" w:after="100"/>
      </w:pPr>
      <w:r>
        <w:rPr>
          <w:b/>
          <w:bCs/>
          <w:sz w:val="24"/>
          <w:szCs w:val="24"/>
        </w:rPr>
        <w:t>3. Results</w:t>
      </w:r>
    </w:p>
    <w:p w14:paraId="60F7C033" w14:textId="27C53155" w:rsidR="00E4056F" w:rsidRDefault="00000000">
      <w:pPr>
        <w:spacing w:after="140"/>
        <w:jc w:val="both"/>
      </w:pPr>
      <w:r>
        <w:rPr>
          <w:sz w:val="21"/>
          <w:szCs w:val="21"/>
        </w:rPr>
        <w:t>Table 1 summarizes out-of-sample performance. IGM achieves the highest OOS Sharpe ratio (0.847), narrowly exceeding KF-TSMOM (0.840) and substantially outperforming standard TSMOM (0.614). IGM also has the lowest annualized turnover (629% vs. 657% for KF-TSMOM and 968% for standard TSMOM), so its net-of-cost Sharpe advantage (0.770) widens further under higher transaction-cost assumptions</w:t>
      </w:r>
      <w:r w:rsidR="00BE6883">
        <w:rPr>
          <w:sz w:val="21"/>
          <w:szCs w:val="21"/>
        </w:rPr>
        <w:t>.</w:t>
      </w:r>
      <w:r>
        <w:rPr>
          <w:sz w:val="21"/>
          <w:szCs w:val="21"/>
        </w:rPr>
        <w:t xml:space="preserve"> IGM remains net-positive up to roughly 110 bps per unit of turnover, and its cost sensitivity (0.077 Sharpe lost per 10 bps) is lower than KF-TSMOM's (0.093).</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500"/>
        <w:gridCol w:w="1500"/>
      </w:tblGrid>
      <w:tr w:rsidR="00E4056F" w14:paraId="436A9CBF" w14:textId="77777777">
        <w:tblPrEx>
          <w:tblCellMar>
            <w:top w:w="0" w:type="dxa"/>
            <w:bottom w:w="0" w:type="dxa"/>
          </w:tblCellMar>
        </w:tblPrEx>
        <w:tc>
          <w:tcPr>
            <w:tcW w:w="2400" w:type="dxa"/>
            <w:shd w:val="clear" w:color="auto" w:fill="2C2C2C"/>
          </w:tcPr>
          <w:p w14:paraId="1B954018" w14:textId="77777777" w:rsidR="00E4056F" w:rsidRDefault="00000000">
            <w:pPr>
              <w:jc w:val="center"/>
            </w:pPr>
            <w:r>
              <w:rPr>
                <w:b/>
                <w:bCs/>
                <w:color w:val="FFFFFF"/>
                <w:sz w:val="16"/>
                <w:szCs w:val="16"/>
              </w:rPr>
              <w:t>Strategy</w:t>
            </w:r>
          </w:p>
        </w:tc>
        <w:tc>
          <w:tcPr>
            <w:tcW w:w="1300" w:type="dxa"/>
            <w:shd w:val="clear" w:color="auto" w:fill="2C2C2C"/>
          </w:tcPr>
          <w:p w14:paraId="47C88AD8" w14:textId="77777777" w:rsidR="00E4056F" w:rsidRDefault="00000000">
            <w:pPr>
              <w:jc w:val="center"/>
            </w:pPr>
            <w:r>
              <w:rPr>
                <w:b/>
                <w:bCs/>
                <w:color w:val="FFFFFF"/>
                <w:sz w:val="16"/>
                <w:szCs w:val="16"/>
              </w:rPr>
              <w:t>Sharpe (OOS)</w:t>
            </w:r>
          </w:p>
        </w:tc>
        <w:tc>
          <w:tcPr>
            <w:tcW w:w="1300" w:type="dxa"/>
            <w:shd w:val="clear" w:color="auto" w:fill="2C2C2C"/>
          </w:tcPr>
          <w:p w14:paraId="73836E29" w14:textId="77777777" w:rsidR="00E4056F" w:rsidRDefault="00000000">
            <w:pPr>
              <w:jc w:val="center"/>
            </w:pPr>
            <w:r>
              <w:rPr>
                <w:b/>
                <w:bCs/>
                <w:color w:val="FFFFFF"/>
                <w:sz w:val="16"/>
                <w:szCs w:val="16"/>
              </w:rPr>
              <w:t>Net Sharpe</w:t>
            </w:r>
          </w:p>
        </w:tc>
        <w:tc>
          <w:tcPr>
            <w:tcW w:w="1500" w:type="dxa"/>
            <w:shd w:val="clear" w:color="auto" w:fill="2C2C2C"/>
          </w:tcPr>
          <w:p w14:paraId="1426181A" w14:textId="77777777" w:rsidR="00E4056F" w:rsidRDefault="00000000">
            <w:pPr>
              <w:jc w:val="center"/>
            </w:pPr>
            <w:r>
              <w:rPr>
                <w:b/>
                <w:bCs/>
                <w:color w:val="FFFFFF"/>
                <w:sz w:val="16"/>
                <w:szCs w:val="16"/>
              </w:rPr>
              <w:t>Turnover (%/yr)</w:t>
            </w:r>
          </w:p>
        </w:tc>
        <w:tc>
          <w:tcPr>
            <w:tcW w:w="1500" w:type="dxa"/>
            <w:shd w:val="clear" w:color="auto" w:fill="2C2C2C"/>
          </w:tcPr>
          <w:p w14:paraId="14776501" w14:textId="77777777" w:rsidR="00E4056F" w:rsidRDefault="00000000">
            <w:pPr>
              <w:jc w:val="center"/>
            </w:pPr>
            <w:r>
              <w:rPr>
                <w:b/>
                <w:bCs/>
                <w:color w:val="FFFFFF"/>
                <w:sz w:val="16"/>
                <w:szCs w:val="16"/>
              </w:rPr>
              <w:t>Max DD (%)</w:t>
            </w:r>
          </w:p>
        </w:tc>
      </w:tr>
      <w:tr w:rsidR="00E4056F" w14:paraId="30216BE6" w14:textId="77777777">
        <w:tblPrEx>
          <w:tblCellMar>
            <w:top w:w="0" w:type="dxa"/>
            <w:bottom w:w="0" w:type="dxa"/>
          </w:tblCellMar>
        </w:tblPrEx>
        <w:tc>
          <w:tcPr>
            <w:tcW w:w="2400" w:type="dxa"/>
          </w:tcPr>
          <w:p w14:paraId="6C0C2CDE" w14:textId="77777777" w:rsidR="00E4056F" w:rsidRDefault="00000000">
            <w:pPr>
              <w:jc w:val="center"/>
            </w:pPr>
            <w:r>
              <w:rPr>
                <w:sz w:val="16"/>
                <w:szCs w:val="16"/>
              </w:rPr>
              <w:t>Standard TSMOM</w:t>
            </w:r>
          </w:p>
        </w:tc>
        <w:tc>
          <w:tcPr>
            <w:tcW w:w="1300" w:type="dxa"/>
          </w:tcPr>
          <w:p w14:paraId="2A22268D" w14:textId="77777777" w:rsidR="00E4056F" w:rsidRDefault="00000000">
            <w:pPr>
              <w:jc w:val="center"/>
            </w:pPr>
            <w:r>
              <w:rPr>
                <w:sz w:val="16"/>
                <w:szCs w:val="16"/>
              </w:rPr>
              <w:t>0.614</w:t>
            </w:r>
          </w:p>
        </w:tc>
        <w:tc>
          <w:tcPr>
            <w:tcW w:w="1300" w:type="dxa"/>
          </w:tcPr>
          <w:p w14:paraId="7B2DCA42" w14:textId="77777777" w:rsidR="00E4056F" w:rsidRDefault="00000000">
            <w:pPr>
              <w:jc w:val="center"/>
            </w:pPr>
            <w:r>
              <w:rPr>
                <w:sz w:val="16"/>
                <w:szCs w:val="16"/>
              </w:rPr>
              <w:t>0.554</w:t>
            </w:r>
          </w:p>
        </w:tc>
        <w:tc>
          <w:tcPr>
            <w:tcW w:w="1500" w:type="dxa"/>
          </w:tcPr>
          <w:p w14:paraId="26B53A6B" w14:textId="77777777" w:rsidR="00E4056F" w:rsidRDefault="00000000">
            <w:pPr>
              <w:jc w:val="center"/>
            </w:pPr>
            <w:r>
              <w:rPr>
                <w:sz w:val="16"/>
                <w:szCs w:val="16"/>
              </w:rPr>
              <w:t>968</w:t>
            </w:r>
          </w:p>
        </w:tc>
        <w:tc>
          <w:tcPr>
            <w:tcW w:w="1500" w:type="dxa"/>
          </w:tcPr>
          <w:p w14:paraId="118ED8D7" w14:textId="77777777" w:rsidR="00E4056F" w:rsidRDefault="00000000">
            <w:pPr>
              <w:jc w:val="center"/>
            </w:pPr>
            <w:r>
              <w:rPr>
                <w:sz w:val="16"/>
                <w:szCs w:val="16"/>
              </w:rPr>
              <w:t>-24.4</w:t>
            </w:r>
          </w:p>
        </w:tc>
      </w:tr>
      <w:tr w:rsidR="00E4056F" w14:paraId="56672304" w14:textId="77777777">
        <w:tblPrEx>
          <w:tblCellMar>
            <w:top w:w="0" w:type="dxa"/>
            <w:bottom w:w="0" w:type="dxa"/>
          </w:tblCellMar>
        </w:tblPrEx>
        <w:tc>
          <w:tcPr>
            <w:tcW w:w="2400" w:type="dxa"/>
          </w:tcPr>
          <w:p w14:paraId="0D352E73" w14:textId="77777777" w:rsidR="00E4056F" w:rsidRDefault="00000000">
            <w:pPr>
              <w:jc w:val="center"/>
            </w:pPr>
            <w:r>
              <w:rPr>
                <w:sz w:val="16"/>
                <w:szCs w:val="16"/>
              </w:rPr>
              <w:t>KF-TSMOM</w:t>
            </w:r>
          </w:p>
        </w:tc>
        <w:tc>
          <w:tcPr>
            <w:tcW w:w="1300" w:type="dxa"/>
          </w:tcPr>
          <w:p w14:paraId="4C43A7BA" w14:textId="77777777" w:rsidR="00E4056F" w:rsidRDefault="00000000">
            <w:pPr>
              <w:jc w:val="center"/>
            </w:pPr>
            <w:r>
              <w:rPr>
                <w:sz w:val="16"/>
                <w:szCs w:val="16"/>
              </w:rPr>
              <w:t>0.840</w:t>
            </w:r>
          </w:p>
        </w:tc>
        <w:tc>
          <w:tcPr>
            <w:tcW w:w="1300" w:type="dxa"/>
          </w:tcPr>
          <w:p w14:paraId="5A865C04" w14:textId="77777777" w:rsidR="00E4056F" w:rsidRDefault="00000000">
            <w:pPr>
              <w:jc w:val="center"/>
            </w:pPr>
            <w:r>
              <w:rPr>
                <w:sz w:val="16"/>
                <w:szCs w:val="16"/>
              </w:rPr>
              <w:t>0.747</w:t>
            </w:r>
          </w:p>
        </w:tc>
        <w:tc>
          <w:tcPr>
            <w:tcW w:w="1500" w:type="dxa"/>
          </w:tcPr>
          <w:p w14:paraId="6F84F04C" w14:textId="77777777" w:rsidR="00E4056F" w:rsidRDefault="00000000">
            <w:pPr>
              <w:jc w:val="center"/>
            </w:pPr>
            <w:r>
              <w:rPr>
                <w:sz w:val="16"/>
                <w:szCs w:val="16"/>
              </w:rPr>
              <w:t>657</w:t>
            </w:r>
          </w:p>
        </w:tc>
        <w:tc>
          <w:tcPr>
            <w:tcW w:w="1500" w:type="dxa"/>
          </w:tcPr>
          <w:p w14:paraId="5A03948F" w14:textId="77777777" w:rsidR="00E4056F" w:rsidRDefault="00000000">
            <w:pPr>
              <w:jc w:val="center"/>
            </w:pPr>
            <w:r>
              <w:rPr>
                <w:sz w:val="16"/>
                <w:szCs w:val="16"/>
              </w:rPr>
              <w:t>-10.6</w:t>
            </w:r>
          </w:p>
        </w:tc>
      </w:tr>
      <w:tr w:rsidR="00E4056F" w14:paraId="7889FEDA" w14:textId="77777777">
        <w:tblPrEx>
          <w:tblCellMar>
            <w:top w:w="0" w:type="dxa"/>
            <w:bottom w:w="0" w:type="dxa"/>
          </w:tblCellMar>
        </w:tblPrEx>
        <w:tc>
          <w:tcPr>
            <w:tcW w:w="2400" w:type="dxa"/>
          </w:tcPr>
          <w:p w14:paraId="4DB72DF7" w14:textId="77777777" w:rsidR="00E4056F" w:rsidRDefault="00000000">
            <w:pPr>
              <w:jc w:val="center"/>
            </w:pPr>
            <w:r>
              <w:rPr>
                <w:b/>
                <w:bCs/>
                <w:sz w:val="16"/>
                <w:szCs w:val="16"/>
              </w:rPr>
              <w:t>IGM (proposed)</w:t>
            </w:r>
          </w:p>
        </w:tc>
        <w:tc>
          <w:tcPr>
            <w:tcW w:w="1300" w:type="dxa"/>
          </w:tcPr>
          <w:p w14:paraId="076B2A96" w14:textId="77777777" w:rsidR="00E4056F" w:rsidRDefault="00000000">
            <w:pPr>
              <w:jc w:val="center"/>
            </w:pPr>
            <w:r>
              <w:rPr>
                <w:b/>
                <w:bCs/>
                <w:sz w:val="16"/>
                <w:szCs w:val="16"/>
              </w:rPr>
              <w:t>0.847</w:t>
            </w:r>
          </w:p>
        </w:tc>
        <w:tc>
          <w:tcPr>
            <w:tcW w:w="1300" w:type="dxa"/>
          </w:tcPr>
          <w:p w14:paraId="354D6567" w14:textId="77777777" w:rsidR="00E4056F" w:rsidRDefault="00000000">
            <w:pPr>
              <w:jc w:val="center"/>
            </w:pPr>
            <w:r>
              <w:rPr>
                <w:b/>
                <w:bCs/>
                <w:sz w:val="16"/>
                <w:szCs w:val="16"/>
              </w:rPr>
              <w:t>0.770</w:t>
            </w:r>
          </w:p>
        </w:tc>
        <w:tc>
          <w:tcPr>
            <w:tcW w:w="1500" w:type="dxa"/>
          </w:tcPr>
          <w:p w14:paraId="753800FF" w14:textId="77777777" w:rsidR="00E4056F" w:rsidRDefault="00000000">
            <w:pPr>
              <w:jc w:val="center"/>
            </w:pPr>
            <w:r>
              <w:rPr>
                <w:b/>
                <w:bCs/>
                <w:sz w:val="16"/>
                <w:szCs w:val="16"/>
              </w:rPr>
              <w:t>629</w:t>
            </w:r>
          </w:p>
        </w:tc>
        <w:tc>
          <w:tcPr>
            <w:tcW w:w="1500" w:type="dxa"/>
          </w:tcPr>
          <w:p w14:paraId="008B3C03" w14:textId="77777777" w:rsidR="00E4056F" w:rsidRDefault="00000000">
            <w:pPr>
              <w:jc w:val="center"/>
            </w:pPr>
            <w:r>
              <w:rPr>
                <w:b/>
                <w:bCs/>
                <w:sz w:val="16"/>
                <w:szCs w:val="16"/>
              </w:rPr>
              <w:t>-16.0</w:t>
            </w:r>
          </w:p>
        </w:tc>
      </w:tr>
    </w:tbl>
    <w:p w14:paraId="6102E123" w14:textId="1A0985F0" w:rsidR="00E4056F" w:rsidRDefault="00000000">
      <w:pPr>
        <w:spacing w:after="180"/>
      </w:pPr>
      <w:r>
        <w:rPr>
          <w:i/>
          <w:iCs/>
          <w:sz w:val="17"/>
          <w:szCs w:val="17"/>
        </w:rPr>
        <w:t>Table 1. Out-of-sample performance, 2014</w:t>
      </w:r>
      <w:r w:rsidR="00BE6883">
        <w:rPr>
          <w:i/>
          <w:iCs/>
          <w:sz w:val="17"/>
          <w:szCs w:val="17"/>
        </w:rPr>
        <w:t>-</w:t>
      </w:r>
      <w:r>
        <w:rPr>
          <w:i/>
          <w:iCs/>
          <w:sz w:val="17"/>
          <w:szCs w:val="17"/>
        </w:rPr>
        <w:t>2025, net of 10 bps round-trip costs.</w:t>
      </w:r>
    </w:p>
    <w:p w14:paraId="4683EF54" w14:textId="77777777" w:rsidR="00E4056F" w:rsidRDefault="00000000">
      <w:pPr>
        <w:spacing w:after="140"/>
        <w:jc w:val="both"/>
      </w:pPr>
      <w:r>
        <w:rPr>
          <w:sz w:val="21"/>
          <w:szCs w:val="21"/>
        </w:rPr>
        <w:t>A striking finding is that IGM and KF-TSMOM returns are statistically indistinguishable: a paired test on their monthly return differential yields a mean gap of +1.00% p.a. with p=0.743, despite the two strategies being built on unrelated mathematical foundations (geometric vs. state-space). This suggests both approaches recover the same latent trend-quality signal via different routes. A certainty-equivalent return (CER) analysis across risk-aversion levels shows standard TSMOM is preferred by aggressive investors (γ≤2), IGM by institutional investors (γ=3–10), and KF-TSMOM by the most risk-averse allocators (γ≥15). Factor regressions confirm IGM retains significant four-factor alpha (7.69% p.a., t=3.93), exceeding standard TSMOM's (5.66%, t=2.41).</w:t>
      </w:r>
    </w:p>
    <w:p w14:paraId="4E814DC5" w14:textId="7A640434" w:rsidR="00E4056F" w:rsidRDefault="00000000">
      <w:pPr>
        <w:spacing w:after="140"/>
        <w:jc w:val="both"/>
      </w:pPr>
      <w:r>
        <w:rPr>
          <w:sz w:val="21"/>
          <w:szCs w:val="21"/>
        </w:rPr>
        <w:t>The framework has a clear boundary condition: on ETFs, the purity diagnostic correlates positively with forward returns (+0.114, with top-quintile assets outperforming bottom-quintile by 27.2×), but on futures markets this correlation collapses to near zero (-0.011, 2.2× sorting ratio). The authors attribute this to roll-yield effects in futures return contaminating the diagnostic's location-shift component, and propose checking this correlation as a pre-deployment screen before applying the framework to a new asset universe.</w:t>
      </w:r>
    </w:p>
    <w:p w14:paraId="519159C1" w14:textId="77777777" w:rsidR="00E4056F" w:rsidRDefault="00000000">
      <w:pPr>
        <w:spacing w:after="140"/>
        <w:jc w:val="both"/>
      </w:pPr>
      <w:r>
        <w:rPr>
          <w:sz w:val="21"/>
          <w:szCs w:val="21"/>
        </w:rPr>
        <w:t xml:space="preserve">Robustness checks support the main results: performance is stable under an alternative Φ-estimation window (OOS Sharpe 0.820 vs. 0.847 baseline, p=0.798), under Holm-corrected multiple testing, under a placebo test with </w:t>
      </w:r>
      <w:r>
        <w:rPr>
          <w:sz w:val="21"/>
          <w:szCs w:val="21"/>
        </w:rPr>
        <w:lastRenderedPageBreak/>
        <w:t>randomized signal signs (observed Sharpe exceeds all 10,000 random draws), and under alternative in-sample/out-of-sample splits. Rolling 36-month Sharpe ratios show no structural breaks (SupF tests insignificant at 5%).</w:t>
      </w:r>
    </w:p>
    <w:p w14:paraId="502D1D20" w14:textId="77777777" w:rsidR="00E4056F" w:rsidRDefault="00000000">
      <w:pPr>
        <w:spacing w:before="220" w:after="100"/>
      </w:pPr>
      <w:r>
        <w:rPr>
          <w:b/>
          <w:bCs/>
          <w:sz w:val="24"/>
          <w:szCs w:val="24"/>
        </w:rPr>
        <w:t>4. Conclusion</w:t>
      </w:r>
    </w:p>
    <w:p w14:paraId="6DC3308F" w14:textId="77777777" w:rsidR="00E4056F" w:rsidRDefault="00000000">
      <w:pPr>
        <w:spacing w:after="140"/>
        <w:jc w:val="both"/>
      </w:pPr>
      <w:r>
        <w:rPr>
          <w:sz w:val="21"/>
          <w:szCs w:val="21"/>
        </w:rPr>
        <w:t>IGM offers a statistically competitive and lower-turnover alternative to Kalman-filter-based trend following, with the two methods converging so closely in performance that the choice between them is largely one of implementation preference rather than expected return. The purity diagnostic adds explanatory power beyond standard momentum factor exposure, but its usefulness is asset-class dependent: it works on ETFs, not on futures, due to roll-yield contamination. Suggested extensions include generalizing the framework beyond Gaussian return distributions, examining interaction with macroeconomic regime indicators, and formally connecting the geometric and state-space approaches.</w:t>
      </w:r>
    </w:p>
    <w:sectPr w:rsidR="00E4056F">
      <w:pgSz w:w="12240" w:h="15840"/>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12CC"/>
    <w:multiLevelType w:val="hybridMultilevel"/>
    <w:tmpl w:val="5E0A3380"/>
    <w:lvl w:ilvl="0" w:tplc="1DDE0F50">
      <w:start w:val="1"/>
      <w:numFmt w:val="bullet"/>
      <w:lvlText w:val="●"/>
      <w:lvlJc w:val="left"/>
      <w:pPr>
        <w:ind w:left="720" w:hanging="360"/>
      </w:pPr>
    </w:lvl>
    <w:lvl w:ilvl="1" w:tplc="C6AC69D0">
      <w:start w:val="1"/>
      <w:numFmt w:val="bullet"/>
      <w:lvlText w:val="○"/>
      <w:lvlJc w:val="left"/>
      <w:pPr>
        <w:ind w:left="1440" w:hanging="360"/>
      </w:pPr>
    </w:lvl>
    <w:lvl w:ilvl="2" w:tplc="C0E82B12">
      <w:start w:val="1"/>
      <w:numFmt w:val="bullet"/>
      <w:lvlText w:val="■"/>
      <w:lvlJc w:val="left"/>
      <w:pPr>
        <w:ind w:left="2160" w:hanging="360"/>
      </w:pPr>
    </w:lvl>
    <w:lvl w:ilvl="3" w:tplc="A6EC2716">
      <w:start w:val="1"/>
      <w:numFmt w:val="bullet"/>
      <w:lvlText w:val="●"/>
      <w:lvlJc w:val="left"/>
      <w:pPr>
        <w:ind w:left="2880" w:hanging="360"/>
      </w:pPr>
    </w:lvl>
    <w:lvl w:ilvl="4" w:tplc="D6E21B1A">
      <w:start w:val="1"/>
      <w:numFmt w:val="bullet"/>
      <w:lvlText w:val="○"/>
      <w:lvlJc w:val="left"/>
      <w:pPr>
        <w:ind w:left="3600" w:hanging="360"/>
      </w:pPr>
    </w:lvl>
    <w:lvl w:ilvl="5" w:tplc="2402AE78">
      <w:start w:val="1"/>
      <w:numFmt w:val="bullet"/>
      <w:lvlText w:val="■"/>
      <w:lvlJc w:val="left"/>
      <w:pPr>
        <w:ind w:left="4320" w:hanging="360"/>
      </w:pPr>
    </w:lvl>
    <w:lvl w:ilvl="6" w:tplc="BECC27B4">
      <w:start w:val="1"/>
      <w:numFmt w:val="bullet"/>
      <w:lvlText w:val="●"/>
      <w:lvlJc w:val="left"/>
      <w:pPr>
        <w:ind w:left="5040" w:hanging="360"/>
      </w:pPr>
    </w:lvl>
    <w:lvl w:ilvl="7" w:tplc="A582DDB2">
      <w:start w:val="1"/>
      <w:numFmt w:val="bullet"/>
      <w:lvlText w:val="●"/>
      <w:lvlJc w:val="left"/>
      <w:pPr>
        <w:ind w:left="5760" w:hanging="360"/>
      </w:pPr>
    </w:lvl>
    <w:lvl w:ilvl="8" w:tplc="A064A120">
      <w:start w:val="1"/>
      <w:numFmt w:val="bullet"/>
      <w:lvlText w:val="●"/>
      <w:lvlJc w:val="left"/>
      <w:pPr>
        <w:ind w:left="6480" w:hanging="360"/>
      </w:pPr>
    </w:lvl>
  </w:abstractNum>
  <w:num w:numId="1" w16cid:durableId="1927494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6F"/>
    <w:rsid w:val="00304282"/>
    <w:rsid w:val="00BE6883"/>
    <w:rsid w:val="00E40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4521"/>
  <w15:docId w15:val="{48F2440C-FC9B-442A-8547-69A1D86D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Sparsh Patel</cp:lastModifiedBy>
  <cp:revision>2</cp:revision>
  <dcterms:created xsi:type="dcterms:W3CDTF">2026-07-10T19:35:00Z</dcterms:created>
  <dcterms:modified xsi:type="dcterms:W3CDTF">2026-10-15T06:58:00Z</dcterms:modified>
</cp:coreProperties>
</file>