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4E0CA" w14:textId="77777777" w:rsidR="005C7640" w:rsidRDefault="00000000">
      <w:pPr>
        <w:spacing w:after="60"/>
        <w:jc w:val="center"/>
      </w:pPr>
      <w:r>
        <w:rPr>
          <w:b/>
          <w:bCs/>
          <w:sz w:val="30"/>
          <w:szCs w:val="30"/>
        </w:rPr>
        <w:t>Adaptive Coupled Stochastic Resonance Arrays for Volatility Regime Detection</w:t>
      </w:r>
    </w:p>
    <w:p w14:paraId="20C05E8E" w14:textId="77777777" w:rsidR="005C7640" w:rsidRDefault="00000000">
      <w:pPr>
        <w:spacing w:after="240"/>
        <w:jc w:val="center"/>
      </w:pPr>
      <w:r>
        <w:rPr>
          <w:i/>
          <w:iCs/>
          <w:sz w:val="22"/>
          <w:szCs w:val="22"/>
        </w:rPr>
        <w:t>Executive Summary</w:t>
      </w:r>
    </w:p>
    <w:p w14:paraId="0EF837C5" w14:textId="77777777" w:rsidR="005C7640" w:rsidRDefault="00000000">
      <w:pPr>
        <w:spacing w:before="220" w:after="100"/>
      </w:pPr>
      <w:r>
        <w:rPr>
          <w:b/>
          <w:bCs/>
          <w:sz w:val="24"/>
          <w:szCs w:val="24"/>
        </w:rPr>
        <w:t>1. Overview</w:t>
      </w:r>
    </w:p>
    <w:p w14:paraId="63802D4C" w14:textId="77777777" w:rsidR="005C7640" w:rsidRDefault="00000000">
      <w:pPr>
        <w:spacing w:after="140"/>
        <w:jc w:val="both"/>
      </w:pPr>
      <w:r>
        <w:rPr>
          <w:sz w:val="21"/>
          <w:szCs w:val="21"/>
        </w:rPr>
        <w:t>This study introduces the Adaptive Coupled Stochastic Resonance Array (ACSRA), a signal-detection framework adapting the classical bistable Langevin model to financial microstructure data for early VIX regime-transition detection. Rather than smoothing noise away as conventional change-point and anomaly detectors do, ACSRA exploits rising volatility as a resonance driver that amplifies weak precursor signals across N coupled detectors, with a theoretical signal-to-noise ratio (SNR) gain of √N. The framework is evaluated out-of-sample on daily SPY and VIX data (2006–2025; train 2006–2018, test 2019–2025) against ten established benchmark methods spanning change-point detection, mixture models, volatility-based methods, anomaly detection, fractal measures, and nonparametric distribution tests.</w:t>
      </w:r>
    </w:p>
    <w:p w14:paraId="4756A74F" w14:textId="77777777" w:rsidR="005C7640" w:rsidRDefault="00000000">
      <w:pPr>
        <w:spacing w:before="220" w:after="100"/>
      </w:pPr>
      <w:r>
        <w:rPr>
          <w:b/>
          <w:bCs/>
          <w:sz w:val="24"/>
          <w:szCs w:val="24"/>
        </w:rPr>
        <w:t>2. Methodology</w:t>
      </w:r>
    </w:p>
    <w:p w14:paraId="625D4E59" w14:textId="77777777" w:rsidR="005C7640" w:rsidRDefault="00000000">
      <w:pPr>
        <w:spacing w:after="140"/>
        <w:jc w:val="both"/>
      </w:pPr>
      <w:r>
        <w:rPr>
          <w:sz w:val="21"/>
          <w:szCs w:val="21"/>
        </w:rPr>
        <w:t>ACSRA is built around a coupled array of adaptive bistable detectors that respond to a small set of screened financial microstructure signals. Its distinguishing feature is a real-time barrier-adaptation mechanism that keeps each detector near its resonance point as market volatility changes, allowing the array to amplify weak precursor information rather than simply filtering it out. Detector outputs are combined through a coupling and signal-extraction layer into a single composite detection score. Full mechanism details, feature definitions, and parameter settings are withheld from this summary as proprietary.</w:t>
      </w:r>
    </w:p>
    <w:p w14:paraId="3093A591" w14:textId="77777777" w:rsidR="005C7640" w:rsidRDefault="00000000">
      <w:pPr>
        <w:spacing w:after="140"/>
        <w:jc w:val="both"/>
      </w:pPr>
      <w:r>
        <w:rPr>
          <w:sz w:val="21"/>
          <w:szCs w:val="21"/>
        </w:rPr>
        <w:t>Ground truth regime transitions require VIX ≥ 25 for five consecutive days following a period spending ≥80% of the prior 20 days below threshold, isolating genuine escalations from single-day spikes. All parameters were fixed on 2006–2018 training data before evaluation on the fully held-out 2019–2025 test period, which contains five confirmed transitions including the COVID crash and the 2022 rate-hiking cycle.</w:t>
      </w:r>
    </w:p>
    <w:p w14:paraId="2B438178" w14:textId="77777777" w:rsidR="005C7640" w:rsidRDefault="00000000">
      <w:pPr>
        <w:spacing w:before="220" w:after="100"/>
      </w:pPr>
      <w:r>
        <w:rPr>
          <w:b/>
          <w:bCs/>
          <w:sz w:val="24"/>
          <w:szCs w:val="24"/>
        </w:rPr>
        <w:t>3. Results</w:t>
      </w:r>
    </w:p>
    <w:p w14:paraId="57CAB19C" w14:textId="6C2C9E97" w:rsidR="005C7640" w:rsidRDefault="00000000">
      <w:pPr>
        <w:spacing w:after="140"/>
        <w:jc w:val="both"/>
      </w:pPr>
      <w:r>
        <w:rPr>
          <w:sz w:val="21"/>
          <w:szCs w:val="21"/>
        </w:rPr>
        <w:t>Table 1 reports all six evaluation metrics across the eleven methods. ACSRA ranks second by F1 score (0.600), trailing only the Markov-Switching model (0.625), and records the highest precision of any method (0.938) alongside an 80% detection rate. The Markov-Switching model achieves perfect precision (1.000) but detects fewer transitions; ACSRA is comparatively more aggressive while remaining highly selective. Both leaders separate clearly from the next tier</w:t>
      </w:r>
      <w:r w:rsidR="00EB2CA1">
        <w:rPr>
          <w:sz w:val="21"/>
          <w:szCs w:val="21"/>
        </w:rPr>
        <w:t>:</w:t>
      </w:r>
      <w:r>
        <w:rPr>
          <w:sz w:val="21"/>
          <w:szCs w:val="21"/>
        </w:rPr>
        <w:t xml:space="preserve"> CUSUM (0.415)</w:t>
      </w:r>
      <w:r w:rsidR="00EB2CA1">
        <w:rPr>
          <w:sz w:val="21"/>
          <w:szCs w:val="21"/>
        </w:rPr>
        <w:t xml:space="preserve">, </w:t>
      </w:r>
      <w:r>
        <w:rPr>
          <w:sz w:val="21"/>
          <w:szCs w:val="21"/>
        </w:rPr>
        <w:t>where high nominal lead times are undercut by heavy false-alarm rates (e.g., CUSUM's 21.4-day mean lead accompanies only 30.4% precision). Hurst exponent and Kernel MMD are effectively uninformative on this test set.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900"/>
        <w:gridCol w:w="1100"/>
        <w:gridCol w:w="900"/>
        <w:gridCol w:w="1100"/>
        <w:gridCol w:w="1100"/>
      </w:tblGrid>
      <w:tr w:rsidR="005C7640" w14:paraId="62C0F38F" w14:textId="77777777">
        <w:tblPrEx>
          <w:tblCellMar>
            <w:top w:w="0" w:type="dxa"/>
            <w:bottom w:w="0" w:type="dxa"/>
          </w:tblCellMar>
        </w:tblPrEx>
        <w:tc>
          <w:tcPr>
            <w:tcW w:w="1900" w:type="dxa"/>
            <w:shd w:val="clear" w:color="auto" w:fill="2C2C2C"/>
          </w:tcPr>
          <w:p w14:paraId="160C7F6C" w14:textId="77777777" w:rsidR="005C7640" w:rsidRDefault="00000000">
            <w:pPr>
              <w:jc w:val="center"/>
            </w:pPr>
            <w:r>
              <w:rPr>
                <w:b/>
                <w:bCs/>
                <w:color w:val="FFFFFF"/>
                <w:sz w:val="16"/>
                <w:szCs w:val="16"/>
              </w:rPr>
              <w:t>Method</w:t>
            </w:r>
          </w:p>
        </w:tc>
        <w:tc>
          <w:tcPr>
            <w:tcW w:w="900" w:type="dxa"/>
            <w:shd w:val="clear" w:color="auto" w:fill="2C2C2C"/>
          </w:tcPr>
          <w:p w14:paraId="78810C3A" w14:textId="77777777" w:rsidR="005C7640" w:rsidRDefault="00000000">
            <w:pPr>
              <w:jc w:val="center"/>
            </w:pPr>
            <w:r>
              <w:rPr>
                <w:b/>
                <w:bCs/>
                <w:color w:val="FFFFFF"/>
                <w:sz w:val="16"/>
                <w:szCs w:val="16"/>
              </w:rPr>
              <w:t>F1</w:t>
            </w:r>
          </w:p>
        </w:tc>
        <w:tc>
          <w:tcPr>
            <w:tcW w:w="1100" w:type="dxa"/>
            <w:shd w:val="clear" w:color="auto" w:fill="2C2C2C"/>
          </w:tcPr>
          <w:p w14:paraId="09BEFD8B" w14:textId="77777777" w:rsidR="005C7640" w:rsidRDefault="00000000">
            <w:pPr>
              <w:jc w:val="center"/>
            </w:pPr>
            <w:r>
              <w:rPr>
                <w:b/>
                <w:bCs/>
                <w:color w:val="FFFFFF"/>
                <w:sz w:val="16"/>
                <w:szCs w:val="16"/>
              </w:rPr>
              <w:t>Precision</w:t>
            </w:r>
          </w:p>
        </w:tc>
        <w:tc>
          <w:tcPr>
            <w:tcW w:w="900" w:type="dxa"/>
            <w:shd w:val="clear" w:color="auto" w:fill="2C2C2C"/>
          </w:tcPr>
          <w:p w14:paraId="7F116355" w14:textId="77777777" w:rsidR="005C7640" w:rsidRDefault="00000000">
            <w:pPr>
              <w:jc w:val="center"/>
            </w:pPr>
            <w:r>
              <w:rPr>
                <w:b/>
                <w:bCs/>
                <w:color w:val="FFFFFF"/>
                <w:sz w:val="16"/>
                <w:szCs w:val="16"/>
              </w:rPr>
              <w:t>Recall</w:t>
            </w:r>
          </w:p>
        </w:tc>
        <w:tc>
          <w:tcPr>
            <w:tcW w:w="1100" w:type="dxa"/>
            <w:shd w:val="clear" w:color="auto" w:fill="2C2C2C"/>
          </w:tcPr>
          <w:p w14:paraId="591CA9AA" w14:textId="77777777" w:rsidR="005C7640" w:rsidRDefault="00000000">
            <w:pPr>
              <w:jc w:val="center"/>
            </w:pPr>
            <w:r>
              <w:rPr>
                <w:b/>
                <w:bCs/>
                <w:color w:val="FFFFFF"/>
                <w:sz w:val="16"/>
                <w:szCs w:val="16"/>
              </w:rPr>
              <w:t>Lead (d)</w:t>
            </w:r>
          </w:p>
        </w:tc>
        <w:tc>
          <w:tcPr>
            <w:tcW w:w="1100" w:type="dxa"/>
            <w:shd w:val="clear" w:color="auto" w:fill="2C2C2C"/>
          </w:tcPr>
          <w:p w14:paraId="3BA5CD47" w14:textId="77777777" w:rsidR="005C7640" w:rsidRDefault="00000000">
            <w:pPr>
              <w:jc w:val="center"/>
            </w:pPr>
            <w:r>
              <w:rPr>
                <w:b/>
                <w:bCs/>
                <w:color w:val="FFFFFF"/>
                <w:sz w:val="16"/>
                <w:szCs w:val="16"/>
              </w:rPr>
              <w:t>Det. %</w:t>
            </w:r>
          </w:p>
        </w:tc>
      </w:tr>
      <w:tr w:rsidR="005C7640" w14:paraId="3D5DB4D9" w14:textId="77777777">
        <w:tblPrEx>
          <w:tblCellMar>
            <w:top w:w="0" w:type="dxa"/>
            <w:bottom w:w="0" w:type="dxa"/>
          </w:tblCellMar>
        </w:tblPrEx>
        <w:tc>
          <w:tcPr>
            <w:tcW w:w="1900" w:type="dxa"/>
          </w:tcPr>
          <w:p w14:paraId="1F4C9BD4" w14:textId="77777777" w:rsidR="005C7640" w:rsidRDefault="00000000">
            <w:pPr>
              <w:jc w:val="center"/>
            </w:pPr>
            <w:r>
              <w:rPr>
                <w:sz w:val="16"/>
                <w:szCs w:val="16"/>
              </w:rPr>
              <w:t>Markov-Switching</w:t>
            </w:r>
          </w:p>
        </w:tc>
        <w:tc>
          <w:tcPr>
            <w:tcW w:w="900" w:type="dxa"/>
          </w:tcPr>
          <w:p w14:paraId="5902D68D" w14:textId="77777777" w:rsidR="005C7640" w:rsidRDefault="00000000">
            <w:pPr>
              <w:jc w:val="center"/>
            </w:pPr>
            <w:r>
              <w:rPr>
                <w:sz w:val="16"/>
                <w:szCs w:val="16"/>
              </w:rPr>
              <w:t>0.625</w:t>
            </w:r>
          </w:p>
        </w:tc>
        <w:tc>
          <w:tcPr>
            <w:tcW w:w="1100" w:type="dxa"/>
          </w:tcPr>
          <w:p w14:paraId="5CEDC473" w14:textId="77777777" w:rsidR="005C7640" w:rsidRDefault="00000000">
            <w:pPr>
              <w:jc w:val="center"/>
            </w:pPr>
            <w:r>
              <w:rPr>
                <w:sz w:val="16"/>
                <w:szCs w:val="16"/>
              </w:rPr>
              <w:t>1.000</w:t>
            </w:r>
          </w:p>
        </w:tc>
        <w:tc>
          <w:tcPr>
            <w:tcW w:w="900" w:type="dxa"/>
          </w:tcPr>
          <w:p w14:paraId="289658D4" w14:textId="77777777" w:rsidR="005C7640" w:rsidRDefault="00000000">
            <w:pPr>
              <w:jc w:val="center"/>
            </w:pPr>
            <w:r>
              <w:rPr>
                <w:sz w:val="16"/>
                <w:szCs w:val="16"/>
              </w:rPr>
              <w:t>0.455</w:t>
            </w:r>
          </w:p>
        </w:tc>
        <w:tc>
          <w:tcPr>
            <w:tcW w:w="1100" w:type="dxa"/>
          </w:tcPr>
          <w:p w14:paraId="2ADA89D2" w14:textId="77777777" w:rsidR="005C7640" w:rsidRDefault="00000000">
            <w:pPr>
              <w:jc w:val="center"/>
            </w:pPr>
            <w:r>
              <w:rPr>
                <w:sz w:val="16"/>
                <w:szCs w:val="16"/>
              </w:rPr>
              <w:t>7.1</w:t>
            </w:r>
          </w:p>
        </w:tc>
        <w:tc>
          <w:tcPr>
            <w:tcW w:w="1100" w:type="dxa"/>
          </w:tcPr>
          <w:p w14:paraId="1CE5F7BC" w14:textId="77777777" w:rsidR="005C7640" w:rsidRDefault="00000000">
            <w:pPr>
              <w:jc w:val="center"/>
            </w:pPr>
            <w:r>
              <w:rPr>
                <w:sz w:val="16"/>
                <w:szCs w:val="16"/>
              </w:rPr>
              <w:t>45.5</w:t>
            </w:r>
          </w:p>
        </w:tc>
      </w:tr>
      <w:tr w:rsidR="005C7640" w14:paraId="55F674C7" w14:textId="77777777">
        <w:tblPrEx>
          <w:tblCellMar>
            <w:top w:w="0" w:type="dxa"/>
            <w:bottom w:w="0" w:type="dxa"/>
          </w:tblCellMar>
        </w:tblPrEx>
        <w:tc>
          <w:tcPr>
            <w:tcW w:w="1900" w:type="dxa"/>
          </w:tcPr>
          <w:p w14:paraId="4EEFC298" w14:textId="77777777" w:rsidR="005C7640" w:rsidRDefault="00000000">
            <w:pPr>
              <w:jc w:val="center"/>
            </w:pPr>
            <w:r>
              <w:rPr>
                <w:b/>
                <w:bCs/>
                <w:sz w:val="16"/>
                <w:szCs w:val="16"/>
              </w:rPr>
              <w:t>ACSRA (proposed)</w:t>
            </w:r>
          </w:p>
        </w:tc>
        <w:tc>
          <w:tcPr>
            <w:tcW w:w="900" w:type="dxa"/>
          </w:tcPr>
          <w:p w14:paraId="5F093249" w14:textId="77777777" w:rsidR="005C7640" w:rsidRDefault="00000000">
            <w:pPr>
              <w:jc w:val="center"/>
            </w:pPr>
            <w:r>
              <w:rPr>
                <w:b/>
                <w:bCs/>
                <w:sz w:val="16"/>
                <w:szCs w:val="16"/>
              </w:rPr>
              <w:t>0.600</w:t>
            </w:r>
          </w:p>
        </w:tc>
        <w:tc>
          <w:tcPr>
            <w:tcW w:w="1100" w:type="dxa"/>
          </w:tcPr>
          <w:p w14:paraId="7EDAF807" w14:textId="77777777" w:rsidR="005C7640" w:rsidRDefault="00000000">
            <w:pPr>
              <w:jc w:val="center"/>
            </w:pPr>
            <w:r>
              <w:rPr>
                <w:b/>
                <w:bCs/>
                <w:sz w:val="16"/>
                <w:szCs w:val="16"/>
              </w:rPr>
              <w:t>0.938</w:t>
            </w:r>
          </w:p>
        </w:tc>
        <w:tc>
          <w:tcPr>
            <w:tcW w:w="900" w:type="dxa"/>
          </w:tcPr>
          <w:p w14:paraId="316A18C2" w14:textId="77777777" w:rsidR="005C7640" w:rsidRDefault="00000000">
            <w:pPr>
              <w:jc w:val="center"/>
            </w:pPr>
            <w:r>
              <w:rPr>
                <w:b/>
                <w:bCs/>
                <w:sz w:val="16"/>
                <w:szCs w:val="16"/>
              </w:rPr>
              <w:t>0.455</w:t>
            </w:r>
          </w:p>
        </w:tc>
        <w:tc>
          <w:tcPr>
            <w:tcW w:w="1100" w:type="dxa"/>
          </w:tcPr>
          <w:p w14:paraId="4E4499D3" w14:textId="77777777" w:rsidR="005C7640" w:rsidRDefault="00000000">
            <w:pPr>
              <w:jc w:val="center"/>
            </w:pPr>
            <w:r>
              <w:rPr>
                <w:b/>
                <w:bCs/>
                <w:sz w:val="16"/>
                <w:szCs w:val="16"/>
              </w:rPr>
              <w:t>3.6</w:t>
            </w:r>
          </w:p>
        </w:tc>
        <w:tc>
          <w:tcPr>
            <w:tcW w:w="1100" w:type="dxa"/>
          </w:tcPr>
          <w:p w14:paraId="38CE1B34" w14:textId="77777777" w:rsidR="005C7640" w:rsidRDefault="00000000">
            <w:pPr>
              <w:jc w:val="center"/>
            </w:pPr>
            <w:r>
              <w:rPr>
                <w:b/>
                <w:bCs/>
                <w:sz w:val="16"/>
                <w:szCs w:val="16"/>
              </w:rPr>
              <w:t>80.0</w:t>
            </w:r>
          </w:p>
        </w:tc>
      </w:tr>
      <w:tr w:rsidR="005C7640" w14:paraId="66DAAD09" w14:textId="77777777">
        <w:tblPrEx>
          <w:tblCellMar>
            <w:top w:w="0" w:type="dxa"/>
            <w:bottom w:w="0" w:type="dxa"/>
          </w:tblCellMar>
        </w:tblPrEx>
        <w:tc>
          <w:tcPr>
            <w:tcW w:w="1900" w:type="dxa"/>
          </w:tcPr>
          <w:p w14:paraId="6AEADCCB" w14:textId="77777777" w:rsidR="005C7640" w:rsidRDefault="00000000">
            <w:pPr>
              <w:jc w:val="center"/>
            </w:pPr>
            <w:r>
              <w:rPr>
                <w:sz w:val="16"/>
                <w:szCs w:val="16"/>
              </w:rPr>
              <w:t>CUSUM</w:t>
            </w:r>
          </w:p>
        </w:tc>
        <w:tc>
          <w:tcPr>
            <w:tcW w:w="900" w:type="dxa"/>
          </w:tcPr>
          <w:p w14:paraId="4F25442B" w14:textId="77777777" w:rsidR="005C7640" w:rsidRDefault="00000000">
            <w:pPr>
              <w:jc w:val="center"/>
            </w:pPr>
            <w:r>
              <w:rPr>
                <w:sz w:val="16"/>
                <w:szCs w:val="16"/>
              </w:rPr>
              <w:t>0.415</w:t>
            </w:r>
          </w:p>
        </w:tc>
        <w:tc>
          <w:tcPr>
            <w:tcW w:w="1100" w:type="dxa"/>
          </w:tcPr>
          <w:p w14:paraId="63B4F92A" w14:textId="77777777" w:rsidR="005C7640" w:rsidRDefault="00000000">
            <w:pPr>
              <w:jc w:val="center"/>
            </w:pPr>
            <w:r>
              <w:rPr>
                <w:sz w:val="16"/>
                <w:szCs w:val="16"/>
              </w:rPr>
              <w:t>0.304</w:t>
            </w:r>
          </w:p>
        </w:tc>
        <w:tc>
          <w:tcPr>
            <w:tcW w:w="900" w:type="dxa"/>
          </w:tcPr>
          <w:p w14:paraId="30C7AE67" w14:textId="77777777" w:rsidR="005C7640" w:rsidRDefault="00000000">
            <w:pPr>
              <w:jc w:val="center"/>
            </w:pPr>
            <w:r>
              <w:rPr>
                <w:sz w:val="16"/>
                <w:szCs w:val="16"/>
              </w:rPr>
              <w:t>0.636</w:t>
            </w:r>
          </w:p>
        </w:tc>
        <w:tc>
          <w:tcPr>
            <w:tcW w:w="1100" w:type="dxa"/>
          </w:tcPr>
          <w:p w14:paraId="777A7FB4" w14:textId="77777777" w:rsidR="005C7640" w:rsidRDefault="00000000">
            <w:pPr>
              <w:jc w:val="center"/>
            </w:pPr>
            <w:r>
              <w:rPr>
                <w:sz w:val="16"/>
                <w:szCs w:val="16"/>
              </w:rPr>
              <w:t>21.4</w:t>
            </w:r>
          </w:p>
        </w:tc>
        <w:tc>
          <w:tcPr>
            <w:tcW w:w="1100" w:type="dxa"/>
          </w:tcPr>
          <w:p w14:paraId="318217E0" w14:textId="77777777" w:rsidR="005C7640" w:rsidRDefault="00000000">
            <w:pPr>
              <w:jc w:val="center"/>
            </w:pPr>
            <w:r>
              <w:rPr>
                <w:sz w:val="16"/>
                <w:szCs w:val="16"/>
              </w:rPr>
              <w:t>63.6</w:t>
            </w:r>
          </w:p>
        </w:tc>
      </w:tr>
      <w:tr w:rsidR="005C7640" w14:paraId="399E29FF" w14:textId="77777777">
        <w:tblPrEx>
          <w:tblCellMar>
            <w:top w:w="0" w:type="dxa"/>
            <w:bottom w:w="0" w:type="dxa"/>
          </w:tblCellMar>
        </w:tblPrEx>
        <w:tc>
          <w:tcPr>
            <w:tcW w:w="1900" w:type="dxa"/>
          </w:tcPr>
          <w:p w14:paraId="6E2D291A" w14:textId="77777777" w:rsidR="005C7640" w:rsidRDefault="00000000">
            <w:pPr>
              <w:jc w:val="center"/>
            </w:pPr>
            <w:r>
              <w:rPr>
                <w:sz w:val="16"/>
                <w:szCs w:val="16"/>
              </w:rPr>
              <w:t>PELT</w:t>
            </w:r>
          </w:p>
        </w:tc>
        <w:tc>
          <w:tcPr>
            <w:tcW w:w="900" w:type="dxa"/>
          </w:tcPr>
          <w:p w14:paraId="558ECDCB" w14:textId="77777777" w:rsidR="005C7640" w:rsidRDefault="00000000">
            <w:pPr>
              <w:jc w:val="center"/>
            </w:pPr>
            <w:r>
              <w:rPr>
                <w:sz w:val="16"/>
                <w:szCs w:val="16"/>
              </w:rPr>
              <w:t>0.409</w:t>
            </w:r>
          </w:p>
        </w:tc>
        <w:tc>
          <w:tcPr>
            <w:tcW w:w="1100" w:type="dxa"/>
          </w:tcPr>
          <w:p w14:paraId="6279CE9E" w14:textId="77777777" w:rsidR="005C7640" w:rsidRDefault="00000000">
            <w:pPr>
              <w:jc w:val="center"/>
            </w:pPr>
            <w:r>
              <w:rPr>
                <w:sz w:val="16"/>
                <w:szCs w:val="16"/>
              </w:rPr>
              <w:t>0.312</w:t>
            </w:r>
          </w:p>
        </w:tc>
        <w:tc>
          <w:tcPr>
            <w:tcW w:w="900" w:type="dxa"/>
          </w:tcPr>
          <w:p w14:paraId="75F8767C" w14:textId="77777777" w:rsidR="005C7640" w:rsidRDefault="00000000">
            <w:pPr>
              <w:jc w:val="center"/>
            </w:pPr>
            <w:r>
              <w:rPr>
                <w:sz w:val="16"/>
                <w:szCs w:val="16"/>
              </w:rPr>
              <w:t>0.545</w:t>
            </w:r>
          </w:p>
        </w:tc>
        <w:tc>
          <w:tcPr>
            <w:tcW w:w="1100" w:type="dxa"/>
          </w:tcPr>
          <w:p w14:paraId="57E67340" w14:textId="77777777" w:rsidR="005C7640" w:rsidRDefault="00000000">
            <w:pPr>
              <w:jc w:val="center"/>
            </w:pPr>
            <w:r>
              <w:rPr>
                <w:sz w:val="16"/>
                <w:szCs w:val="16"/>
              </w:rPr>
              <w:t>14.8</w:t>
            </w:r>
          </w:p>
        </w:tc>
        <w:tc>
          <w:tcPr>
            <w:tcW w:w="1100" w:type="dxa"/>
          </w:tcPr>
          <w:p w14:paraId="3EE02FFF" w14:textId="77777777" w:rsidR="005C7640" w:rsidRDefault="00000000">
            <w:pPr>
              <w:jc w:val="center"/>
            </w:pPr>
            <w:r>
              <w:rPr>
                <w:sz w:val="16"/>
                <w:szCs w:val="16"/>
              </w:rPr>
              <w:t>54.5</w:t>
            </w:r>
          </w:p>
        </w:tc>
      </w:tr>
      <w:tr w:rsidR="005C7640" w14:paraId="2A2F80BA" w14:textId="77777777">
        <w:tblPrEx>
          <w:tblCellMar>
            <w:top w:w="0" w:type="dxa"/>
            <w:bottom w:w="0" w:type="dxa"/>
          </w:tblCellMar>
        </w:tblPrEx>
        <w:tc>
          <w:tcPr>
            <w:tcW w:w="1900" w:type="dxa"/>
          </w:tcPr>
          <w:p w14:paraId="03BDE5BF" w14:textId="77777777" w:rsidR="005C7640" w:rsidRDefault="00000000">
            <w:pPr>
              <w:jc w:val="center"/>
            </w:pPr>
            <w:r>
              <w:rPr>
                <w:sz w:val="16"/>
                <w:szCs w:val="16"/>
              </w:rPr>
              <w:t>EWMA (</w:t>
            </w:r>
            <w:proofErr w:type="spellStart"/>
            <w:r>
              <w:rPr>
                <w:sz w:val="16"/>
                <w:szCs w:val="16"/>
              </w:rPr>
              <w:t>RiskMetrics</w:t>
            </w:r>
            <w:proofErr w:type="spellEnd"/>
            <w:r>
              <w:rPr>
                <w:sz w:val="16"/>
                <w:szCs w:val="16"/>
              </w:rPr>
              <w:t>)</w:t>
            </w:r>
          </w:p>
        </w:tc>
        <w:tc>
          <w:tcPr>
            <w:tcW w:w="900" w:type="dxa"/>
          </w:tcPr>
          <w:p w14:paraId="27237627" w14:textId="77777777" w:rsidR="005C7640" w:rsidRDefault="00000000">
            <w:pPr>
              <w:jc w:val="center"/>
            </w:pPr>
            <w:r>
              <w:rPr>
                <w:sz w:val="16"/>
                <w:szCs w:val="16"/>
              </w:rPr>
              <w:t>0.357</w:t>
            </w:r>
          </w:p>
        </w:tc>
        <w:tc>
          <w:tcPr>
            <w:tcW w:w="1100" w:type="dxa"/>
          </w:tcPr>
          <w:p w14:paraId="16787EA0" w14:textId="77777777" w:rsidR="005C7640" w:rsidRDefault="00000000">
            <w:pPr>
              <w:jc w:val="center"/>
            </w:pPr>
            <w:r>
              <w:rPr>
                <w:sz w:val="16"/>
                <w:szCs w:val="16"/>
              </w:rPr>
              <w:t>0.278</w:t>
            </w:r>
          </w:p>
        </w:tc>
        <w:tc>
          <w:tcPr>
            <w:tcW w:w="900" w:type="dxa"/>
          </w:tcPr>
          <w:p w14:paraId="279E8C67" w14:textId="77777777" w:rsidR="005C7640" w:rsidRDefault="00000000">
            <w:pPr>
              <w:jc w:val="center"/>
            </w:pPr>
            <w:r>
              <w:rPr>
                <w:sz w:val="16"/>
                <w:szCs w:val="16"/>
              </w:rPr>
              <w:t>0.500</w:t>
            </w:r>
          </w:p>
        </w:tc>
        <w:tc>
          <w:tcPr>
            <w:tcW w:w="1100" w:type="dxa"/>
          </w:tcPr>
          <w:p w14:paraId="087D21D0" w14:textId="77777777" w:rsidR="005C7640" w:rsidRDefault="00000000">
            <w:pPr>
              <w:jc w:val="center"/>
            </w:pPr>
            <w:r>
              <w:rPr>
                <w:sz w:val="16"/>
                <w:szCs w:val="16"/>
              </w:rPr>
              <w:t>1.2</w:t>
            </w:r>
          </w:p>
        </w:tc>
        <w:tc>
          <w:tcPr>
            <w:tcW w:w="1100" w:type="dxa"/>
          </w:tcPr>
          <w:p w14:paraId="4386EC99" w14:textId="77777777" w:rsidR="005C7640" w:rsidRDefault="00000000">
            <w:pPr>
              <w:jc w:val="center"/>
            </w:pPr>
            <w:r>
              <w:rPr>
                <w:sz w:val="16"/>
                <w:szCs w:val="16"/>
              </w:rPr>
              <w:t>50.0</w:t>
            </w:r>
          </w:p>
        </w:tc>
      </w:tr>
      <w:tr w:rsidR="005C7640" w14:paraId="73D0CF66" w14:textId="77777777">
        <w:tblPrEx>
          <w:tblCellMar>
            <w:top w:w="0" w:type="dxa"/>
            <w:bottom w:w="0" w:type="dxa"/>
          </w:tblCellMar>
        </w:tblPrEx>
        <w:tc>
          <w:tcPr>
            <w:tcW w:w="1900" w:type="dxa"/>
          </w:tcPr>
          <w:p w14:paraId="7B6A1C8F" w14:textId="77777777" w:rsidR="005C7640" w:rsidRDefault="00000000">
            <w:pPr>
              <w:jc w:val="center"/>
            </w:pPr>
            <w:r>
              <w:rPr>
                <w:sz w:val="16"/>
                <w:szCs w:val="16"/>
              </w:rPr>
              <w:t>Spectral Residual</w:t>
            </w:r>
          </w:p>
        </w:tc>
        <w:tc>
          <w:tcPr>
            <w:tcW w:w="900" w:type="dxa"/>
          </w:tcPr>
          <w:p w14:paraId="30D6949C" w14:textId="77777777" w:rsidR="005C7640" w:rsidRDefault="00000000">
            <w:pPr>
              <w:jc w:val="center"/>
            </w:pPr>
            <w:r>
              <w:rPr>
                <w:sz w:val="16"/>
                <w:szCs w:val="16"/>
              </w:rPr>
              <w:t>0.350</w:t>
            </w:r>
          </w:p>
        </w:tc>
        <w:tc>
          <w:tcPr>
            <w:tcW w:w="1100" w:type="dxa"/>
          </w:tcPr>
          <w:p w14:paraId="330FE57C" w14:textId="77777777" w:rsidR="005C7640" w:rsidRDefault="00000000">
            <w:pPr>
              <w:jc w:val="center"/>
            </w:pPr>
            <w:r>
              <w:rPr>
                <w:sz w:val="16"/>
                <w:szCs w:val="16"/>
              </w:rPr>
              <w:t>0.286</w:t>
            </w:r>
          </w:p>
        </w:tc>
        <w:tc>
          <w:tcPr>
            <w:tcW w:w="900" w:type="dxa"/>
          </w:tcPr>
          <w:p w14:paraId="03E3A476" w14:textId="77777777" w:rsidR="005C7640" w:rsidRDefault="00000000">
            <w:pPr>
              <w:jc w:val="center"/>
            </w:pPr>
            <w:r>
              <w:rPr>
                <w:sz w:val="16"/>
                <w:szCs w:val="16"/>
              </w:rPr>
              <w:t>0.455</w:t>
            </w:r>
          </w:p>
        </w:tc>
        <w:tc>
          <w:tcPr>
            <w:tcW w:w="1100" w:type="dxa"/>
          </w:tcPr>
          <w:p w14:paraId="4F28F13F" w14:textId="77777777" w:rsidR="005C7640" w:rsidRDefault="00000000">
            <w:pPr>
              <w:jc w:val="center"/>
            </w:pPr>
            <w:r>
              <w:rPr>
                <w:sz w:val="16"/>
                <w:szCs w:val="16"/>
              </w:rPr>
              <w:t>1.4</w:t>
            </w:r>
          </w:p>
        </w:tc>
        <w:tc>
          <w:tcPr>
            <w:tcW w:w="1100" w:type="dxa"/>
          </w:tcPr>
          <w:p w14:paraId="70BBE86F" w14:textId="77777777" w:rsidR="005C7640" w:rsidRDefault="00000000">
            <w:pPr>
              <w:jc w:val="center"/>
            </w:pPr>
            <w:r>
              <w:rPr>
                <w:sz w:val="16"/>
                <w:szCs w:val="16"/>
              </w:rPr>
              <w:t>45.5</w:t>
            </w:r>
          </w:p>
        </w:tc>
      </w:tr>
      <w:tr w:rsidR="005C7640" w14:paraId="54439060" w14:textId="77777777">
        <w:tblPrEx>
          <w:tblCellMar>
            <w:top w:w="0" w:type="dxa"/>
            <w:bottom w:w="0" w:type="dxa"/>
          </w:tblCellMar>
        </w:tblPrEx>
        <w:tc>
          <w:tcPr>
            <w:tcW w:w="1900" w:type="dxa"/>
          </w:tcPr>
          <w:p w14:paraId="2CB17D9B" w14:textId="77777777" w:rsidR="005C7640" w:rsidRDefault="00000000">
            <w:pPr>
              <w:jc w:val="center"/>
            </w:pPr>
            <w:r>
              <w:rPr>
                <w:sz w:val="16"/>
                <w:szCs w:val="16"/>
              </w:rPr>
              <w:t>GMM</w:t>
            </w:r>
          </w:p>
        </w:tc>
        <w:tc>
          <w:tcPr>
            <w:tcW w:w="900" w:type="dxa"/>
          </w:tcPr>
          <w:p w14:paraId="302C7F66" w14:textId="77777777" w:rsidR="005C7640" w:rsidRDefault="00000000">
            <w:pPr>
              <w:jc w:val="center"/>
            </w:pPr>
            <w:r>
              <w:rPr>
                <w:sz w:val="16"/>
                <w:szCs w:val="16"/>
              </w:rPr>
              <w:t>0.349</w:t>
            </w:r>
          </w:p>
        </w:tc>
        <w:tc>
          <w:tcPr>
            <w:tcW w:w="1100" w:type="dxa"/>
          </w:tcPr>
          <w:p w14:paraId="36202899" w14:textId="77777777" w:rsidR="005C7640" w:rsidRDefault="00000000">
            <w:pPr>
              <w:jc w:val="center"/>
            </w:pPr>
            <w:r>
              <w:rPr>
                <w:sz w:val="16"/>
                <w:szCs w:val="16"/>
              </w:rPr>
              <w:t>0.267</w:t>
            </w:r>
          </w:p>
        </w:tc>
        <w:tc>
          <w:tcPr>
            <w:tcW w:w="900" w:type="dxa"/>
          </w:tcPr>
          <w:p w14:paraId="0AC2466F" w14:textId="77777777" w:rsidR="005C7640" w:rsidRDefault="00000000">
            <w:pPr>
              <w:jc w:val="center"/>
            </w:pPr>
            <w:r>
              <w:rPr>
                <w:sz w:val="16"/>
                <w:szCs w:val="16"/>
              </w:rPr>
              <w:t>0.500</w:t>
            </w:r>
          </w:p>
        </w:tc>
        <w:tc>
          <w:tcPr>
            <w:tcW w:w="1100" w:type="dxa"/>
          </w:tcPr>
          <w:p w14:paraId="5A14C36D" w14:textId="77777777" w:rsidR="005C7640" w:rsidRDefault="00000000">
            <w:pPr>
              <w:jc w:val="center"/>
            </w:pPr>
            <w:r>
              <w:rPr>
                <w:sz w:val="16"/>
                <w:szCs w:val="16"/>
              </w:rPr>
              <w:t>18.1</w:t>
            </w:r>
          </w:p>
        </w:tc>
        <w:tc>
          <w:tcPr>
            <w:tcW w:w="1100" w:type="dxa"/>
          </w:tcPr>
          <w:p w14:paraId="699A01CA" w14:textId="77777777" w:rsidR="005C7640" w:rsidRDefault="00000000">
            <w:pPr>
              <w:jc w:val="center"/>
            </w:pPr>
            <w:r>
              <w:rPr>
                <w:sz w:val="16"/>
                <w:szCs w:val="16"/>
              </w:rPr>
              <w:t>50.0</w:t>
            </w:r>
          </w:p>
        </w:tc>
      </w:tr>
      <w:tr w:rsidR="005C7640" w14:paraId="3713F99A" w14:textId="77777777">
        <w:tblPrEx>
          <w:tblCellMar>
            <w:top w:w="0" w:type="dxa"/>
            <w:bottom w:w="0" w:type="dxa"/>
          </w:tblCellMar>
        </w:tblPrEx>
        <w:tc>
          <w:tcPr>
            <w:tcW w:w="1900" w:type="dxa"/>
          </w:tcPr>
          <w:p w14:paraId="3F06A597" w14:textId="77777777" w:rsidR="005C7640" w:rsidRDefault="00000000">
            <w:pPr>
              <w:jc w:val="center"/>
            </w:pPr>
            <w:r>
              <w:rPr>
                <w:sz w:val="16"/>
                <w:szCs w:val="16"/>
              </w:rPr>
              <w:t>Isolation Forest</w:t>
            </w:r>
          </w:p>
        </w:tc>
        <w:tc>
          <w:tcPr>
            <w:tcW w:w="900" w:type="dxa"/>
          </w:tcPr>
          <w:p w14:paraId="7D0B6F36" w14:textId="77777777" w:rsidR="005C7640" w:rsidRDefault="00000000">
            <w:pPr>
              <w:jc w:val="center"/>
            </w:pPr>
            <w:r>
              <w:rPr>
                <w:sz w:val="16"/>
                <w:szCs w:val="16"/>
              </w:rPr>
              <w:t>0.345</w:t>
            </w:r>
          </w:p>
        </w:tc>
        <w:tc>
          <w:tcPr>
            <w:tcW w:w="1100" w:type="dxa"/>
          </w:tcPr>
          <w:p w14:paraId="3AB67742" w14:textId="77777777" w:rsidR="005C7640" w:rsidRDefault="00000000">
            <w:pPr>
              <w:jc w:val="center"/>
            </w:pPr>
            <w:r>
              <w:rPr>
                <w:sz w:val="16"/>
                <w:szCs w:val="16"/>
              </w:rPr>
              <w:t>0.267</w:t>
            </w:r>
          </w:p>
        </w:tc>
        <w:tc>
          <w:tcPr>
            <w:tcW w:w="900" w:type="dxa"/>
          </w:tcPr>
          <w:p w14:paraId="0509F692" w14:textId="77777777" w:rsidR="005C7640" w:rsidRDefault="00000000">
            <w:pPr>
              <w:jc w:val="center"/>
            </w:pPr>
            <w:r>
              <w:rPr>
                <w:sz w:val="16"/>
                <w:szCs w:val="16"/>
              </w:rPr>
              <w:t>0.500</w:t>
            </w:r>
          </w:p>
        </w:tc>
        <w:tc>
          <w:tcPr>
            <w:tcW w:w="1100" w:type="dxa"/>
          </w:tcPr>
          <w:p w14:paraId="6A44FF7A" w14:textId="77777777" w:rsidR="005C7640" w:rsidRDefault="00000000">
            <w:pPr>
              <w:jc w:val="center"/>
            </w:pPr>
            <w:r>
              <w:rPr>
                <w:sz w:val="16"/>
                <w:szCs w:val="16"/>
              </w:rPr>
              <w:t>0.8</w:t>
            </w:r>
          </w:p>
        </w:tc>
        <w:tc>
          <w:tcPr>
            <w:tcW w:w="1100" w:type="dxa"/>
          </w:tcPr>
          <w:p w14:paraId="7409CD40" w14:textId="77777777" w:rsidR="005C7640" w:rsidRDefault="00000000">
            <w:pPr>
              <w:jc w:val="center"/>
            </w:pPr>
            <w:r>
              <w:rPr>
                <w:sz w:val="16"/>
                <w:szCs w:val="16"/>
              </w:rPr>
              <w:t>50.0</w:t>
            </w:r>
          </w:p>
        </w:tc>
      </w:tr>
      <w:tr w:rsidR="005C7640" w14:paraId="6628AD8D" w14:textId="77777777">
        <w:tblPrEx>
          <w:tblCellMar>
            <w:top w:w="0" w:type="dxa"/>
            <w:bottom w:w="0" w:type="dxa"/>
          </w:tblCellMar>
        </w:tblPrEx>
        <w:tc>
          <w:tcPr>
            <w:tcW w:w="1900" w:type="dxa"/>
          </w:tcPr>
          <w:p w14:paraId="145B4B69" w14:textId="77777777" w:rsidR="005C7640" w:rsidRDefault="00000000">
            <w:pPr>
              <w:jc w:val="center"/>
            </w:pPr>
            <w:r>
              <w:rPr>
                <w:sz w:val="16"/>
                <w:szCs w:val="16"/>
              </w:rPr>
              <w:t>Hurst Exponent</w:t>
            </w:r>
          </w:p>
        </w:tc>
        <w:tc>
          <w:tcPr>
            <w:tcW w:w="900" w:type="dxa"/>
          </w:tcPr>
          <w:p w14:paraId="0D68B30B" w14:textId="77777777" w:rsidR="005C7640" w:rsidRDefault="00000000">
            <w:pPr>
              <w:jc w:val="center"/>
            </w:pPr>
            <w:r>
              <w:rPr>
                <w:sz w:val="16"/>
                <w:szCs w:val="16"/>
              </w:rPr>
              <w:t>0.078</w:t>
            </w:r>
          </w:p>
        </w:tc>
        <w:tc>
          <w:tcPr>
            <w:tcW w:w="1100" w:type="dxa"/>
          </w:tcPr>
          <w:p w14:paraId="04A973CF" w14:textId="77777777" w:rsidR="005C7640" w:rsidRDefault="00000000">
            <w:pPr>
              <w:jc w:val="center"/>
            </w:pPr>
            <w:r>
              <w:rPr>
                <w:sz w:val="16"/>
                <w:szCs w:val="16"/>
              </w:rPr>
              <w:t>0.043</w:t>
            </w:r>
          </w:p>
        </w:tc>
        <w:tc>
          <w:tcPr>
            <w:tcW w:w="900" w:type="dxa"/>
          </w:tcPr>
          <w:p w14:paraId="73CC7243" w14:textId="77777777" w:rsidR="005C7640" w:rsidRDefault="00000000">
            <w:pPr>
              <w:jc w:val="center"/>
            </w:pPr>
            <w:r>
              <w:rPr>
                <w:sz w:val="16"/>
                <w:szCs w:val="16"/>
              </w:rPr>
              <w:t>0.500</w:t>
            </w:r>
          </w:p>
        </w:tc>
        <w:tc>
          <w:tcPr>
            <w:tcW w:w="1100" w:type="dxa"/>
          </w:tcPr>
          <w:p w14:paraId="054858AC" w14:textId="77777777" w:rsidR="005C7640" w:rsidRDefault="00000000">
            <w:pPr>
              <w:jc w:val="center"/>
            </w:pPr>
            <w:r>
              <w:rPr>
                <w:sz w:val="16"/>
                <w:szCs w:val="16"/>
              </w:rPr>
              <w:t>0.2</w:t>
            </w:r>
          </w:p>
        </w:tc>
        <w:tc>
          <w:tcPr>
            <w:tcW w:w="1100" w:type="dxa"/>
          </w:tcPr>
          <w:p w14:paraId="437E7A5A" w14:textId="77777777" w:rsidR="005C7640" w:rsidRDefault="00000000">
            <w:pPr>
              <w:jc w:val="center"/>
            </w:pPr>
            <w:r>
              <w:rPr>
                <w:sz w:val="16"/>
                <w:szCs w:val="16"/>
              </w:rPr>
              <w:t>50.0</w:t>
            </w:r>
          </w:p>
        </w:tc>
      </w:tr>
      <w:tr w:rsidR="005C7640" w14:paraId="21E2897F" w14:textId="77777777">
        <w:tblPrEx>
          <w:tblCellMar>
            <w:top w:w="0" w:type="dxa"/>
            <w:bottom w:w="0" w:type="dxa"/>
          </w:tblCellMar>
        </w:tblPrEx>
        <w:tc>
          <w:tcPr>
            <w:tcW w:w="1900" w:type="dxa"/>
          </w:tcPr>
          <w:p w14:paraId="4196F8C7" w14:textId="77777777" w:rsidR="005C7640" w:rsidRDefault="00000000">
            <w:pPr>
              <w:jc w:val="center"/>
            </w:pPr>
            <w:r>
              <w:rPr>
                <w:sz w:val="16"/>
                <w:szCs w:val="16"/>
              </w:rPr>
              <w:t>Kernel MMD</w:t>
            </w:r>
          </w:p>
        </w:tc>
        <w:tc>
          <w:tcPr>
            <w:tcW w:w="900" w:type="dxa"/>
          </w:tcPr>
          <w:p w14:paraId="57D2BC1D" w14:textId="77777777" w:rsidR="005C7640" w:rsidRDefault="00000000">
            <w:pPr>
              <w:jc w:val="center"/>
            </w:pPr>
            <w:r>
              <w:rPr>
                <w:sz w:val="16"/>
                <w:szCs w:val="16"/>
              </w:rPr>
              <w:t>0.039</w:t>
            </w:r>
          </w:p>
        </w:tc>
        <w:tc>
          <w:tcPr>
            <w:tcW w:w="1100" w:type="dxa"/>
          </w:tcPr>
          <w:p w14:paraId="4A878BDC" w14:textId="77777777" w:rsidR="005C7640" w:rsidRDefault="00000000">
            <w:pPr>
              <w:jc w:val="center"/>
            </w:pPr>
            <w:r>
              <w:rPr>
                <w:sz w:val="16"/>
                <w:szCs w:val="16"/>
              </w:rPr>
              <w:t>0.020</w:t>
            </w:r>
          </w:p>
        </w:tc>
        <w:tc>
          <w:tcPr>
            <w:tcW w:w="900" w:type="dxa"/>
          </w:tcPr>
          <w:p w14:paraId="4D0D6345" w14:textId="77777777" w:rsidR="005C7640" w:rsidRDefault="00000000">
            <w:pPr>
              <w:jc w:val="center"/>
            </w:pPr>
            <w:r>
              <w:rPr>
                <w:sz w:val="16"/>
                <w:szCs w:val="16"/>
              </w:rPr>
              <w:t>0.500</w:t>
            </w:r>
          </w:p>
        </w:tc>
        <w:tc>
          <w:tcPr>
            <w:tcW w:w="1100" w:type="dxa"/>
          </w:tcPr>
          <w:p w14:paraId="15A61A92" w14:textId="77777777" w:rsidR="005C7640" w:rsidRDefault="00000000">
            <w:pPr>
              <w:jc w:val="center"/>
            </w:pPr>
            <w:r>
              <w:rPr>
                <w:sz w:val="16"/>
                <w:szCs w:val="16"/>
              </w:rPr>
              <w:t>0.1</w:t>
            </w:r>
          </w:p>
        </w:tc>
        <w:tc>
          <w:tcPr>
            <w:tcW w:w="1100" w:type="dxa"/>
          </w:tcPr>
          <w:p w14:paraId="205617FA" w14:textId="77777777" w:rsidR="005C7640" w:rsidRDefault="00000000">
            <w:pPr>
              <w:jc w:val="center"/>
            </w:pPr>
            <w:r>
              <w:rPr>
                <w:sz w:val="16"/>
                <w:szCs w:val="16"/>
              </w:rPr>
              <w:t>50.0</w:t>
            </w:r>
          </w:p>
        </w:tc>
      </w:tr>
      <w:tr w:rsidR="005C7640" w14:paraId="46156455" w14:textId="77777777">
        <w:tblPrEx>
          <w:tblCellMar>
            <w:top w:w="0" w:type="dxa"/>
            <w:bottom w:w="0" w:type="dxa"/>
          </w:tblCellMar>
        </w:tblPrEx>
        <w:tc>
          <w:tcPr>
            <w:tcW w:w="1900" w:type="dxa"/>
          </w:tcPr>
          <w:p w14:paraId="0AC17F0B" w14:textId="77777777" w:rsidR="005C7640" w:rsidRDefault="00000000">
            <w:pPr>
              <w:jc w:val="center"/>
            </w:pPr>
            <w:r>
              <w:rPr>
                <w:sz w:val="16"/>
                <w:szCs w:val="16"/>
              </w:rPr>
              <w:t>BOCPD</w:t>
            </w:r>
          </w:p>
        </w:tc>
        <w:tc>
          <w:tcPr>
            <w:tcW w:w="900" w:type="dxa"/>
          </w:tcPr>
          <w:p w14:paraId="3C337B6C" w14:textId="77777777" w:rsidR="005C7640" w:rsidRDefault="00000000">
            <w:pPr>
              <w:jc w:val="center"/>
            </w:pPr>
            <w:r>
              <w:rPr>
                <w:sz w:val="16"/>
                <w:szCs w:val="16"/>
              </w:rPr>
              <w:t>0.000</w:t>
            </w:r>
          </w:p>
        </w:tc>
        <w:tc>
          <w:tcPr>
            <w:tcW w:w="1100" w:type="dxa"/>
          </w:tcPr>
          <w:p w14:paraId="1E12C171" w14:textId="77777777" w:rsidR="005C7640" w:rsidRDefault="00000000">
            <w:pPr>
              <w:jc w:val="center"/>
            </w:pPr>
            <w:r>
              <w:rPr>
                <w:sz w:val="16"/>
                <w:szCs w:val="16"/>
              </w:rPr>
              <w:t>0.000</w:t>
            </w:r>
          </w:p>
        </w:tc>
        <w:tc>
          <w:tcPr>
            <w:tcW w:w="900" w:type="dxa"/>
          </w:tcPr>
          <w:p w14:paraId="5093D268" w14:textId="77777777" w:rsidR="005C7640" w:rsidRDefault="00000000">
            <w:pPr>
              <w:jc w:val="center"/>
            </w:pPr>
            <w:r>
              <w:rPr>
                <w:sz w:val="16"/>
                <w:szCs w:val="16"/>
              </w:rPr>
              <w:t>0.000</w:t>
            </w:r>
          </w:p>
        </w:tc>
        <w:tc>
          <w:tcPr>
            <w:tcW w:w="1100" w:type="dxa"/>
          </w:tcPr>
          <w:p w14:paraId="51FBCF20" w14:textId="77777777" w:rsidR="005C7640" w:rsidRDefault="00000000">
            <w:pPr>
              <w:jc w:val="center"/>
            </w:pPr>
            <w:r>
              <w:rPr>
                <w:sz w:val="16"/>
                <w:szCs w:val="16"/>
              </w:rPr>
              <w:t>0.0</w:t>
            </w:r>
          </w:p>
        </w:tc>
        <w:tc>
          <w:tcPr>
            <w:tcW w:w="1100" w:type="dxa"/>
          </w:tcPr>
          <w:p w14:paraId="4445D551" w14:textId="77777777" w:rsidR="005C7640" w:rsidRDefault="00000000">
            <w:pPr>
              <w:jc w:val="center"/>
            </w:pPr>
            <w:r>
              <w:rPr>
                <w:sz w:val="16"/>
                <w:szCs w:val="16"/>
              </w:rPr>
              <w:t>0.0</w:t>
            </w:r>
          </w:p>
        </w:tc>
      </w:tr>
    </w:tbl>
    <w:p w14:paraId="3DB6FDE6" w14:textId="77777777" w:rsidR="005C7640" w:rsidRDefault="00000000">
      <w:pPr>
        <w:spacing w:after="180"/>
      </w:pPr>
      <w:r>
        <w:rPr>
          <w:i/>
          <w:iCs/>
          <w:sz w:val="17"/>
          <w:szCs w:val="17"/>
        </w:rPr>
        <w:t>Table 1. Out-of-sample comparison, all eleven methods, test period 2019–2025 (tolerance 30 trading days).</w:t>
      </w:r>
    </w:p>
    <w:p w14:paraId="30374569" w14:textId="443D8E8D" w:rsidR="005C7640" w:rsidRDefault="00000000">
      <w:pPr>
        <w:spacing w:after="140"/>
        <w:jc w:val="both"/>
      </w:pPr>
      <w:r>
        <w:rPr>
          <w:sz w:val="21"/>
          <w:szCs w:val="21"/>
        </w:rPr>
        <w:t>Median OOS lead time for ACSRA is approximately three trading days; paired Wilcoxon tests confirm ACSRA's lead significantly exceeds EWMA, Hurst, Isolation Forest, Spectral Residual, and BOCPD (p&lt;0.05), though not CUSUM, GMM, PELT, or Markov-Switching, whose occasional very early detections are diluted by high false-alarm counts. Array SNR scales empirically from 16.3 dB at N=1 to 23.1 dB at N=8</w:t>
      </w:r>
      <w:r w:rsidR="00EB2CA1">
        <w:rPr>
          <w:sz w:val="21"/>
          <w:szCs w:val="21"/>
        </w:rPr>
        <w:t>;</w:t>
      </w:r>
      <w:r>
        <w:rPr>
          <w:sz w:val="21"/>
          <w:szCs w:val="21"/>
        </w:rPr>
        <w:t xml:space="preserve"> about 73% of the theoretical √N gain, with the shortfall attributed to adaptation lag and partial feature correlation. A 36-combination sensitivity sweep over coupling strength and adaptation rate produced positive mean lead times throughout (2.2–12.5 days, CV=0.37), indicating the mechanism is reasonably robust to parameter choice.</w:t>
      </w:r>
    </w:p>
    <w:p w14:paraId="536E935A" w14:textId="18BC9110" w:rsidR="005C7640" w:rsidRDefault="00000000">
      <w:pPr>
        <w:spacing w:after="140"/>
        <w:jc w:val="both"/>
      </w:pPr>
      <w:r>
        <w:rPr>
          <w:sz w:val="21"/>
          <w:szCs w:val="21"/>
        </w:rPr>
        <w:lastRenderedPageBreak/>
        <w:t>Two further tests qualify these findings. An IAAFT surrogate test</w:t>
      </w:r>
      <w:r w:rsidR="00EB2CA1">
        <w:rPr>
          <w:sz w:val="21"/>
          <w:szCs w:val="21"/>
        </w:rPr>
        <w:t xml:space="preserve">, </w:t>
      </w:r>
      <w:r>
        <w:rPr>
          <w:sz w:val="21"/>
          <w:szCs w:val="21"/>
        </w:rPr>
        <w:t>which preserves each feature's linear autocorrelation and power spectrum while destroying inter-feature phase relationships</w:t>
      </w:r>
      <w:r w:rsidR="00EB2CA1">
        <w:rPr>
          <w:sz w:val="21"/>
          <w:szCs w:val="21"/>
        </w:rPr>
        <w:t xml:space="preserve">. An IAAFT </w:t>
      </w:r>
      <w:r>
        <w:rPr>
          <w:sz w:val="21"/>
          <w:szCs w:val="21"/>
        </w:rPr>
        <w:t>does not reject the null hypothesis that ψ(t)'s pre-transition enhancement is consistent with a linear stochastic process (p=0.410, 200 surrogates), leaving open whether ACSRA's nonlinear machinery adds information beyond a simpler linear model on the same four features. Separately, an ACSRA-timed long/flat SPY strategy achieves an annualized Sharpe of 0.84, below the 0.91 buy-and-hold benchmark over 2019–2025</w:t>
      </w:r>
      <w:r w:rsidR="00EB2CA1">
        <w:rPr>
          <w:sz w:val="21"/>
          <w:szCs w:val="21"/>
        </w:rPr>
        <w:t>,</w:t>
      </w:r>
      <w:r>
        <w:rPr>
          <w:sz w:val="21"/>
          <w:szCs w:val="21"/>
        </w:rPr>
        <w:t xml:space="preserve"> a period in which SPY roughly doubled, so any strategy exiting the market periodically pays a compounding cost that its 2020 drawdown avoidance did not offset.</w:t>
      </w:r>
    </w:p>
    <w:p w14:paraId="5417C51A" w14:textId="77777777" w:rsidR="005C7640" w:rsidRDefault="00000000">
      <w:pPr>
        <w:spacing w:before="220" w:after="100"/>
      </w:pPr>
      <w:r>
        <w:rPr>
          <w:b/>
          <w:bCs/>
          <w:sz w:val="24"/>
          <w:szCs w:val="24"/>
        </w:rPr>
        <w:t>4. Conclusion</w:t>
      </w:r>
    </w:p>
    <w:p w14:paraId="2EF15561" w14:textId="640A534B" w:rsidR="005C7640" w:rsidRDefault="00000000">
      <w:pPr>
        <w:spacing w:after="140"/>
        <w:jc w:val="both"/>
      </w:pPr>
      <w:r>
        <w:rPr>
          <w:sz w:val="21"/>
          <w:szCs w:val="21"/>
        </w:rPr>
        <w:t>ACSRA is a statistically competitive regime-transition detector</w:t>
      </w:r>
      <w:r w:rsidR="00EB2CA1">
        <w:rPr>
          <w:sz w:val="21"/>
          <w:szCs w:val="21"/>
        </w:rPr>
        <w:t>,</w:t>
      </w:r>
      <w:r>
        <w:rPr>
          <w:sz w:val="21"/>
          <w:szCs w:val="21"/>
        </w:rPr>
        <w:t xml:space="preserve"> second of eleven methods on F1, best on precision, and robust across a wide parameter range, with SNR scaling consistent in trend with array-theoretic predictions. Its practical case is tempered by two open questions: whether its performance depends on genuine nonlinear stochastic-resonance dynamics rather than linear structure already captured by a simpler model, and whether the composite signal translates into an economically dominant trading rule outside a strongly trending sample period. The authors identify a direct linear-baseline comparison, an adaptive Kramers-rate-linked exit rule, intraday testing, and cross-asset contagion detection as natural next steps.</w:t>
      </w:r>
    </w:p>
    <w:sectPr w:rsidR="005C7640">
      <w:pgSz w:w="12240" w:h="15840"/>
      <w:pgMar w:top="1080" w:right="1300" w:bottom="108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12090"/>
    <w:multiLevelType w:val="hybridMultilevel"/>
    <w:tmpl w:val="E920197E"/>
    <w:lvl w:ilvl="0" w:tplc="76F86A50">
      <w:start w:val="1"/>
      <w:numFmt w:val="bullet"/>
      <w:lvlText w:val="●"/>
      <w:lvlJc w:val="left"/>
      <w:pPr>
        <w:ind w:left="720" w:hanging="360"/>
      </w:pPr>
    </w:lvl>
    <w:lvl w:ilvl="1" w:tplc="176CD9CC">
      <w:start w:val="1"/>
      <w:numFmt w:val="bullet"/>
      <w:lvlText w:val="○"/>
      <w:lvlJc w:val="left"/>
      <w:pPr>
        <w:ind w:left="1440" w:hanging="360"/>
      </w:pPr>
    </w:lvl>
    <w:lvl w:ilvl="2" w:tplc="E5DA78B6">
      <w:start w:val="1"/>
      <w:numFmt w:val="bullet"/>
      <w:lvlText w:val="■"/>
      <w:lvlJc w:val="left"/>
      <w:pPr>
        <w:ind w:left="2160" w:hanging="360"/>
      </w:pPr>
    </w:lvl>
    <w:lvl w:ilvl="3" w:tplc="3AF2BF5C">
      <w:start w:val="1"/>
      <w:numFmt w:val="bullet"/>
      <w:lvlText w:val="●"/>
      <w:lvlJc w:val="left"/>
      <w:pPr>
        <w:ind w:left="2880" w:hanging="360"/>
      </w:pPr>
    </w:lvl>
    <w:lvl w:ilvl="4" w:tplc="BE80D81C">
      <w:start w:val="1"/>
      <w:numFmt w:val="bullet"/>
      <w:lvlText w:val="○"/>
      <w:lvlJc w:val="left"/>
      <w:pPr>
        <w:ind w:left="3600" w:hanging="360"/>
      </w:pPr>
    </w:lvl>
    <w:lvl w:ilvl="5" w:tplc="40AA3FE2">
      <w:start w:val="1"/>
      <w:numFmt w:val="bullet"/>
      <w:lvlText w:val="■"/>
      <w:lvlJc w:val="left"/>
      <w:pPr>
        <w:ind w:left="4320" w:hanging="360"/>
      </w:pPr>
    </w:lvl>
    <w:lvl w:ilvl="6" w:tplc="1C3CA5B0">
      <w:start w:val="1"/>
      <w:numFmt w:val="bullet"/>
      <w:lvlText w:val="●"/>
      <w:lvlJc w:val="left"/>
      <w:pPr>
        <w:ind w:left="5040" w:hanging="360"/>
      </w:pPr>
    </w:lvl>
    <w:lvl w:ilvl="7" w:tplc="CFEC0C6E">
      <w:start w:val="1"/>
      <w:numFmt w:val="bullet"/>
      <w:lvlText w:val="●"/>
      <w:lvlJc w:val="left"/>
      <w:pPr>
        <w:ind w:left="5760" w:hanging="360"/>
      </w:pPr>
    </w:lvl>
    <w:lvl w:ilvl="8" w:tplc="16A8748E">
      <w:start w:val="1"/>
      <w:numFmt w:val="bullet"/>
      <w:lvlText w:val="●"/>
      <w:lvlJc w:val="left"/>
      <w:pPr>
        <w:ind w:left="6480" w:hanging="360"/>
      </w:pPr>
    </w:lvl>
  </w:abstractNum>
  <w:num w:numId="1" w16cid:durableId="1439636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640"/>
    <w:rsid w:val="005C7640"/>
    <w:rsid w:val="00B53930"/>
    <w:rsid w:val="00EB2C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1F3F8"/>
  <w15:docId w15:val="{C533D317-5089-4444-A70A-BC1714C2E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825</Words>
  <Characters>4705</Characters>
  <Application>Microsoft Office Word</Application>
  <DocSecurity>0</DocSecurity>
  <Lines>39</Lines>
  <Paragraphs>11</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Sparsh Patel</cp:lastModifiedBy>
  <cp:revision>2</cp:revision>
  <dcterms:created xsi:type="dcterms:W3CDTF">2026-07-10T19:06:00Z</dcterms:created>
  <dcterms:modified xsi:type="dcterms:W3CDTF">2026-10-15T06:56:00Z</dcterms:modified>
</cp:coreProperties>
</file>