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0FBC" w14:textId="746CC2D6" w:rsidR="00214A4F" w:rsidRPr="00214A4F" w:rsidRDefault="00214A4F" w:rsidP="00214A4F">
      <w:pPr>
        <w:pStyle w:val="Heading2"/>
        <w:rPr>
          <w:b/>
          <w:bCs/>
          <w:sz w:val="40"/>
          <w:szCs w:val="40"/>
        </w:rPr>
      </w:pPr>
      <w:r w:rsidRPr="00214A4F">
        <w:rPr>
          <w:b/>
          <w:bCs/>
          <w:sz w:val="40"/>
          <w:szCs w:val="40"/>
        </w:rPr>
        <w:t>Requirements analysis</w:t>
      </w:r>
      <w:r w:rsidRPr="00214A4F">
        <w:rPr>
          <w:b/>
          <w:bCs/>
          <w:sz w:val="40"/>
          <w:szCs w:val="40"/>
        </w:rPr>
        <w:t>: Case study 2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14A4F" w:rsidRPr="006A4CF9" w14:paraId="5ED471E7" w14:textId="77777777" w:rsidTr="00A15D66">
        <w:trPr>
          <w:tblHeader/>
        </w:trPr>
        <w:tc>
          <w:tcPr>
            <w:tcW w:w="2340" w:type="dxa"/>
            <w:shd w:val="clear" w:color="auto" w:fill="F2F2F2"/>
          </w:tcPr>
          <w:p w14:paraId="2D517910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Theme</w:t>
            </w:r>
          </w:p>
        </w:tc>
        <w:tc>
          <w:tcPr>
            <w:tcW w:w="2340" w:type="dxa"/>
            <w:shd w:val="clear" w:color="auto" w:fill="F2F2F2"/>
          </w:tcPr>
          <w:p w14:paraId="299E2585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Requirements</w:t>
            </w:r>
          </w:p>
        </w:tc>
        <w:tc>
          <w:tcPr>
            <w:tcW w:w="2340" w:type="dxa"/>
            <w:shd w:val="clear" w:color="auto" w:fill="F2F2F2"/>
          </w:tcPr>
          <w:p w14:paraId="33121677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What is demanded</w:t>
            </w:r>
          </w:p>
        </w:tc>
        <w:tc>
          <w:tcPr>
            <w:tcW w:w="2340" w:type="dxa"/>
            <w:shd w:val="clear" w:color="auto" w:fill="F2F2F2"/>
          </w:tcPr>
          <w:p w14:paraId="57F4A114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Design decision</w:t>
            </w:r>
          </w:p>
        </w:tc>
      </w:tr>
      <w:tr w:rsidR="00214A4F" w:rsidRPr="006A4CF9" w14:paraId="64B8764A" w14:textId="77777777" w:rsidTr="00A15D66">
        <w:tc>
          <w:tcPr>
            <w:tcW w:w="2340" w:type="dxa"/>
          </w:tcPr>
          <w:p w14:paraId="17228B81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Resilience</w:t>
            </w:r>
          </w:p>
        </w:tc>
        <w:tc>
          <w:tcPr>
            <w:tcW w:w="2340" w:type="dxa"/>
          </w:tcPr>
          <w:p w14:paraId="234E8C83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P2-01</w:t>
            </w:r>
          </w:p>
        </w:tc>
        <w:tc>
          <w:tcPr>
            <w:tcW w:w="2340" w:type="dxa"/>
          </w:tcPr>
          <w:p w14:paraId="17713D5B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Continued function or fast recovery after an isolated failure</w:t>
            </w:r>
          </w:p>
        </w:tc>
        <w:tc>
          <w:tcPr>
            <w:tcW w:w="2340" w:type="dxa"/>
          </w:tcPr>
          <w:p w14:paraId="6E4B95A3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Two availability zones for data, DNS and SOAR subnets; a queue between alert and action; documented failure tests</w:t>
            </w:r>
          </w:p>
        </w:tc>
      </w:tr>
      <w:tr w:rsidR="00214A4F" w:rsidRPr="006A4CF9" w14:paraId="12891190" w14:textId="77777777" w:rsidTr="00A15D66">
        <w:tc>
          <w:tcPr>
            <w:tcW w:w="2340" w:type="dxa"/>
          </w:tcPr>
          <w:p w14:paraId="139EDA44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Isolation and access</w:t>
            </w:r>
          </w:p>
        </w:tc>
        <w:tc>
          <w:tcPr>
            <w:tcW w:w="2340" w:type="dxa"/>
          </w:tcPr>
          <w:p w14:paraId="50280CF6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P2-02, P2-03</w:t>
            </w:r>
          </w:p>
        </w:tc>
        <w:tc>
          <w:tcPr>
            <w:tcW w:w="2340" w:type="dxa"/>
          </w:tcPr>
          <w:p w14:paraId="2B86244B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Segmented topology with controlled flows; no public exposure of databases</w:t>
            </w:r>
          </w:p>
        </w:tc>
        <w:tc>
          <w:tcPr>
            <w:tcW w:w="2340" w:type="dxa"/>
          </w:tcPr>
          <w:p w14:paraId="542B0C70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 xml:space="preserve">Hub-and-spoke on the Transit Gateway; one subnet per tier; </w:t>
            </w:r>
            <w:r>
              <w:rPr>
                <w:sz w:val="24"/>
                <w:szCs w:val="24"/>
              </w:rPr>
              <w:t xml:space="preserve">reachability configured </w:t>
            </w:r>
            <w:r w:rsidRPr="006A4CF9">
              <w:rPr>
                <w:sz w:val="24"/>
                <w:szCs w:val="24"/>
              </w:rPr>
              <w:t>through security groups</w:t>
            </w:r>
          </w:p>
        </w:tc>
      </w:tr>
      <w:tr w:rsidR="00214A4F" w:rsidRPr="006A4CF9" w14:paraId="3D58DDF6" w14:textId="77777777" w:rsidTr="00A15D66">
        <w:tc>
          <w:tcPr>
            <w:tcW w:w="2340" w:type="dxa"/>
          </w:tcPr>
          <w:p w14:paraId="2F7371DE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Name resolution</w:t>
            </w:r>
          </w:p>
        </w:tc>
        <w:tc>
          <w:tcPr>
            <w:tcW w:w="2340" w:type="dxa"/>
          </w:tcPr>
          <w:p w14:paraId="7AE42018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P2-04</w:t>
            </w:r>
          </w:p>
        </w:tc>
        <w:tc>
          <w:tcPr>
            <w:tcW w:w="2340" w:type="dxa"/>
          </w:tcPr>
          <w:p w14:paraId="1CB03FBE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Private service names resolve to private addresses</w:t>
            </w:r>
          </w:p>
        </w:tc>
        <w:tc>
          <w:tcPr>
            <w:tcW w:w="2340" w:type="dxa"/>
          </w:tcPr>
          <w:p w14:paraId="308A1BCA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 xml:space="preserve">Route 53 private hosted zone, two DNS forwarders and the </w:t>
            </w:r>
            <w:proofErr w:type="spellStart"/>
            <w:r w:rsidRPr="006A4CF9">
              <w:rPr>
                <w:sz w:val="24"/>
                <w:szCs w:val="24"/>
              </w:rPr>
              <w:t>pfSense</w:t>
            </w:r>
            <w:proofErr w:type="spellEnd"/>
            <w:r w:rsidRPr="006A4CF9">
              <w:rPr>
                <w:sz w:val="24"/>
                <w:szCs w:val="24"/>
              </w:rPr>
              <w:t xml:space="preserve"> resolver</w:t>
            </w:r>
          </w:p>
        </w:tc>
      </w:tr>
      <w:tr w:rsidR="00214A4F" w:rsidRPr="006A4CF9" w14:paraId="7CB1A513" w14:textId="77777777" w:rsidTr="00A15D66">
        <w:tc>
          <w:tcPr>
            <w:tcW w:w="2340" w:type="dxa"/>
          </w:tcPr>
          <w:p w14:paraId="15480E72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Monitoring</w:t>
            </w:r>
          </w:p>
        </w:tc>
        <w:tc>
          <w:tcPr>
            <w:tcW w:w="2340" w:type="dxa"/>
          </w:tcPr>
          <w:p w14:paraId="085EEA5C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P2-06, P2-07, P2-09</w:t>
            </w:r>
          </w:p>
        </w:tc>
        <w:tc>
          <w:tcPr>
            <w:tcW w:w="2340" w:type="dxa"/>
          </w:tcPr>
          <w:p w14:paraId="3C516EB7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Evaluated stack; at least two log sources with alerting; SOAR health visible</w:t>
            </w:r>
          </w:p>
        </w:tc>
        <w:tc>
          <w:tcPr>
            <w:tcW w:w="2340" w:type="dxa"/>
          </w:tcPr>
          <w:p w14:paraId="1B112B2A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 xml:space="preserve">Prometheus, Loki and Grafana, with CloudWatch as an extra data source; </w:t>
            </w:r>
            <w:proofErr w:type="spellStart"/>
            <w:r w:rsidRPr="006A4CF9">
              <w:rPr>
                <w:sz w:val="24"/>
                <w:szCs w:val="24"/>
              </w:rPr>
              <w:t>pfSense</w:t>
            </w:r>
            <w:proofErr w:type="spellEnd"/>
            <w:r w:rsidRPr="006A4CF9">
              <w:rPr>
                <w:sz w:val="24"/>
                <w:szCs w:val="24"/>
              </w:rPr>
              <w:t xml:space="preserve"> and Linux server logs</w:t>
            </w:r>
          </w:p>
        </w:tc>
      </w:tr>
      <w:tr w:rsidR="00214A4F" w:rsidRPr="006A4CF9" w14:paraId="6694689F" w14:textId="77777777" w:rsidTr="00A15D66">
        <w:tc>
          <w:tcPr>
            <w:tcW w:w="2340" w:type="dxa"/>
          </w:tcPr>
          <w:p w14:paraId="4616BA4B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SOAR</w:t>
            </w:r>
          </w:p>
        </w:tc>
        <w:tc>
          <w:tcPr>
            <w:tcW w:w="2340" w:type="dxa"/>
          </w:tcPr>
          <w:p w14:paraId="70F5BAC4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P2-08</w:t>
            </w:r>
          </w:p>
        </w:tc>
        <w:tc>
          <w:tcPr>
            <w:tcW w:w="2340" w:type="dxa"/>
          </w:tcPr>
          <w:p w14:paraId="1E0AE425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Event-driven processing and automated actions, with monitored workstations on a different platform</w:t>
            </w:r>
          </w:p>
        </w:tc>
        <w:tc>
          <w:tcPr>
            <w:tcW w:w="2340" w:type="dxa"/>
          </w:tcPr>
          <w:p w14:paraId="22DF2B7F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SNS, SQS and Lambda in AWS; workstations on the on-premises site</w:t>
            </w:r>
          </w:p>
        </w:tc>
      </w:tr>
      <w:tr w:rsidR="00214A4F" w:rsidRPr="006A4CF9" w14:paraId="1DA803DC" w14:textId="77777777" w:rsidTr="00A15D66">
        <w:tc>
          <w:tcPr>
            <w:tcW w:w="2340" w:type="dxa"/>
          </w:tcPr>
          <w:p w14:paraId="667E9285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Automation and delivery</w:t>
            </w:r>
          </w:p>
        </w:tc>
        <w:tc>
          <w:tcPr>
            <w:tcW w:w="2340" w:type="dxa"/>
          </w:tcPr>
          <w:p w14:paraId="20C7F4B3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P2-10, P2-11, P2-12, P1-05</w:t>
            </w:r>
          </w:p>
        </w:tc>
        <w:tc>
          <w:tcPr>
            <w:tcW w:w="2340" w:type="dxa"/>
          </w:tcPr>
          <w:p w14:paraId="32033E96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 xml:space="preserve">Declarative infrastructure, CI/CD from a local runner, a DevOps platform, </w:t>
            </w:r>
            <w:proofErr w:type="spellStart"/>
            <w:r w:rsidRPr="006A4CF9">
              <w:rPr>
                <w:sz w:val="24"/>
                <w:szCs w:val="24"/>
              </w:rPr>
              <w:t>centralised</w:t>
            </w:r>
            <w:proofErr w:type="spellEnd"/>
            <w:r w:rsidRPr="006A4CF9">
              <w:rPr>
                <w:sz w:val="24"/>
                <w:szCs w:val="24"/>
              </w:rPr>
              <w:t xml:space="preserve"> updates</w:t>
            </w:r>
          </w:p>
        </w:tc>
        <w:tc>
          <w:tcPr>
            <w:tcW w:w="2340" w:type="dxa"/>
          </w:tcPr>
          <w:p w14:paraId="4184C5E0" w14:textId="77777777" w:rsidR="00214A4F" w:rsidRPr="006A4CF9" w:rsidRDefault="00214A4F" w:rsidP="00A15D66">
            <w:pPr>
              <w:rPr>
                <w:sz w:val="24"/>
                <w:szCs w:val="24"/>
              </w:rPr>
            </w:pPr>
            <w:r w:rsidRPr="006A4CF9">
              <w:rPr>
                <w:sz w:val="24"/>
                <w:szCs w:val="24"/>
              </w:rPr>
              <w:t>Terraform, Ansible, a Git platform and a runner on the on-premises site</w:t>
            </w:r>
          </w:p>
        </w:tc>
      </w:tr>
    </w:tbl>
    <w:p w14:paraId="1A41574C" w14:textId="77777777" w:rsidR="00810251" w:rsidRDefault="00810251"/>
    <w:sectPr w:rsidR="00810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51"/>
    <w:rsid w:val="00214A4F"/>
    <w:rsid w:val="00810251"/>
    <w:rsid w:val="00E7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9226F7"/>
  <w15:chartTrackingRefBased/>
  <w15:docId w15:val="{A26DA27C-E65F-4962-BE62-8BF41448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4F"/>
    <w:pPr>
      <w:spacing w:after="120" w:line="264" w:lineRule="auto"/>
    </w:pPr>
    <w:rPr>
      <w:rFonts w:eastAsiaTheme="minorEastAsia"/>
      <w:kern w:val="0"/>
      <w:sz w:val="20"/>
      <w:szCs w:val="20"/>
      <w:lang w:val="en-US" w:eastAsia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2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L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2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L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2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NL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NL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NL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L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L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L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L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L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5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L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5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NL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0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5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NL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0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NL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214A4F"/>
    <w:pPr>
      <w:spacing w:after="120" w:line="264" w:lineRule="auto"/>
    </w:pPr>
    <w:rPr>
      <w:rFonts w:eastAsiaTheme="minorEastAsia"/>
      <w:kern w:val="0"/>
      <w:sz w:val="20"/>
      <w:szCs w:val="20"/>
      <w:lang w:val="en-US" w:eastAsia="en-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Popov,Spartak S.D.</dc:creator>
  <cp:keywords/>
  <dc:description/>
  <cp:lastModifiedBy>Popov,Spartak S.D.</cp:lastModifiedBy>
  <cp:revision>2</cp:revision>
  <dcterms:created xsi:type="dcterms:W3CDTF">2026-10-05T12:12:00Z</dcterms:created>
  <dcterms:modified xsi:type="dcterms:W3CDTF">2026-10-05T12:12:00Z</dcterms:modified>
</cp:coreProperties>
</file>