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44B1" w14:textId="77777777" w:rsidR="008A6764" w:rsidRDefault="00000000">
      <w:pPr>
        <w:spacing w:before="800"/>
        <w:jc w:val="center"/>
      </w:pPr>
      <w:r>
        <w:rPr>
          <w:rFonts w:ascii="Calibri" w:eastAsia="Calibri" w:hAnsi="Calibri" w:cs="Calibri"/>
          <w:b/>
          <w:bCs/>
          <w:color w:val="2F6F95"/>
          <w:sz w:val="22"/>
          <w:szCs w:val="22"/>
        </w:rPr>
        <w:t>INNOVATECH SOLUTIONS</w:t>
      </w:r>
    </w:p>
    <w:p w14:paraId="2730FC64" w14:textId="77777777" w:rsidR="008A6764" w:rsidRDefault="00000000">
      <w:pPr>
        <w:spacing w:before="150" w:after="100"/>
        <w:jc w:val="center"/>
      </w:pPr>
      <w:r>
        <w:rPr>
          <w:rFonts w:ascii="Calibri" w:eastAsia="Calibri" w:hAnsi="Calibri" w:cs="Calibri"/>
          <w:b/>
          <w:bCs/>
          <w:color w:val="1F3A52"/>
          <w:sz w:val="44"/>
          <w:szCs w:val="44"/>
        </w:rPr>
        <w:t>Monitoring Design Document</w:t>
      </w:r>
    </w:p>
    <w:p w14:paraId="04E6D1CE" w14:textId="77777777" w:rsidR="008A6764" w:rsidRDefault="00000000">
      <w:r>
        <w:br w:type="page"/>
      </w:r>
    </w:p>
    <w:p w14:paraId="260B7007" w14:textId="77777777" w:rsidR="008A6764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lastRenderedPageBreak/>
        <w:t>1.  Selected Stack</w:t>
      </w:r>
    </w:p>
    <w:p w14:paraId="1FD58C1E" w14:textId="5820C2E8" w:rsidR="008A6764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The deployed observability stack is </w:t>
      </w:r>
      <w:r>
        <w:rPr>
          <w:rFonts w:ascii="Calibri" w:eastAsia="Calibri" w:hAnsi="Calibri" w:cs="Calibri"/>
          <w:b/>
          <w:bCs/>
          <w:sz w:val="21"/>
          <w:szCs w:val="21"/>
        </w:rPr>
        <w:t>Prometheus + Grafana + Alertmanager</w:t>
      </w:r>
      <w:r>
        <w:rPr>
          <w:rFonts w:ascii="Calibri" w:eastAsia="Calibri" w:hAnsi="Calibri" w:cs="Calibri"/>
          <w:sz w:val="21"/>
          <w:szCs w:val="21"/>
        </w:rPr>
        <w:t xml:space="preserve">, self-hosted in the </w:t>
      </w:r>
      <w:r w:rsidR="00B27B83">
        <w:rPr>
          <w:rFonts w:ascii="Calibri" w:eastAsia="Calibri" w:hAnsi="Calibri" w:cs="Calibri"/>
          <w:sz w:val="21"/>
          <w:szCs w:val="21"/>
        </w:rPr>
        <w:t>Internal</w:t>
      </w:r>
      <w:r>
        <w:rPr>
          <w:rFonts w:ascii="Calibri" w:eastAsia="Calibri" w:hAnsi="Calibri" w:cs="Calibri"/>
          <w:sz w:val="21"/>
          <w:szCs w:val="21"/>
        </w:rPr>
        <w:t xml:space="preserve"> VPC</w:t>
      </w:r>
      <w:r w:rsidR="00B27B83">
        <w:rPr>
          <w:rFonts w:ascii="Calibri" w:eastAsia="Calibri" w:hAnsi="Calibri" w:cs="Calibri"/>
          <w:sz w:val="21"/>
          <w:szCs w:val="21"/>
        </w:rPr>
        <w:t xml:space="preserve"> in the management subnet</w:t>
      </w:r>
      <w:r>
        <w:rPr>
          <w:rFonts w:ascii="Calibri" w:eastAsia="Calibri" w:hAnsi="Calibri" w:cs="Calibri"/>
          <w:sz w:val="21"/>
          <w:szCs w:val="21"/>
        </w:rPr>
        <w:t xml:space="preserve">, with </w:t>
      </w:r>
      <w:r>
        <w:rPr>
          <w:rFonts w:ascii="Calibri" w:eastAsia="Calibri" w:hAnsi="Calibri" w:cs="Calibri"/>
          <w:b/>
          <w:bCs/>
          <w:sz w:val="21"/>
          <w:szCs w:val="21"/>
        </w:rPr>
        <w:t>node_exporter</w:t>
      </w:r>
      <w:r w:rsidR="00B27B83">
        <w:rPr>
          <w:rFonts w:ascii="Calibri" w:eastAsia="Calibri" w:hAnsi="Calibri" w:cs="Calibri"/>
          <w:b/>
          <w:bCs/>
          <w:sz w:val="21"/>
          <w:szCs w:val="21"/>
        </w:rPr>
        <w:t xml:space="preserve"> (monitoring agent for Prometheus)</w:t>
      </w:r>
      <w:r>
        <w:rPr>
          <w:rFonts w:ascii="Calibri" w:eastAsia="Calibri" w:hAnsi="Calibri" w:cs="Calibri"/>
          <w:sz w:val="21"/>
          <w:szCs w:val="21"/>
        </w:rPr>
        <w:t xml:space="preserve"> running on every Web and Data instance. This is the environment's actual, running monitoring solution</w:t>
      </w:r>
      <w:r w:rsidR="005F74CC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not a comparison exercise.</w:t>
      </w:r>
    </w:p>
    <w:p w14:paraId="5E6D30FD" w14:textId="35CF6063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Data collection: </w:t>
      </w:r>
      <w:r>
        <w:rPr>
          <w:rFonts w:ascii="Calibri" w:eastAsia="Calibri" w:hAnsi="Calibri" w:cs="Calibri"/>
          <w:sz w:val="21"/>
          <w:szCs w:val="21"/>
        </w:rPr>
        <w:t xml:space="preserve">Prometheus scrapes </w:t>
      </w:r>
      <w:r w:rsidR="00587278">
        <w:rPr>
          <w:rFonts w:ascii="Calibri" w:eastAsia="Calibri" w:hAnsi="Calibri" w:cs="Calibri"/>
          <w:sz w:val="21"/>
          <w:szCs w:val="21"/>
        </w:rPr>
        <w:t xml:space="preserve">data though the </w:t>
      </w:r>
      <w:r>
        <w:rPr>
          <w:rFonts w:ascii="Calibri" w:eastAsia="Calibri" w:hAnsi="Calibri" w:cs="Calibri"/>
          <w:sz w:val="21"/>
          <w:szCs w:val="21"/>
        </w:rPr>
        <w:t xml:space="preserve">endpoints on each EC2 instance on a fixed interval </w:t>
      </w:r>
    </w:p>
    <w:p w14:paraId="1DFD4ECD" w14:textId="38F0CD28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Visualization: </w:t>
      </w:r>
      <w:r>
        <w:rPr>
          <w:rFonts w:ascii="Calibri" w:eastAsia="Calibri" w:hAnsi="Calibri" w:cs="Calibri"/>
          <w:sz w:val="21"/>
          <w:szCs w:val="21"/>
        </w:rPr>
        <w:t>Grafana dashboard</w:t>
      </w:r>
      <w:r w:rsidR="00081981">
        <w:rPr>
          <w:rFonts w:ascii="Calibri" w:eastAsia="Calibri" w:hAnsi="Calibri" w:cs="Calibri"/>
          <w:sz w:val="21"/>
          <w:szCs w:val="21"/>
        </w:rPr>
        <w:t>s.</w:t>
      </w:r>
    </w:p>
    <w:p w14:paraId="19C4CFBD" w14:textId="33FB017F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Alerting: </w:t>
      </w:r>
      <w:r>
        <w:rPr>
          <w:rFonts w:ascii="Calibri" w:eastAsia="Calibri" w:hAnsi="Calibri" w:cs="Calibri"/>
          <w:sz w:val="21"/>
          <w:szCs w:val="21"/>
        </w:rPr>
        <w:t>Alertmanager, routing alerts by severity</w:t>
      </w:r>
    </w:p>
    <w:p w14:paraId="2E624128" w14:textId="49A09935" w:rsidR="008A6764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>2.  Open-Source vs. Commercial</w:t>
      </w:r>
      <w:r w:rsidR="009A630C">
        <w:rPr>
          <w:b/>
          <w:bCs/>
          <w:color w:val="1F3A52"/>
          <w:sz w:val="30"/>
          <w:szCs w:val="30"/>
        </w:rPr>
        <w:t xml:space="preserve"> -</w:t>
      </w:r>
      <w:r w:rsidR="00CB4B15">
        <w:rPr>
          <w:b/>
          <w:bCs/>
          <w:color w:val="1F3A52"/>
          <w:sz w:val="30"/>
          <w:szCs w:val="30"/>
        </w:rPr>
        <w:t xml:space="preserve"> </w:t>
      </w:r>
      <w:r>
        <w:rPr>
          <w:b/>
          <w:bCs/>
          <w:color w:val="1F3A52"/>
          <w:sz w:val="30"/>
          <w:szCs w:val="30"/>
        </w:rPr>
        <w:t>Comparison</w:t>
      </w:r>
    </w:p>
    <w:p w14:paraId="0A6A578D" w14:textId="04706007" w:rsidR="008A6764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The business context brief asks for a comparison against commercial alternatives on features, scalability, operational complexity, cost, and vendor support. This section is that comparison</w:t>
      </w:r>
      <w:r w:rsidR="000132C7">
        <w:rPr>
          <w:rFonts w:ascii="Calibri" w:eastAsia="Calibri" w:hAnsi="Calibri" w:cs="Calibri"/>
          <w:sz w:val="21"/>
          <w:szCs w:val="21"/>
        </w:rPr>
        <w:t>:</w:t>
      </w:r>
      <w:r>
        <w:rPr>
          <w:rFonts w:ascii="Calibri" w:eastAsia="Calibri" w:hAnsi="Calibri" w:cs="Calibri"/>
          <w:sz w:val="21"/>
          <w:szCs w:val="21"/>
        </w:rPr>
        <w:t xml:space="preserve"> Datadog, New Relic, and Splunk are researched here as the baseline, not deployed.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900"/>
        <w:gridCol w:w="2900"/>
      </w:tblGrid>
      <w:tr w:rsidR="008A6764" w14:paraId="06B25D32" w14:textId="77777777">
        <w:tc>
          <w:tcPr>
            <w:tcW w:w="17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D82A8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29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A36FC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Prometheus + Grafana (selected)</w:t>
            </w:r>
          </w:p>
        </w:tc>
        <w:tc>
          <w:tcPr>
            <w:tcW w:w="29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C0DC1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Datadog / New Relic</w:t>
            </w:r>
          </w:p>
        </w:tc>
        <w:tc>
          <w:tcPr>
            <w:tcW w:w="29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88565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Splunk</w:t>
            </w:r>
          </w:p>
        </w:tc>
      </w:tr>
      <w:tr w:rsidR="008A6764" w14:paraId="574A3B5B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DF10E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Features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547CE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Metrics + dashboards + alerting cover this project's needs (host/app metrics). Log aggregation needs an add-on (e.g., Loki) if scope grows.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079A3" w14:textId="724F8ECE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Metrics, logs, traces (APM), and synthetic monitoring in one product</w:t>
            </w:r>
            <w:r w:rsidR="008526B2"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broader out of the box.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726D9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Best-in-class log search/analytics; metrics and APM are secondary strengths.</w:t>
            </w:r>
          </w:p>
        </w:tc>
      </w:tr>
      <w:tr w:rsidR="008A6764" w14:paraId="23A9B146" w14:textId="77777777">
        <w:tc>
          <w:tcPr>
            <w:tcW w:w="17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3FAE2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Scalability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C8E5D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Scales well for a single-team, moderate-cardinality environment; horizontal scaling (federation/Thanos) adds operational work at large scale.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E4C97" w14:textId="11A5B813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Scales transparently</w:t>
            </w:r>
            <w:r w:rsidR="00FD293F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 vendor operates the backend; no scaling work for the team.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D2FA5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Scales well but licensing cost scales sharply with data volume.</w:t>
            </w:r>
          </w:p>
        </w:tc>
      </w:tr>
      <w:tr w:rsidR="008A6764" w14:paraId="33C2D310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28639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Operational complexity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41099" w14:textId="07DE242D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The team runs and patches Prometheus, Grafana, and Alertmanager themselves</w:t>
            </w:r>
            <w:r w:rsidR="00BF2101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 main cost of choosing this option.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D99E5" w14:textId="30FBC74F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Near-zero</w:t>
            </w:r>
            <w:r w:rsidR="00913E33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install an agent, configure dashboards in the vendor UI.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5B7A4" w14:textId="460466CA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Moderate to high</w:t>
            </w:r>
            <w:r w:rsidR="000D55AD"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indexer sizing and log-volume tuning take real expertise.</w:t>
            </w:r>
          </w:p>
        </w:tc>
      </w:tr>
      <w:tr w:rsidR="008A6764" w14:paraId="755D37BA" w14:textId="77777777">
        <w:tc>
          <w:tcPr>
            <w:tcW w:w="17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7E766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Cost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5250D" w14:textId="60FDE08B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Infrastructure cost only (a small EC2 instance) </w:t>
            </w:r>
            <w:r w:rsidR="00DA7EEE">
              <w:rPr>
                <w:rFonts w:ascii="Calibri" w:eastAsia="Calibri" w:hAnsi="Calibri" w:cs="Calibri"/>
                <w:sz w:val="18"/>
                <w:szCs w:val="18"/>
              </w:rPr>
              <w:t>so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effectively $0 in licensing.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B13E8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Per-host and per-GB pricing; at this project's scale, comparable to or higher than the self-hosted infra cost once host count grows.</w:t>
            </w:r>
          </w:p>
        </w:tc>
        <w:tc>
          <w:tcPr>
            <w:tcW w:w="29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756E4" w14:textId="1ACBF345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Priced by ingested data volume</w:t>
            </w:r>
            <w:r w:rsidR="00DA7EEE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the most expensive of the three at any real log volume.</w:t>
            </w:r>
          </w:p>
        </w:tc>
      </w:tr>
      <w:tr w:rsidR="008A6764" w14:paraId="729018F8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FBEAD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Vendor support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2C01A" w14:textId="36EFC003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Community support only 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06357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Vendor SLA, support tickets, dedicated account teams at higher tiers.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FB56E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Vendor SLA and support, similar to Datadog/New Relic.</w:t>
            </w:r>
          </w:p>
        </w:tc>
      </w:tr>
    </w:tbl>
    <w:p w14:paraId="1AEA4DFD" w14:textId="77777777" w:rsidR="008A6764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>3.  Metric Justification</w:t>
      </w:r>
    </w:p>
    <w:p w14:paraId="29BE92CB" w14:textId="77777777" w:rsidR="008A6764" w:rsidRDefault="00000000">
      <w:pPr>
        <w:spacing w:after="160" w:line="276" w:lineRule="auto"/>
      </w:pPr>
      <w:r>
        <w:rPr>
          <w:rFonts w:ascii="Calibri" w:eastAsia="Calibri" w:hAnsi="Calibri" w:cs="Calibri"/>
          <w:sz w:val="21"/>
          <w:szCs w:val="21"/>
        </w:rPr>
        <w:t>Per REQ-NCA-P1-05, each collected metric is justified by the operational decision it supports: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3600"/>
      </w:tblGrid>
      <w:tr w:rsidR="008A6764" w14:paraId="25689FE6" w14:textId="77777777">
        <w:tc>
          <w:tcPr>
            <w:tcW w:w="22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23759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6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21900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6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5F805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Why it's collected</w:t>
            </w:r>
          </w:p>
        </w:tc>
      </w:tr>
      <w:tr w:rsidR="008A6764" w14:paraId="70608E6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B0A5B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CPU utilization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909B2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node_exporter (web tier)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5B3D4" w14:textId="129B0A0C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Direct input to the ASG scaling policy (REQ-NCA-P1-04)</w:t>
            </w:r>
            <w:r w:rsidR="00B8639C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sustained high CPU triggers scale-out, sustained low CPU allows scale-in.</w:t>
            </w:r>
          </w:p>
        </w:tc>
      </w:tr>
      <w:tr w:rsidR="008A6764" w14:paraId="4675EAE3" w14:textId="77777777"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DCB6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HTTP request count / rate</w:t>
            </w:r>
          </w:p>
        </w:tc>
        <w:tc>
          <w:tcPr>
            <w:tcW w:w="2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6FD1F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ALB target group metrics</w:t>
            </w:r>
          </w:p>
        </w:tc>
        <w:tc>
          <w:tcPr>
            <w:tcW w:w="3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96147" w14:textId="48B2FA8D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 leading indicator of a ticket-sales traffic spike, often rising before CPU does</w:t>
            </w:r>
            <w:r w:rsidR="00076E9E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used as a secondary scaling signal.</w:t>
            </w:r>
          </w:p>
        </w:tc>
      </w:tr>
      <w:tr w:rsidR="008A6764" w14:paraId="09B2F4CC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D750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Instance/service up-down (health check)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0F186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Prometheus "up" metric + node_exporter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E9D3C" w14:textId="5256E558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Detects an instance or service failure immediately</w:t>
            </w:r>
            <w:r w:rsidR="003C3420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feeds the "service failure" alert.</w:t>
            </w:r>
          </w:p>
        </w:tc>
      </w:tr>
      <w:tr w:rsidR="008A6764" w14:paraId="28A19709" w14:textId="77777777"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5DC19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Disk usage</w:t>
            </w:r>
          </w:p>
        </w:tc>
        <w:tc>
          <w:tcPr>
            <w:tcW w:w="2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98872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node_exporter (all instances)</w:t>
            </w:r>
          </w:p>
        </w:tc>
        <w:tc>
          <w:tcPr>
            <w:tcW w:w="3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43D55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 full disk silently breaks MySQL writes and log collection; caught before it becomes an outage.</w:t>
            </w:r>
          </w:p>
        </w:tc>
      </w:tr>
      <w:tr w:rsidR="008A6764" w14:paraId="645C0A8D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BEDBD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MySQL connection count / query latency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C51B6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mysqld_exporter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79C18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The database has no auto-scaling, so this is the main early-warning signal for it becoming a bottleneck under peak load.</w:t>
            </w:r>
          </w:p>
        </w:tc>
      </w:tr>
      <w:tr w:rsidR="008A6764" w14:paraId="37742AEC" w14:textId="77777777"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DA827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Network throughput / connectivity errors</w:t>
            </w:r>
          </w:p>
        </w:tc>
        <w:tc>
          <w:tcPr>
            <w:tcW w:w="2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8AD58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node_exporter</w:t>
            </w:r>
          </w:p>
        </w:tc>
        <w:tc>
          <w:tcPr>
            <w:tcW w:w="36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EE641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Surfaces the "connectivity issues" alert case explicitly called out in the Core Assignment (§3.1).</w:t>
            </w:r>
          </w:p>
        </w:tc>
      </w:tr>
    </w:tbl>
    <w:p w14:paraId="7E9F7B5E" w14:textId="77777777" w:rsidR="008A6764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>4.  Alerting Plan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200"/>
        <w:gridCol w:w="2000"/>
      </w:tblGrid>
      <w:tr w:rsidR="008A6764" w14:paraId="79605C40" w14:textId="77777777">
        <w:tc>
          <w:tcPr>
            <w:tcW w:w="22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CCAF8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0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375D1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22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BB814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000" w:type="dxa"/>
            <w:shd w:val="clear" w:color="auto" w:fill="1F3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1B958" w14:textId="77777777" w:rsidR="008A6764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Notified via</w:t>
            </w:r>
          </w:p>
        </w:tc>
      </w:tr>
      <w:tr w:rsidR="008A6764" w14:paraId="5348F17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00A0D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High CPU (web tier)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E3F81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&gt; 80% for 5 min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72D33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Warning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DF411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Alertmanager → email/Slack webhook</w:t>
            </w:r>
          </w:p>
        </w:tc>
      </w:tr>
      <w:tr w:rsidR="008A6764" w14:paraId="2B077166" w14:textId="77777777"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3378C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Service down</w:t>
            </w:r>
          </w:p>
        </w:tc>
        <w:tc>
          <w:tcPr>
            <w:tcW w:w="2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6B1E0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"up" == 0 for 1 min</w:t>
            </w:r>
          </w:p>
        </w:tc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2CB2C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2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926EF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Alertmanager → email/Slack webhook</w:t>
            </w:r>
          </w:p>
        </w:tc>
      </w:tr>
      <w:tr w:rsidR="008A6764" w14:paraId="6EB0287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60FF9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Disk usage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FACF5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&gt; 85% used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B0341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Warning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89CB2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Alertmanager → email/Slack webhook</w:t>
            </w:r>
          </w:p>
        </w:tc>
      </w:tr>
      <w:tr w:rsidR="008A6764" w14:paraId="58FED6DB" w14:textId="77777777"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D21DD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MySQL connection saturation</w:t>
            </w:r>
          </w:p>
        </w:tc>
        <w:tc>
          <w:tcPr>
            <w:tcW w:w="2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903CF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&gt; 80% of max_connections</w:t>
            </w:r>
          </w:p>
        </w:tc>
        <w:tc>
          <w:tcPr>
            <w:tcW w:w="22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0507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2000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19571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Alertmanager → email/Slack webhook</w:t>
            </w:r>
          </w:p>
        </w:tc>
      </w:tr>
      <w:tr w:rsidR="008A6764" w14:paraId="7CA54AA9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58259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NAT/connectivity errors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674A8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error rate spike vs. 1hr baseline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6598C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Warning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64E43" w14:textId="77777777" w:rsidR="008A676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Alertmanager → email/Slack webhook</w:t>
            </w:r>
          </w:p>
        </w:tc>
      </w:tr>
    </w:tbl>
    <w:p w14:paraId="6C2E2BEE" w14:textId="77777777" w:rsidR="008A6764" w:rsidRDefault="00000000">
      <w:pPr>
        <w:pStyle w:val="Heading1"/>
        <w:pBdr>
          <w:bottom w:val="single" w:sz="6" w:space="4" w:color="1F3A52"/>
        </w:pBdr>
        <w:spacing w:before="400" w:after="200"/>
      </w:pPr>
      <w:r>
        <w:rPr>
          <w:b/>
          <w:bCs/>
          <w:color w:val="1F3A52"/>
          <w:sz w:val="30"/>
          <w:szCs w:val="30"/>
        </w:rPr>
        <w:t>5.  Dashboards</w:t>
      </w:r>
    </w:p>
    <w:p w14:paraId="42583116" w14:textId="3527F52E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sz w:val="21"/>
          <w:szCs w:val="21"/>
        </w:rPr>
        <w:t>Fleet Overview — CPU, disk, and network across all Web and Data instances, one row per instance.</w:t>
      </w:r>
    </w:p>
    <w:p w14:paraId="4C5FFAEC" w14:textId="77777777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sz w:val="21"/>
          <w:szCs w:val="21"/>
        </w:rPr>
        <w:t>Web Tier &amp; Scaling — request rate, ALB latency/5xx rate, and current ASG instance count side by side, so a scaling event and its trigger are visible on one screen.</w:t>
      </w:r>
    </w:p>
    <w:p w14:paraId="192A1916" w14:textId="331A0B02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sz w:val="21"/>
          <w:szCs w:val="21"/>
        </w:rPr>
        <w:t xml:space="preserve">Database — MySQL connection </w:t>
      </w:r>
      <w:r w:rsidR="00192754">
        <w:rPr>
          <w:rFonts w:ascii="Calibri" w:eastAsia="Calibri" w:hAnsi="Calibri" w:cs="Calibri"/>
          <w:sz w:val="21"/>
          <w:szCs w:val="21"/>
        </w:rPr>
        <w:t>health</w:t>
      </w:r>
      <w:r>
        <w:rPr>
          <w:rFonts w:ascii="Calibri" w:eastAsia="Calibri" w:hAnsi="Calibri" w:cs="Calibri"/>
          <w:sz w:val="21"/>
          <w:szCs w:val="21"/>
        </w:rPr>
        <w:t xml:space="preserve"> and disk usage on the </w:t>
      </w:r>
      <w:r w:rsidR="00A23CB7">
        <w:rPr>
          <w:rFonts w:ascii="Calibri" w:eastAsia="Calibri" w:hAnsi="Calibri" w:cs="Calibri"/>
          <w:sz w:val="21"/>
          <w:szCs w:val="21"/>
        </w:rPr>
        <w:t>Internal</w:t>
      </w:r>
      <w:r>
        <w:rPr>
          <w:rFonts w:ascii="Calibri" w:eastAsia="Calibri" w:hAnsi="Calibri" w:cs="Calibri"/>
          <w:sz w:val="21"/>
          <w:szCs w:val="21"/>
        </w:rPr>
        <w:t xml:space="preserve"> VPC</w:t>
      </w:r>
      <w:r w:rsidR="00A23CB7">
        <w:rPr>
          <w:rFonts w:ascii="Calibri" w:eastAsia="Calibri" w:hAnsi="Calibri" w:cs="Calibri"/>
          <w:sz w:val="21"/>
          <w:szCs w:val="21"/>
        </w:rPr>
        <w:t xml:space="preserve"> data subnet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 w:rsidR="000E43C6">
        <w:rPr>
          <w:rFonts w:ascii="Calibri" w:eastAsia="Calibri" w:hAnsi="Calibri" w:cs="Calibri"/>
          <w:sz w:val="21"/>
          <w:szCs w:val="21"/>
        </w:rPr>
        <w:t xml:space="preserve">in </w:t>
      </w:r>
      <w:r>
        <w:rPr>
          <w:rFonts w:ascii="Calibri" w:eastAsia="Calibri" w:hAnsi="Calibri" w:cs="Calibri"/>
          <w:sz w:val="21"/>
          <w:szCs w:val="21"/>
        </w:rPr>
        <w:t>instance.</w:t>
      </w:r>
    </w:p>
    <w:p w14:paraId="7F11234D" w14:textId="77777777" w:rsidR="008A676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rFonts w:ascii="Calibri" w:eastAsia="Calibri" w:hAnsi="Calibri" w:cs="Calibri"/>
          <w:sz w:val="21"/>
          <w:szCs w:val="21"/>
        </w:rPr>
        <w:t>CI/CD &amp; Management — self-hosted runner job status and Management VPC host health.</w:t>
      </w:r>
    </w:p>
    <w:p w14:paraId="1E581D72" w14:textId="51B46B95" w:rsidR="008A6764" w:rsidRDefault="008A6764">
      <w:pPr>
        <w:spacing w:after="160" w:line="276" w:lineRule="auto"/>
      </w:pPr>
    </w:p>
    <w:sectPr w:rsidR="008A676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3F502" w14:textId="77777777" w:rsidR="00E41143" w:rsidRDefault="00E41143">
      <w:r>
        <w:separator/>
      </w:r>
    </w:p>
  </w:endnote>
  <w:endnote w:type="continuationSeparator" w:id="0">
    <w:p w14:paraId="49BAB642" w14:textId="77777777" w:rsidR="00E41143" w:rsidRDefault="00E41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1A578" w14:textId="6D22F0F2" w:rsidR="008A6764" w:rsidRDefault="008A676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F7A8E" w14:textId="77777777" w:rsidR="00E41143" w:rsidRDefault="00E41143">
      <w:r>
        <w:separator/>
      </w:r>
    </w:p>
  </w:footnote>
  <w:footnote w:type="continuationSeparator" w:id="0">
    <w:p w14:paraId="2F112546" w14:textId="77777777" w:rsidR="00E41143" w:rsidRDefault="00E41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F18C" w14:textId="129547E1" w:rsidR="008A6764" w:rsidRPr="001E6C2B" w:rsidRDefault="008A6764" w:rsidP="001E6C2B">
    <w:pPr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3D10"/>
    <w:multiLevelType w:val="hybridMultilevel"/>
    <w:tmpl w:val="E9560EB4"/>
    <w:lvl w:ilvl="0" w:tplc="6FB261F2">
      <w:start w:val="1"/>
      <w:numFmt w:val="bullet"/>
      <w:lvlText w:val="●"/>
      <w:lvlJc w:val="left"/>
      <w:pPr>
        <w:ind w:left="720" w:hanging="360"/>
      </w:pPr>
    </w:lvl>
    <w:lvl w:ilvl="1" w:tplc="F3CA2B5E">
      <w:start w:val="1"/>
      <w:numFmt w:val="bullet"/>
      <w:lvlText w:val="○"/>
      <w:lvlJc w:val="left"/>
      <w:pPr>
        <w:ind w:left="1440" w:hanging="360"/>
      </w:pPr>
    </w:lvl>
    <w:lvl w:ilvl="2" w:tplc="10864D94">
      <w:start w:val="1"/>
      <w:numFmt w:val="bullet"/>
      <w:lvlText w:val="■"/>
      <w:lvlJc w:val="left"/>
      <w:pPr>
        <w:ind w:left="2160" w:hanging="360"/>
      </w:pPr>
    </w:lvl>
    <w:lvl w:ilvl="3" w:tplc="BC7C708A">
      <w:start w:val="1"/>
      <w:numFmt w:val="bullet"/>
      <w:lvlText w:val="●"/>
      <w:lvlJc w:val="left"/>
      <w:pPr>
        <w:ind w:left="2880" w:hanging="360"/>
      </w:pPr>
    </w:lvl>
    <w:lvl w:ilvl="4" w:tplc="FF44690E">
      <w:start w:val="1"/>
      <w:numFmt w:val="bullet"/>
      <w:lvlText w:val="○"/>
      <w:lvlJc w:val="left"/>
      <w:pPr>
        <w:ind w:left="3600" w:hanging="360"/>
      </w:pPr>
    </w:lvl>
    <w:lvl w:ilvl="5" w:tplc="DA8A910E">
      <w:start w:val="1"/>
      <w:numFmt w:val="bullet"/>
      <w:lvlText w:val="■"/>
      <w:lvlJc w:val="left"/>
      <w:pPr>
        <w:ind w:left="4320" w:hanging="360"/>
      </w:pPr>
    </w:lvl>
    <w:lvl w:ilvl="6" w:tplc="4F722458">
      <w:start w:val="1"/>
      <w:numFmt w:val="bullet"/>
      <w:lvlText w:val="●"/>
      <w:lvlJc w:val="left"/>
      <w:pPr>
        <w:ind w:left="5040" w:hanging="360"/>
      </w:pPr>
    </w:lvl>
    <w:lvl w:ilvl="7" w:tplc="B9B873D4">
      <w:start w:val="1"/>
      <w:numFmt w:val="bullet"/>
      <w:lvlText w:val="●"/>
      <w:lvlJc w:val="left"/>
      <w:pPr>
        <w:ind w:left="5760" w:hanging="360"/>
      </w:pPr>
    </w:lvl>
    <w:lvl w:ilvl="8" w:tplc="10EA4A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01D0A"/>
    <w:multiLevelType w:val="hybridMultilevel"/>
    <w:tmpl w:val="76C84C7C"/>
    <w:lvl w:ilvl="0" w:tplc="C62CF806">
      <w:start w:val="1"/>
      <w:numFmt w:val="bullet"/>
      <w:lvlText w:val="•"/>
      <w:lvlJc w:val="left"/>
      <w:pPr>
        <w:ind w:left="360" w:hanging="260"/>
      </w:pPr>
    </w:lvl>
    <w:lvl w:ilvl="1" w:tplc="C2D886FE">
      <w:start w:val="1"/>
      <w:numFmt w:val="bullet"/>
      <w:lvlText w:val="–"/>
      <w:lvlJc w:val="left"/>
      <w:pPr>
        <w:ind w:left="720" w:hanging="260"/>
      </w:pPr>
    </w:lvl>
    <w:lvl w:ilvl="2" w:tplc="1FDEEF0C">
      <w:numFmt w:val="decimal"/>
      <w:lvlText w:val=""/>
      <w:lvlJc w:val="left"/>
    </w:lvl>
    <w:lvl w:ilvl="3" w:tplc="232A8B8C">
      <w:numFmt w:val="decimal"/>
      <w:lvlText w:val=""/>
      <w:lvlJc w:val="left"/>
    </w:lvl>
    <w:lvl w:ilvl="4" w:tplc="F2789F88">
      <w:numFmt w:val="decimal"/>
      <w:lvlText w:val=""/>
      <w:lvlJc w:val="left"/>
    </w:lvl>
    <w:lvl w:ilvl="5" w:tplc="9D8EBB26">
      <w:numFmt w:val="decimal"/>
      <w:lvlText w:val=""/>
      <w:lvlJc w:val="left"/>
    </w:lvl>
    <w:lvl w:ilvl="6" w:tplc="3244AD80">
      <w:numFmt w:val="decimal"/>
      <w:lvlText w:val=""/>
      <w:lvlJc w:val="left"/>
    </w:lvl>
    <w:lvl w:ilvl="7" w:tplc="97FAB7CA">
      <w:numFmt w:val="decimal"/>
      <w:lvlText w:val=""/>
      <w:lvlJc w:val="left"/>
    </w:lvl>
    <w:lvl w:ilvl="8" w:tplc="41109020">
      <w:numFmt w:val="decimal"/>
      <w:lvlText w:val=""/>
      <w:lvlJc w:val="left"/>
    </w:lvl>
  </w:abstractNum>
  <w:num w:numId="1" w16cid:durableId="1879735936">
    <w:abstractNumId w:val="0"/>
    <w:lvlOverride w:ilvl="0">
      <w:startOverride w:val="1"/>
    </w:lvlOverride>
  </w:num>
  <w:num w:numId="2" w16cid:durableId="15598953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764"/>
    <w:rsid w:val="000132C7"/>
    <w:rsid w:val="00076E9E"/>
    <w:rsid w:val="00081981"/>
    <w:rsid w:val="000D55AD"/>
    <w:rsid w:val="000E43C6"/>
    <w:rsid w:val="00102596"/>
    <w:rsid w:val="00147F80"/>
    <w:rsid w:val="00192754"/>
    <w:rsid w:val="001A6EE9"/>
    <w:rsid w:val="001E6C2B"/>
    <w:rsid w:val="003C3420"/>
    <w:rsid w:val="00434E87"/>
    <w:rsid w:val="00587278"/>
    <w:rsid w:val="005F74CC"/>
    <w:rsid w:val="006A5B3A"/>
    <w:rsid w:val="00752588"/>
    <w:rsid w:val="00787D34"/>
    <w:rsid w:val="008526B2"/>
    <w:rsid w:val="008A6764"/>
    <w:rsid w:val="00913E33"/>
    <w:rsid w:val="00932FCC"/>
    <w:rsid w:val="00957021"/>
    <w:rsid w:val="009A630C"/>
    <w:rsid w:val="009E4FF1"/>
    <w:rsid w:val="00A05531"/>
    <w:rsid w:val="00A23CB7"/>
    <w:rsid w:val="00AA5E21"/>
    <w:rsid w:val="00B27B83"/>
    <w:rsid w:val="00B8639C"/>
    <w:rsid w:val="00BE06BF"/>
    <w:rsid w:val="00BF2101"/>
    <w:rsid w:val="00CB4B15"/>
    <w:rsid w:val="00CB5C37"/>
    <w:rsid w:val="00DA7EEE"/>
    <w:rsid w:val="00DC0D98"/>
    <w:rsid w:val="00E41143"/>
    <w:rsid w:val="00FA3A36"/>
    <w:rsid w:val="00FD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F7348"/>
  <w15:docId w15:val="{E06452E2-7145-4D81-B647-6831B67D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6C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C2B"/>
  </w:style>
  <w:style w:type="paragraph" w:styleId="Footer">
    <w:name w:val="footer"/>
    <w:basedOn w:val="Normal"/>
    <w:link w:val="FooterChar"/>
    <w:uiPriority w:val="99"/>
    <w:unhideWhenUsed/>
    <w:rsid w:val="001E6C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Popov,Spartak S.D.</cp:lastModifiedBy>
  <cp:revision>31</cp:revision>
  <dcterms:created xsi:type="dcterms:W3CDTF">2026-09-13T13:00:00Z</dcterms:created>
  <dcterms:modified xsi:type="dcterms:W3CDTF">2026-09-30T21:09:00Z</dcterms:modified>
</cp:coreProperties>
</file>