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D44B1" w14:textId="77777777" w:rsidR="008A6764" w:rsidRDefault="00000000">
      <w:pPr>
        <w:spacing w:before="800"/>
        <w:jc w:val="center"/>
      </w:pPr>
      <w:r>
        <w:rPr>
          <w:rFonts w:ascii="Calibri" w:eastAsia="Calibri" w:hAnsi="Calibri" w:cs="Calibri"/>
          <w:b/>
          <w:bCs/>
          <w:color w:val="2F6F95"/>
          <w:sz w:val="22"/>
          <w:szCs w:val="22"/>
        </w:rPr>
        <w:t>INNOVATECH SOLUTIONS</w:t>
      </w:r>
    </w:p>
    <w:p w14:paraId="2730FC64" w14:textId="77777777" w:rsidR="008A6764" w:rsidRDefault="00000000">
      <w:pPr>
        <w:spacing w:before="150" w:after="100"/>
        <w:jc w:val="center"/>
      </w:pPr>
      <w:r>
        <w:rPr>
          <w:rFonts w:ascii="Calibri" w:eastAsia="Calibri" w:hAnsi="Calibri" w:cs="Calibri"/>
          <w:b/>
          <w:bCs/>
          <w:color w:val="1F3A52"/>
          <w:sz w:val="44"/>
          <w:szCs w:val="44"/>
        </w:rPr>
        <w:t>Monitoring Design Document</w:t>
      </w:r>
    </w:p>
    <w:p w14:paraId="04E6D1CE" w14:textId="77777777" w:rsidR="008A6764" w:rsidRDefault="00000000">
      <w:r>
        <w:br w:type="page"/>
      </w:r>
    </w:p>
    <w:p w14:paraId="260B7007" w14:textId="77777777" w:rsidR="008A6764" w:rsidRDefault="00000000">
      <w:pPr>
        <w:pStyle w:val="Heading1"/>
        <w:pBdr>
          <w:bottom w:val="single" w:sz="6" w:space="4" w:color="1F3A52"/>
        </w:pBdr>
        <w:spacing w:before="400" w:after="200"/>
      </w:pPr>
      <w:r>
        <w:rPr>
          <w:b/>
          <w:bCs/>
          <w:color w:val="1F3A52"/>
          <w:sz w:val="30"/>
          <w:szCs w:val="30"/>
        </w:rPr>
        <w:lastRenderedPageBreak/>
        <w:t>1.  Selected Stack</w:t>
      </w:r>
    </w:p>
    <w:p w14:paraId="1FD58C1E" w14:textId="5820C2E8" w:rsidR="008A6764" w:rsidRDefault="00000000">
      <w:pPr>
        <w:spacing w:after="160" w:line="276" w:lineRule="auto"/>
      </w:pPr>
      <w:r>
        <w:rPr>
          <w:rFonts w:ascii="Calibri" w:eastAsia="Calibri" w:hAnsi="Calibri" w:cs="Calibri"/>
          <w:sz w:val="21"/>
          <w:szCs w:val="21"/>
        </w:rPr>
        <w:t xml:space="preserve">The deployed observability stack is </w:t>
      </w:r>
      <w:r>
        <w:rPr>
          <w:rFonts w:ascii="Calibri" w:eastAsia="Calibri" w:hAnsi="Calibri" w:cs="Calibri"/>
          <w:b/>
          <w:bCs/>
          <w:sz w:val="21"/>
          <w:szCs w:val="21"/>
        </w:rPr>
        <w:t>Prometheus + Grafana + Alertmanager</w:t>
      </w:r>
      <w:r>
        <w:rPr>
          <w:rFonts w:ascii="Calibri" w:eastAsia="Calibri" w:hAnsi="Calibri" w:cs="Calibri"/>
          <w:sz w:val="21"/>
          <w:szCs w:val="21"/>
        </w:rPr>
        <w:t xml:space="preserve">, self-hosted in the </w:t>
      </w:r>
      <w:r w:rsidR="00B27B83">
        <w:rPr>
          <w:rFonts w:ascii="Calibri" w:eastAsia="Calibri" w:hAnsi="Calibri" w:cs="Calibri"/>
          <w:sz w:val="21"/>
          <w:szCs w:val="21"/>
        </w:rPr>
        <w:t>Internal</w:t>
      </w:r>
      <w:r>
        <w:rPr>
          <w:rFonts w:ascii="Calibri" w:eastAsia="Calibri" w:hAnsi="Calibri" w:cs="Calibri"/>
          <w:sz w:val="21"/>
          <w:szCs w:val="21"/>
        </w:rPr>
        <w:t xml:space="preserve"> VPC</w:t>
      </w:r>
      <w:r w:rsidR="00B27B83">
        <w:rPr>
          <w:rFonts w:ascii="Calibri" w:eastAsia="Calibri" w:hAnsi="Calibri" w:cs="Calibri"/>
          <w:sz w:val="21"/>
          <w:szCs w:val="21"/>
        </w:rPr>
        <w:t xml:space="preserve"> in the management subnet</w:t>
      </w:r>
      <w:r>
        <w:rPr>
          <w:rFonts w:ascii="Calibri" w:eastAsia="Calibri" w:hAnsi="Calibri" w:cs="Calibri"/>
          <w:sz w:val="21"/>
          <w:szCs w:val="21"/>
        </w:rPr>
        <w:t xml:space="preserve">, with </w:t>
      </w:r>
      <w:r>
        <w:rPr>
          <w:rFonts w:ascii="Calibri" w:eastAsia="Calibri" w:hAnsi="Calibri" w:cs="Calibri"/>
          <w:b/>
          <w:bCs/>
          <w:sz w:val="21"/>
          <w:szCs w:val="21"/>
        </w:rPr>
        <w:t>node_exporter</w:t>
      </w:r>
      <w:r w:rsidR="00B27B83">
        <w:rPr>
          <w:rFonts w:ascii="Calibri" w:eastAsia="Calibri" w:hAnsi="Calibri" w:cs="Calibri"/>
          <w:b/>
          <w:bCs/>
          <w:sz w:val="21"/>
          <w:szCs w:val="21"/>
        </w:rPr>
        <w:t xml:space="preserve"> (monitoring agent for Prometheus)</w:t>
      </w:r>
      <w:r>
        <w:rPr>
          <w:rFonts w:ascii="Calibri" w:eastAsia="Calibri" w:hAnsi="Calibri" w:cs="Calibri"/>
          <w:sz w:val="21"/>
          <w:szCs w:val="21"/>
        </w:rPr>
        <w:t xml:space="preserve"> running on every Web and Data instance. This is the environment's actual, running monitoring solution</w:t>
      </w:r>
      <w:r w:rsidR="005F74CC">
        <w:rPr>
          <w:rFonts w:ascii="Calibri" w:eastAsia="Calibri" w:hAnsi="Calibri" w:cs="Calibri"/>
          <w:sz w:val="21"/>
          <w:szCs w:val="21"/>
        </w:rPr>
        <w:t>,</w:t>
      </w:r>
      <w:r>
        <w:rPr>
          <w:rFonts w:ascii="Calibri" w:eastAsia="Calibri" w:hAnsi="Calibri" w:cs="Calibri"/>
          <w:sz w:val="21"/>
          <w:szCs w:val="21"/>
        </w:rPr>
        <w:t xml:space="preserve"> not a comparison exercise.</w:t>
      </w:r>
    </w:p>
    <w:p w14:paraId="5E6D30FD" w14:textId="35CF6063" w:rsidR="008A6764" w:rsidRDefault="00000000">
      <w:pPr>
        <w:pStyle w:val="ListParagraph"/>
        <w:numPr>
          <w:ilvl w:val="0"/>
          <w:numId w:val="2"/>
        </w:numPr>
        <w:spacing w:after="80" w:line="264" w:lineRule="auto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Data collection: </w:t>
      </w:r>
      <w:r>
        <w:rPr>
          <w:rFonts w:ascii="Calibri" w:eastAsia="Calibri" w:hAnsi="Calibri" w:cs="Calibri"/>
          <w:sz w:val="21"/>
          <w:szCs w:val="21"/>
        </w:rPr>
        <w:t xml:space="preserve">Prometheus scrapes </w:t>
      </w:r>
      <w:r w:rsidR="00587278">
        <w:rPr>
          <w:rFonts w:ascii="Calibri" w:eastAsia="Calibri" w:hAnsi="Calibri" w:cs="Calibri"/>
          <w:sz w:val="21"/>
          <w:szCs w:val="21"/>
        </w:rPr>
        <w:t xml:space="preserve">data though the </w:t>
      </w:r>
      <w:r>
        <w:rPr>
          <w:rFonts w:ascii="Calibri" w:eastAsia="Calibri" w:hAnsi="Calibri" w:cs="Calibri"/>
          <w:sz w:val="21"/>
          <w:szCs w:val="21"/>
        </w:rPr>
        <w:t xml:space="preserve">endpoints on each EC2 instance on a fixed interval </w:t>
      </w:r>
    </w:p>
    <w:p w14:paraId="1DFD4ECD" w14:textId="38F0CD28" w:rsidR="008A6764" w:rsidRDefault="00000000">
      <w:pPr>
        <w:pStyle w:val="ListParagraph"/>
        <w:numPr>
          <w:ilvl w:val="0"/>
          <w:numId w:val="2"/>
        </w:numPr>
        <w:spacing w:after="80" w:line="264" w:lineRule="auto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Visualization: </w:t>
      </w:r>
      <w:r>
        <w:rPr>
          <w:rFonts w:ascii="Calibri" w:eastAsia="Calibri" w:hAnsi="Calibri" w:cs="Calibri"/>
          <w:sz w:val="21"/>
          <w:szCs w:val="21"/>
        </w:rPr>
        <w:t>Grafana dashboard</w:t>
      </w:r>
      <w:r w:rsidR="00081981">
        <w:rPr>
          <w:rFonts w:ascii="Calibri" w:eastAsia="Calibri" w:hAnsi="Calibri" w:cs="Calibri"/>
          <w:sz w:val="21"/>
          <w:szCs w:val="21"/>
        </w:rPr>
        <w:t>s.</w:t>
      </w:r>
    </w:p>
    <w:p w14:paraId="19C4CFBD" w14:textId="33FB017F" w:rsidR="008A6764" w:rsidRDefault="00000000">
      <w:pPr>
        <w:pStyle w:val="ListParagraph"/>
        <w:numPr>
          <w:ilvl w:val="0"/>
          <w:numId w:val="2"/>
        </w:numPr>
        <w:spacing w:after="80" w:line="264" w:lineRule="auto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Alerting: </w:t>
      </w:r>
      <w:r>
        <w:rPr>
          <w:rFonts w:ascii="Calibri" w:eastAsia="Calibri" w:hAnsi="Calibri" w:cs="Calibri"/>
          <w:sz w:val="21"/>
          <w:szCs w:val="21"/>
        </w:rPr>
        <w:t>Alertmanager, routing alerts by severity</w:t>
      </w:r>
    </w:p>
    <w:p w14:paraId="2E624128" w14:textId="49A09935" w:rsidR="008A6764" w:rsidRDefault="00000000">
      <w:pPr>
        <w:pStyle w:val="Heading1"/>
        <w:pBdr>
          <w:bottom w:val="single" w:sz="6" w:space="4" w:color="1F3A52"/>
        </w:pBdr>
        <w:spacing w:before="400" w:after="200"/>
      </w:pPr>
      <w:r>
        <w:rPr>
          <w:b/>
          <w:bCs/>
          <w:color w:val="1F3A52"/>
          <w:sz w:val="30"/>
          <w:szCs w:val="30"/>
        </w:rPr>
        <w:t>2.  Open-Source vs. Commercial</w:t>
      </w:r>
      <w:r w:rsidR="009A630C">
        <w:rPr>
          <w:b/>
          <w:bCs/>
          <w:color w:val="1F3A52"/>
          <w:sz w:val="30"/>
          <w:szCs w:val="30"/>
        </w:rPr>
        <w:t xml:space="preserve"> -</w:t>
      </w:r>
      <w:r w:rsidR="00CB4B15">
        <w:rPr>
          <w:b/>
          <w:bCs/>
          <w:color w:val="1F3A52"/>
          <w:sz w:val="30"/>
          <w:szCs w:val="30"/>
        </w:rPr>
        <w:t xml:space="preserve"> </w:t>
      </w:r>
      <w:r>
        <w:rPr>
          <w:b/>
          <w:bCs/>
          <w:color w:val="1F3A52"/>
          <w:sz w:val="30"/>
          <w:szCs w:val="30"/>
        </w:rPr>
        <w:t>Comparison</w:t>
      </w:r>
    </w:p>
    <w:p w14:paraId="0A6A578D" w14:textId="04706007" w:rsidR="008A6764" w:rsidRDefault="00000000">
      <w:pPr>
        <w:spacing w:after="160" w:line="276" w:lineRule="auto"/>
      </w:pPr>
      <w:r>
        <w:rPr>
          <w:rFonts w:ascii="Calibri" w:eastAsia="Calibri" w:hAnsi="Calibri" w:cs="Calibri"/>
          <w:sz w:val="21"/>
          <w:szCs w:val="21"/>
        </w:rPr>
        <w:t>The business context brief asks for a comparison against commercial alternatives on features, scalability, operational complexity, cost, and vendor support. This section is that comparison</w:t>
      </w:r>
      <w:r w:rsidR="000132C7">
        <w:rPr>
          <w:rFonts w:ascii="Calibri" w:eastAsia="Calibri" w:hAnsi="Calibri" w:cs="Calibri"/>
          <w:sz w:val="21"/>
          <w:szCs w:val="21"/>
        </w:rPr>
        <w:t>:</w:t>
      </w:r>
      <w:r>
        <w:rPr>
          <w:rFonts w:ascii="Calibri" w:eastAsia="Calibri" w:hAnsi="Calibri" w:cs="Calibri"/>
          <w:sz w:val="21"/>
          <w:szCs w:val="21"/>
        </w:rPr>
        <w:t xml:space="preserve"> Datadog, New Relic, and Splunk are researched here as the baseline, not deployed.</w:t>
      </w:r>
    </w:p>
    <w:tbl>
      <w:tblPr>
        <w:tblW w:w="10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2900"/>
        <w:gridCol w:w="2900"/>
        <w:gridCol w:w="2900"/>
      </w:tblGrid>
      <w:tr w:rsidR="008A6764" w14:paraId="06B25D32" w14:textId="77777777">
        <w:tc>
          <w:tcPr>
            <w:tcW w:w="1700" w:type="dxa"/>
            <w:shd w:val="clear" w:color="auto" w:fill="1F3A5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AD82A8" w14:textId="77777777" w:rsidR="008A6764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Dimension</w:t>
            </w:r>
          </w:p>
        </w:tc>
        <w:tc>
          <w:tcPr>
            <w:tcW w:w="2900" w:type="dxa"/>
            <w:shd w:val="clear" w:color="auto" w:fill="1F3A5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7A36FC" w14:textId="77777777" w:rsidR="008A6764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Prometheus + Grafana (selected)</w:t>
            </w:r>
          </w:p>
        </w:tc>
        <w:tc>
          <w:tcPr>
            <w:tcW w:w="2900" w:type="dxa"/>
            <w:shd w:val="clear" w:color="auto" w:fill="1F3A5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9C0DC1" w14:textId="77777777" w:rsidR="008A6764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Datadog / New Relic</w:t>
            </w:r>
          </w:p>
        </w:tc>
        <w:tc>
          <w:tcPr>
            <w:tcW w:w="2900" w:type="dxa"/>
            <w:shd w:val="clear" w:color="auto" w:fill="1F3A5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C88565" w14:textId="77777777" w:rsidR="008A6764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Splunk</w:t>
            </w:r>
          </w:p>
        </w:tc>
      </w:tr>
      <w:tr w:rsidR="008A6764" w14:paraId="574A3B5B" w14:textId="77777777"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ADF10E" w14:textId="77777777" w:rsidR="008A6764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>Features</w:t>
            </w:r>
          </w:p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0547CE" w14:textId="77777777" w:rsidR="008A6764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>Metrics + dashboards + alerting cover this project's needs (host/app metrics). Log aggregation needs an add-on (e.g., Loki) if scope grows.</w:t>
            </w:r>
          </w:p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A079A3" w14:textId="724F8ECE" w:rsidR="008A6764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>Metrics, logs, traces (APM), and synthetic monitoring in one product</w:t>
            </w:r>
            <w:r w:rsidR="008526B2">
              <w:rPr>
                <w:rFonts w:ascii="Calibri" w:eastAsia="Calibri" w:hAnsi="Calibri" w:cs="Calibri"/>
                <w:sz w:val="18"/>
                <w:szCs w:val="18"/>
              </w:rPr>
              <w:t xml:space="preserve">,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broader out of the box.</w:t>
            </w:r>
          </w:p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6726D9" w14:textId="77777777" w:rsidR="008A6764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>Best-in-class log search/analytics; metrics and APM are secondary strengths.</w:t>
            </w:r>
          </w:p>
        </w:tc>
      </w:tr>
      <w:tr w:rsidR="008A6764" w14:paraId="23A9B146" w14:textId="77777777">
        <w:tc>
          <w:tcPr>
            <w:tcW w:w="17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D3FAE2" w14:textId="77777777" w:rsidR="008A6764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>Scalability</w:t>
            </w:r>
          </w:p>
        </w:tc>
        <w:tc>
          <w:tcPr>
            <w:tcW w:w="29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4C8E5D" w14:textId="77777777" w:rsidR="008A6764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>Scales well for a single-team, moderate-cardinality environment; horizontal scaling (federation/Thanos) adds operational work at large scale.</w:t>
            </w:r>
          </w:p>
        </w:tc>
        <w:tc>
          <w:tcPr>
            <w:tcW w:w="29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FE4C97" w14:textId="11A5B813" w:rsidR="008A6764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>Scales transparently</w:t>
            </w:r>
            <w:r w:rsidR="00FD293F">
              <w:rPr>
                <w:rFonts w:ascii="Calibri" w:eastAsia="Calibri" w:hAnsi="Calibri" w:cs="Calibri"/>
                <w:sz w:val="18"/>
                <w:szCs w:val="18"/>
              </w:rPr>
              <w:t>,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the vendor operates the backend; no scaling work for the team.</w:t>
            </w:r>
          </w:p>
        </w:tc>
        <w:tc>
          <w:tcPr>
            <w:tcW w:w="29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CD2FA5" w14:textId="77777777" w:rsidR="008A6764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>Scales well but licensing cost scales sharply with data volume.</w:t>
            </w:r>
          </w:p>
        </w:tc>
      </w:tr>
      <w:tr w:rsidR="008A6764" w14:paraId="33C2D310" w14:textId="77777777"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028639" w14:textId="77777777" w:rsidR="008A6764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>Operational complexity</w:t>
            </w:r>
          </w:p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E41099" w14:textId="07DE242D" w:rsidR="008A6764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>The team runs and patches Prometheus, Grafana, and Alertmanager themselves</w:t>
            </w:r>
            <w:r w:rsidR="00BF2101">
              <w:rPr>
                <w:rFonts w:ascii="Calibri" w:eastAsia="Calibri" w:hAnsi="Calibri" w:cs="Calibri"/>
                <w:sz w:val="18"/>
                <w:szCs w:val="18"/>
              </w:rPr>
              <w:t>,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the main cost of choosing this option.</w:t>
            </w:r>
          </w:p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5D99E5" w14:textId="30FBC74F" w:rsidR="008A6764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>Near-zero</w:t>
            </w:r>
            <w:r w:rsidR="00913E33">
              <w:rPr>
                <w:rFonts w:ascii="Calibri" w:eastAsia="Calibri" w:hAnsi="Calibri" w:cs="Calibri"/>
                <w:sz w:val="18"/>
                <w:szCs w:val="18"/>
              </w:rPr>
              <w:t>,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install an agent, configure dashboards in the vendor UI.</w:t>
            </w:r>
          </w:p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E5B7A4" w14:textId="460466CA" w:rsidR="008A6764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>Moderate to high</w:t>
            </w:r>
            <w:r w:rsidR="000D55AD">
              <w:rPr>
                <w:rFonts w:ascii="Calibri" w:eastAsia="Calibri" w:hAnsi="Calibri" w:cs="Calibri"/>
                <w:sz w:val="18"/>
                <w:szCs w:val="18"/>
              </w:rPr>
              <w:t xml:space="preserve">,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indexer sizing and log-volume tuning take real expertise.</w:t>
            </w:r>
          </w:p>
        </w:tc>
      </w:tr>
      <w:tr w:rsidR="008A6764" w14:paraId="755D37BA" w14:textId="77777777">
        <w:tc>
          <w:tcPr>
            <w:tcW w:w="17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27E766" w14:textId="77777777" w:rsidR="008A6764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>Cost</w:t>
            </w:r>
          </w:p>
        </w:tc>
        <w:tc>
          <w:tcPr>
            <w:tcW w:w="29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E5250D" w14:textId="60FDE08B" w:rsidR="008A6764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 xml:space="preserve">Infrastructure cost only (a small EC2 instance) </w:t>
            </w:r>
            <w:r w:rsidR="00DA7EEE">
              <w:rPr>
                <w:rFonts w:ascii="Calibri" w:eastAsia="Calibri" w:hAnsi="Calibri" w:cs="Calibri"/>
                <w:sz w:val="18"/>
                <w:szCs w:val="18"/>
              </w:rPr>
              <w:t>so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effectively $0 in licensing.</w:t>
            </w:r>
          </w:p>
        </w:tc>
        <w:tc>
          <w:tcPr>
            <w:tcW w:w="29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CB13E8" w14:textId="77777777" w:rsidR="008A6764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>Per-host and per-GB pricing; at this project's scale, comparable to or higher than the self-hosted infra cost once host count grows.</w:t>
            </w:r>
          </w:p>
        </w:tc>
        <w:tc>
          <w:tcPr>
            <w:tcW w:w="29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C756E4" w14:textId="1ACBF345" w:rsidR="008A6764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>Priced by ingested data volume</w:t>
            </w:r>
            <w:r w:rsidR="00DA7EEE">
              <w:rPr>
                <w:rFonts w:ascii="Calibri" w:eastAsia="Calibri" w:hAnsi="Calibri" w:cs="Calibri"/>
                <w:sz w:val="18"/>
                <w:szCs w:val="18"/>
              </w:rPr>
              <w:t>,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the most expensive of the three at any real log volume.</w:t>
            </w:r>
          </w:p>
        </w:tc>
      </w:tr>
      <w:tr w:rsidR="008A6764" w14:paraId="729018F8" w14:textId="77777777"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2FBEAD" w14:textId="77777777" w:rsidR="008A6764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>Vendor support</w:t>
            </w:r>
          </w:p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B2C01A" w14:textId="36EFC003" w:rsidR="008A6764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 xml:space="preserve">Community support only </w:t>
            </w:r>
          </w:p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806357" w14:textId="77777777" w:rsidR="008A6764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>Vendor SLA, support tickets, dedicated account teams at higher tiers.</w:t>
            </w:r>
          </w:p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6FB56E" w14:textId="77777777" w:rsidR="008A6764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>Vendor SLA and support, similar to Datadog/New Relic.</w:t>
            </w:r>
          </w:p>
        </w:tc>
      </w:tr>
    </w:tbl>
    <w:p w14:paraId="1AEA4DFD" w14:textId="77777777" w:rsidR="008A6764" w:rsidRDefault="00000000">
      <w:pPr>
        <w:pStyle w:val="Heading1"/>
        <w:pBdr>
          <w:bottom w:val="single" w:sz="6" w:space="4" w:color="1F3A52"/>
        </w:pBdr>
        <w:spacing w:before="400" w:after="200"/>
      </w:pPr>
      <w:r>
        <w:rPr>
          <w:b/>
          <w:bCs/>
          <w:color w:val="1F3A52"/>
          <w:sz w:val="30"/>
          <w:szCs w:val="30"/>
        </w:rPr>
        <w:t>3.  Metric Justification</w:t>
      </w:r>
    </w:p>
    <w:p w14:paraId="29BE92CB" w14:textId="77777777" w:rsidR="008A6764" w:rsidRDefault="00000000">
      <w:pPr>
        <w:spacing w:after="160" w:line="276" w:lineRule="auto"/>
      </w:pPr>
      <w:r>
        <w:rPr>
          <w:rFonts w:ascii="Calibri" w:eastAsia="Calibri" w:hAnsi="Calibri" w:cs="Calibri"/>
          <w:sz w:val="21"/>
          <w:szCs w:val="21"/>
        </w:rPr>
        <w:t>Per REQ-NCA-P1-05, each collected metric is justified by the operational decision it supports:</w:t>
      </w:r>
    </w:p>
    <w:tbl>
      <w:tblPr>
        <w:tblW w:w="8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600"/>
        <w:gridCol w:w="3600"/>
      </w:tblGrid>
      <w:tr w:rsidR="008A6764" w14:paraId="25689FE6" w14:textId="77777777">
        <w:tc>
          <w:tcPr>
            <w:tcW w:w="2200" w:type="dxa"/>
            <w:shd w:val="clear" w:color="auto" w:fill="1F3A5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123759" w14:textId="77777777" w:rsidR="008A6764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Metric</w:t>
            </w:r>
          </w:p>
        </w:tc>
        <w:tc>
          <w:tcPr>
            <w:tcW w:w="2600" w:type="dxa"/>
            <w:shd w:val="clear" w:color="auto" w:fill="1F3A5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E21900" w14:textId="77777777" w:rsidR="008A6764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Source</w:t>
            </w:r>
          </w:p>
        </w:tc>
        <w:tc>
          <w:tcPr>
            <w:tcW w:w="3600" w:type="dxa"/>
            <w:shd w:val="clear" w:color="auto" w:fill="1F3A5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E5F805" w14:textId="77777777" w:rsidR="008A6764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Why it's collected</w:t>
            </w:r>
          </w:p>
        </w:tc>
      </w:tr>
      <w:tr w:rsidR="008A6764" w14:paraId="70608E66" w14:textId="77777777"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CB0A5B" w14:textId="77777777" w:rsidR="008A6764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>CPU utilization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5909B2" w14:textId="77777777" w:rsidR="008A6764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>node_exporter (web tier)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D5B3D4" w14:textId="129B0A0C" w:rsidR="008A6764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>Direct input to the ASG scaling policy (REQ-NCA-P1-04)</w:t>
            </w:r>
            <w:r w:rsidR="00B8639C">
              <w:rPr>
                <w:rFonts w:ascii="Calibri" w:eastAsia="Calibri" w:hAnsi="Calibri" w:cs="Calibri"/>
                <w:sz w:val="18"/>
                <w:szCs w:val="18"/>
              </w:rPr>
              <w:t>,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sustained high CPU triggers scale-out, sustained low CPU allows scale-in.</w:t>
            </w:r>
          </w:p>
        </w:tc>
      </w:tr>
      <w:tr w:rsidR="008A6764" w14:paraId="4675EAE3" w14:textId="77777777">
        <w:tc>
          <w:tcPr>
            <w:tcW w:w="22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3DCB6" w14:textId="77777777" w:rsidR="008A6764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lastRenderedPageBreak/>
              <w:t>HTTP request count / rate</w:t>
            </w:r>
          </w:p>
        </w:tc>
        <w:tc>
          <w:tcPr>
            <w:tcW w:w="26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76FD1F" w14:textId="77777777" w:rsidR="008A6764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>ALB target group metrics</w:t>
            </w:r>
          </w:p>
        </w:tc>
        <w:tc>
          <w:tcPr>
            <w:tcW w:w="36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D96147" w14:textId="48B2FA8D" w:rsidR="008A6764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>A leading indicator of a ticket-sales traffic spike, often rising before CPU does</w:t>
            </w:r>
            <w:r w:rsidR="00076E9E">
              <w:rPr>
                <w:rFonts w:ascii="Calibri" w:eastAsia="Calibri" w:hAnsi="Calibri" w:cs="Calibri"/>
                <w:sz w:val="18"/>
                <w:szCs w:val="18"/>
              </w:rPr>
              <w:t>,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used as a secondary scaling signal.</w:t>
            </w:r>
          </w:p>
        </w:tc>
      </w:tr>
      <w:tr w:rsidR="008A6764" w14:paraId="09B2F4CC" w14:textId="77777777"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C0D750" w14:textId="77777777" w:rsidR="008A6764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>Instance/service up-down (health check)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10F186" w14:textId="77777777" w:rsidR="008A6764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>Prometheus "up" metric + node_exporter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0E9D3C" w14:textId="5256E558" w:rsidR="008A6764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>Detects an instance or service failure immediately</w:t>
            </w:r>
            <w:r w:rsidR="003C3420">
              <w:rPr>
                <w:rFonts w:ascii="Calibri" w:eastAsia="Calibri" w:hAnsi="Calibri" w:cs="Calibri"/>
                <w:sz w:val="18"/>
                <w:szCs w:val="18"/>
              </w:rPr>
              <w:t>,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feeds the "service failure" alert.</w:t>
            </w:r>
          </w:p>
        </w:tc>
      </w:tr>
      <w:tr w:rsidR="008A6764" w14:paraId="28A19709" w14:textId="77777777">
        <w:tc>
          <w:tcPr>
            <w:tcW w:w="22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65DC19" w14:textId="77777777" w:rsidR="008A6764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>Disk usage</w:t>
            </w:r>
          </w:p>
        </w:tc>
        <w:tc>
          <w:tcPr>
            <w:tcW w:w="26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B98872" w14:textId="77777777" w:rsidR="008A6764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>node_exporter (all instances)</w:t>
            </w:r>
          </w:p>
        </w:tc>
        <w:tc>
          <w:tcPr>
            <w:tcW w:w="36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B43D55" w14:textId="77777777" w:rsidR="008A6764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>A full disk silently breaks MySQL writes and log collection; caught before it becomes an outage.</w:t>
            </w:r>
          </w:p>
        </w:tc>
      </w:tr>
      <w:tr w:rsidR="008A6764" w14:paraId="645C0A8D" w14:textId="77777777"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2BEDBD" w14:textId="77777777" w:rsidR="008A6764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>MySQL connection count / query latency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4C51B6" w14:textId="77777777" w:rsidR="008A6764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>mysqld_exporter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E79C18" w14:textId="77777777" w:rsidR="008A6764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>The database has no auto-scaling, so this is the main early-warning signal for it becoming a bottleneck under peak load.</w:t>
            </w:r>
          </w:p>
        </w:tc>
      </w:tr>
      <w:tr w:rsidR="008A6764" w14:paraId="37742AEC" w14:textId="77777777">
        <w:tc>
          <w:tcPr>
            <w:tcW w:w="22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0DA827" w14:textId="77777777" w:rsidR="008A6764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>Network throughput / connectivity errors</w:t>
            </w:r>
          </w:p>
        </w:tc>
        <w:tc>
          <w:tcPr>
            <w:tcW w:w="26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F8AD58" w14:textId="77777777" w:rsidR="008A6764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>node_exporter</w:t>
            </w:r>
          </w:p>
        </w:tc>
        <w:tc>
          <w:tcPr>
            <w:tcW w:w="36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1EE641" w14:textId="77777777" w:rsidR="008A6764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>Surfaces the "connectivity issues" alert case explicitly called out in the Core Assignment (§3.1).</w:t>
            </w:r>
          </w:p>
        </w:tc>
      </w:tr>
    </w:tbl>
    <w:p w14:paraId="7E9F7B5E" w14:textId="77777777" w:rsidR="008A6764" w:rsidRDefault="00000000">
      <w:pPr>
        <w:pStyle w:val="Heading1"/>
        <w:pBdr>
          <w:bottom w:val="single" w:sz="6" w:space="4" w:color="1F3A52"/>
        </w:pBdr>
        <w:spacing w:before="400" w:after="200"/>
      </w:pPr>
      <w:r>
        <w:rPr>
          <w:b/>
          <w:bCs/>
          <w:color w:val="1F3A52"/>
          <w:sz w:val="30"/>
          <w:szCs w:val="30"/>
        </w:rPr>
        <w:t>4.  Alerting Plan</w:t>
      </w:r>
    </w:p>
    <w:tbl>
      <w:tblPr>
        <w:tblW w:w="8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000"/>
        <w:gridCol w:w="2200"/>
        <w:gridCol w:w="2000"/>
      </w:tblGrid>
      <w:tr w:rsidR="008A6764" w14:paraId="79605C40" w14:textId="77777777">
        <w:tc>
          <w:tcPr>
            <w:tcW w:w="2200" w:type="dxa"/>
            <w:shd w:val="clear" w:color="auto" w:fill="1F3A5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4CCAF8" w14:textId="77777777" w:rsidR="008A6764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Condition</w:t>
            </w:r>
          </w:p>
        </w:tc>
        <w:tc>
          <w:tcPr>
            <w:tcW w:w="2000" w:type="dxa"/>
            <w:shd w:val="clear" w:color="auto" w:fill="1F3A5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1375D1" w14:textId="77777777" w:rsidR="008A6764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Threshold</w:t>
            </w:r>
          </w:p>
        </w:tc>
        <w:tc>
          <w:tcPr>
            <w:tcW w:w="2200" w:type="dxa"/>
            <w:shd w:val="clear" w:color="auto" w:fill="1F3A5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9BB814" w14:textId="77777777" w:rsidR="008A6764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Severity</w:t>
            </w:r>
          </w:p>
        </w:tc>
        <w:tc>
          <w:tcPr>
            <w:tcW w:w="2000" w:type="dxa"/>
            <w:shd w:val="clear" w:color="auto" w:fill="1F3A5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F1B958" w14:textId="77777777" w:rsidR="008A6764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Notified via</w:t>
            </w:r>
          </w:p>
        </w:tc>
      </w:tr>
      <w:tr w:rsidR="008A6764" w14:paraId="5348F170" w14:textId="77777777"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C00A0D" w14:textId="77777777" w:rsidR="008A6764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>High CPU (web tier)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4E3F81" w14:textId="77777777" w:rsidR="008A6764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>&gt; 80% for 5 min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E72D33" w14:textId="77777777" w:rsidR="008A6764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>Warning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BDF411" w14:textId="77777777" w:rsidR="008A6764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>Alertmanager → email/Slack webhook</w:t>
            </w:r>
          </w:p>
        </w:tc>
      </w:tr>
      <w:tr w:rsidR="008A6764" w14:paraId="2B077166" w14:textId="77777777">
        <w:tc>
          <w:tcPr>
            <w:tcW w:w="22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63378C" w14:textId="77777777" w:rsidR="008A6764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>Service down</w:t>
            </w:r>
          </w:p>
        </w:tc>
        <w:tc>
          <w:tcPr>
            <w:tcW w:w="20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56B1E0" w14:textId="77777777" w:rsidR="008A6764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>"up" == 0 for 1 min</w:t>
            </w:r>
          </w:p>
        </w:tc>
        <w:tc>
          <w:tcPr>
            <w:tcW w:w="22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F2CB2C" w14:textId="77777777" w:rsidR="008A6764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>Critical</w:t>
            </w:r>
          </w:p>
        </w:tc>
        <w:tc>
          <w:tcPr>
            <w:tcW w:w="20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6926EF" w14:textId="77777777" w:rsidR="008A6764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>Alertmanager → email/Slack webhook</w:t>
            </w:r>
          </w:p>
        </w:tc>
      </w:tr>
      <w:tr w:rsidR="008A6764" w14:paraId="6EB02876" w14:textId="77777777"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960FF9" w14:textId="77777777" w:rsidR="008A6764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>Disk usage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EFACF5" w14:textId="77777777" w:rsidR="008A6764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>&gt; 85% used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CB0341" w14:textId="77777777" w:rsidR="008A6764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>Warning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489CB2" w14:textId="77777777" w:rsidR="008A6764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>Alertmanager → email/Slack webhook</w:t>
            </w:r>
          </w:p>
        </w:tc>
      </w:tr>
      <w:tr w:rsidR="008A6764" w14:paraId="58FED6DB" w14:textId="77777777">
        <w:tc>
          <w:tcPr>
            <w:tcW w:w="22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0D21DD" w14:textId="77777777" w:rsidR="008A6764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>MySQL connection saturation</w:t>
            </w:r>
          </w:p>
        </w:tc>
        <w:tc>
          <w:tcPr>
            <w:tcW w:w="20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D903CF" w14:textId="77777777" w:rsidR="008A6764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>&gt; 80% of max_connections</w:t>
            </w:r>
          </w:p>
        </w:tc>
        <w:tc>
          <w:tcPr>
            <w:tcW w:w="22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740507" w14:textId="77777777" w:rsidR="008A6764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>Critical</w:t>
            </w:r>
          </w:p>
        </w:tc>
        <w:tc>
          <w:tcPr>
            <w:tcW w:w="20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F19571" w14:textId="77777777" w:rsidR="008A6764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>Alertmanager → email/Slack webhook</w:t>
            </w:r>
          </w:p>
        </w:tc>
      </w:tr>
      <w:tr w:rsidR="008A6764" w14:paraId="7CA54AA9" w14:textId="77777777"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858259" w14:textId="77777777" w:rsidR="008A6764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>NAT/connectivity errors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E674A8" w14:textId="77777777" w:rsidR="008A6764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>error rate spike vs. 1hr baseline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16598C" w14:textId="77777777" w:rsidR="008A6764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>Warning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764E43" w14:textId="77777777" w:rsidR="008A6764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>Alertmanager → email/Slack webhook</w:t>
            </w:r>
          </w:p>
        </w:tc>
      </w:tr>
    </w:tbl>
    <w:p w14:paraId="6C2E2BEE" w14:textId="77777777" w:rsidR="008A6764" w:rsidRDefault="00000000">
      <w:pPr>
        <w:pStyle w:val="Heading1"/>
        <w:pBdr>
          <w:bottom w:val="single" w:sz="6" w:space="4" w:color="1F3A52"/>
        </w:pBdr>
        <w:spacing w:before="400" w:after="200"/>
      </w:pPr>
      <w:r>
        <w:rPr>
          <w:b/>
          <w:bCs/>
          <w:color w:val="1F3A52"/>
          <w:sz w:val="30"/>
          <w:szCs w:val="30"/>
        </w:rPr>
        <w:t>5.  Dashboards</w:t>
      </w:r>
    </w:p>
    <w:p w14:paraId="42583116" w14:textId="77777777" w:rsidR="008A6764" w:rsidRDefault="00000000">
      <w:pPr>
        <w:pStyle w:val="ListParagraph"/>
        <w:numPr>
          <w:ilvl w:val="0"/>
          <w:numId w:val="2"/>
        </w:numPr>
        <w:spacing w:after="80" w:line="264" w:lineRule="auto"/>
      </w:pPr>
      <w:r>
        <w:rPr>
          <w:rFonts w:ascii="Calibri" w:eastAsia="Calibri" w:hAnsi="Calibri" w:cs="Calibri"/>
          <w:sz w:val="21"/>
          <w:szCs w:val="21"/>
        </w:rPr>
        <w:t>Fleet Overview — CPU, memory, disk, and network across all Web and Data instances, one row per instance.</w:t>
      </w:r>
    </w:p>
    <w:p w14:paraId="4C5FFAEC" w14:textId="77777777" w:rsidR="008A6764" w:rsidRDefault="00000000">
      <w:pPr>
        <w:pStyle w:val="ListParagraph"/>
        <w:numPr>
          <w:ilvl w:val="0"/>
          <w:numId w:val="2"/>
        </w:numPr>
        <w:spacing w:after="80" w:line="264" w:lineRule="auto"/>
      </w:pPr>
      <w:r>
        <w:rPr>
          <w:rFonts w:ascii="Calibri" w:eastAsia="Calibri" w:hAnsi="Calibri" w:cs="Calibri"/>
          <w:sz w:val="21"/>
          <w:szCs w:val="21"/>
        </w:rPr>
        <w:t>Web Tier &amp; Scaling — request rate, ALB latency/5xx rate, and current ASG instance count side by side, so a scaling event and its trigger are visible on one screen.</w:t>
      </w:r>
    </w:p>
    <w:p w14:paraId="192A1916" w14:textId="35282EF3" w:rsidR="008A6764" w:rsidRDefault="00000000">
      <w:pPr>
        <w:pStyle w:val="ListParagraph"/>
        <w:numPr>
          <w:ilvl w:val="0"/>
          <w:numId w:val="2"/>
        </w:numPr>
        <w:spacing w:after="80" w:line="264" w:lineRule="auto"/>
      </w:pPr>
      <w:r>
        <w:rPr>
          <w:rFonts w:ascii="Calibri" w:eastAsia="Calibri" w:hAnsi="Calibri" w:cs="Calibri"/>
          <w:sz w:val="21"/>
          <w:szCs w:val="21"/>
        </w:rPr>
        <w:t xml:space="preserve">Database — MySQL connection count, query latency, and disk usage on the </w:t>
      </w:r>
      <w:r w:rsidR="00A23CB7">
        <w:rPr>
          <w:rFonts w:ascii="Calibri" w:eastAsia="Calibri" w:hAnsi="Calibri" w:cs="Calibri"/>
          <w:sz w:val="21"/>
          <w:szCs w:val="21"/>
        </w:rPr>
        <w:t>Internal</w:t>
      </w:r>
      <w:r>
        <w:rPr>
          <w:rFonts w:ascii="Calibri" w:eastAsia="Calibri" w:hAnsi="Calibri" w:cs="Calibri"/>
          <w:sz w:val="21"/>
          <w:szCs w:val="21"/>
        </w:rPr>
        <w:t xml:space="preserve"> VPC</w:t>
      </w:r>
      <w:r w:rsidR="00A23CB7">
        <w:rPr>
          <w:rFonts w:ascii="Calibri" w:eastAsia="Calibri" w:hAnsi="Calibri" w:cs="Calibri"/>
          <w:sz w:val="21"/>
          <w:szCs w:val="21"/>
        </w:rPr>
        <w:t xml:space="preserve"> data subnet</w:t>
      </w:r>
      <w:r>
        <w:rPr>
          <w:rFonts w:ascii="Calibri" w:eastAsia="Calibri" w:hAnsi="Calibri" w:cs="Calibri"/>
          <w:sz w:val="21"/>
          <w:szCs w:val="21"/>
        </w:rPr>
        <w:t xml:space="preserve"> </w:t>
      </w:r>
      <w:r w:rsidR="000E43C6">
        <w:rPr>
          <w:rFonts w:ascii="Calibri" w:eastAsia="Calibri" w:hAnsi="Calibri" w:cs="Calibri"/>
          <w:sz w:val="21"/>
          <w:szCs w:val="21"/>
        </w:rPr>
        <w:t xml:space="preserve">in </w:t>
      </w:r>
      <w:r>
        <w:rPr>
          <w:rFonts w:ascii="Calibri" w:eastAsia="Calibri" w:hAnsi="Calibri" w:cs="Calibri"/>
          <w:sz w:val="21"/>
          <w:szCs w:val="21"/>
        </w:rPr>
        <w:t>instance.</w:t>
      </w:r>
    </w:p>
    <w:p w14:paraId="7F11234D" w14:textId="77777777" w:rsidR="008A6764" w:rsidRDefault="00000000">
      <w:pPr>
        <w:pStyle w:val="ListParagraph"/>
        <w:numPr>
          <w:ilvl w:val="0"/>
          <w:numId w:val="2"/>
        </w:numPr>
        <w:spacing w:after="80" w:line="264" w:lineRule="auto"/>
      </w:pPr>
      <w:r>
        <w:rPr>
          <w:rFonts w:ascii="Calibri" w:eastAsia="Calibri" w:hAnsi="Calibri" w:cs="Calibri"/>
          <w:sz w:val="21"/>
          <w:szCs w:val="21"/>
        </w:rPr>
        <w:t>CI/CD &amp; Management — self-hosted runner job status and Management VPC host health.</w:t>
      </w:r>
    </w:p>
    <w:p w14:paraId="4F8437A9" w14:textId="77777777" w:rsidR="008A6764" w:rsidRDefault="00000000">
      <w:pPr>
        <w:pStyle w:val="Heading1"/>
        <w:pBdr>
          <w:bottom w:val="single" w:sz="6" w:space="4" w:color="1F3A52"/>
        </w:pBdr>
        <w:spacing w:before="400" w:after="200"/>
      </w:pPr>
      <w:r>
        <w:rPr>
          <w:b/>
          <w:bCs/>
          <w:color w:val="1F3A52"/>
          <w:sz w:val="30"/>
          <w:szCs w:val="30"/>
        </w:rPr>
        <w:t>6.  Extensibility (Flavor A tie-in)</w:t>
      </w:r>
    </w:p>
    <w:p w14:paraId="1E581D72" w14:textId="4C4184B3" w:rsidR="008A6764" w:rsidRDefault="00000000">
      <w:pPr>
        <w:spacing w:after="160" w:line="276" w:lineRule="auto"/>
      </w:pPr>
      <w:r>
        <w:rPr>
          <w:rFonts w:ascii="Calibri" w:eastAsia="Calibri" w:hAnsi="Calibri" w:cs="Calibri"/>
          <w:sz w:val="21"/>
          <w:szCs w:val="21"/>
        </w:rPr>
        <w:t>Adding a newly deployed component to monitoring is a two-step, no-restructuring process: (1) install the matching exporter on the new component (node_exporter for a generic host, or a purpose-built exporter, e.g. mysqld_exporter, blackbox_exporter), and (2) add its scrape target to the Prometheus configuration. No changes to Grafana, Alertmanager, or the existing dashboards are required for the new target to start appearing</w:t>
      </w:r>
      <w:r w:rsidR="00BE06BF">
        <w:rPr>
          <w:rFonts w:ascii="Calibri" w:eastAsia="Calibri" w:hAnsi="Calibri" w:cs="Calibri"/>
          <w:sz w:val="21"/>
          <w:szCs w:val="21"/>
        </w:rPr>
        <w:t>,</w:t>
      </w:r>
      <w:r>
        <w:rPr>
          <w:rFonts w:ascii="Calibri" w:eastAsia="Calibri" w:hAnsi="Calibri" w:cs="Calibri"/>
          <w:sz w:val="21"/>
          <w:szCs w:val="21"/>
        </w:rPr>
        <w:t xml:space="preserve"> this directly satisfies the Flavor A assignment that newly added components be "monitored directly and adequately."</w:t>
      </w:r>
    </w:p>
    <w:sectPr w:rsidR="008A6764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FE954C" w14:textId="77777777" w:rsidR="00147F80" w:rsidRDefault="00147F80">
      <w:r>
        <w:separator/>
      </w:r>
    </w:p>
  </w:endnote>
  <w:endnote w:type="continuationSeparator" w:id="0">
    <w:p w14:paraId="0C23875E" w14:textId="77777777" w:rsidR="00147F80" w:rsidRDefault="00147F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D1A578" w14:textId="6D22F0F2" w:rsidR="008A6764" w:rsidRDefault="008A6764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8184C8" w14:textId="77777777" w:rsidR="00147F80" w:rsidRDefault="00147F80">
      <w:r>
        <w:separator/>
      </w:r>
    </w:p>
  </w:footnote>
  <w:footnote w:type="continuationSeparator" w:id="0">
    <w:p w14:paraId="38FD1882" w14:textId="77777777" w:rsidR="00147F80" w:rsidRDefault="00147F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20F18C" w14:textId="129547E1" w:rsidR="008A6764" w:rsidRPr="001E6C2B" w:rsidRDefault="008A6764" w:rsidP="001E6C2B">
    <w:pPr>
      <w:jc w:val="center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CA3D10"/>
    <w:multiLevelType w:val="hybridMultilevel"/>
    <w:tmpl w:val="E9560EB4"/>
    <w:lvl w:ilvl="0" w:tplc="6FB261F2">
      <w:start w:val="1"/>
      <w:numFmt w:val="bullet"/>
      <w:lvlText w:val="●"/>
      <w:lvlJc w:val="left"/>
      <w:pPr>
        <w:ind w:left="720" w:hanging="360"/>
      </w:pPr>
    </w:lvl>
    <w:lvl w:ilvl="1" w:tplc="F3CA2B5E">
      <w:start w:val="1"/>
      <w:numFmt w:val="bullet"/>
      <w:lvlText w:val="○"/>
      <w:lvlJc w:val="left"/>
      <w:pPr>
        <w:ind w:left="1440" w:hanging="360"/>
      </w:pPr>
    </w:lvl>
    <w:lvl w:ilvl="2" w:tplc="10864D94">
      <w:start w:val="1"/>
      <w:numFmt w:val="bullet"/>
      <w:lvlText w:val="■"/>
      <w:lvlJc w:val="left"/>
      <w:pPr>
        <w:ind w:left="2160" w:hanging="360"/>
      </w:pPr>
    </w:lvl>
    <w:lvl w:ilvl="3" w:tplc="BC7C708A">
      <w:start w:val="1"/>
      <w:numFmt w:val="bullet"/>
      <w:lvlText w:val="●"/>
      <w:lvlJc w:val="left"/>
      <w:pPr>
        <w:ind w:left="2880" w:hanging="360"/>
      </w:pPr>
    </w:lvl>
    <w:lvl w:ilvl="4" w:tplc="FF44690E">
      <w:start w:val="1"/>
      <w:numFmt w:val="bullet"/>
      <w:lvlText w:val="○"/>
      <w:lvlJc w:val="left"/>
      <w:pPr>
        <w:ind w:left="3600" w:hanging="360"/>
      </w:pPr>
    </w:lvl>
    <w:lvl w:ilvl="5" w:tplc="DA8A910E">
      <w:start w:val="1"/>
      <w:numFmt w:val="bullet"/>
      <w:lvlText w:val="■"/>
      <w:lvlJc w:val="left"/>
      <w:pPr>
        <w:ind w:left="4320" w:hanging="360"/>
      </w:pPr>
    </w:lvl>
    <w:lvl w:ilvl="6" w:tplc="4F722458">
      <w:start w:val="1"/>
      <w:numFmt w:val="bullet"/>
      <w:lvlText w:val="●"/>
      <w:lvlJc w:val="left"/>
      <w:pPr>
        <w:ind w:left="5040" w:hanging="360"/>
      </w:pPr>
    </w:lvl>
    <w:lvl w:ilvl="7" w:tplc="B9B873D4">
      <w:start w:val="1"/>
      <w:numFmt w:val="bullet"/>
      <w:lvlText w:val="●"/>
      <w:lvlJc w:val="left"/>
      <w:pPr>
        <w:ind w:left="5760" w:hanging="360"/>
      </w:pPr>
    </w:lvl>
    <w:lvl w:ilvl="8" w:tplc="10EA4AA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E801D0A"/>
    <w:multiLevelType w:val="hybridMultilevel"/>
    <w:tmpl w:val="76C84C7C"/>
    <w:lvl w:ilvl="0" w:tplc="C62CF806">
      <w:start w:val="1"/>
      <w:numFmt w:val="bullet"/>
      <w:lvlText w:val="•"/>
      <w:lvlJc w:val="left"/>
      <w:pPr>
        <w:ind w:left="360" w:hanging="260"/>
      </w:pPr>
    </w:lvl>
    <w:lvl w:ilvl="1" w:tplc="C2D886FE">
      <w:start w:val="1"/>
      <w:numFmt w:val="bullet"/>
      <w:lvlText w:val="–"/>
      <w:lvlJc w:val="left"/>
      <w:pPr>
        <w:ind w:left="720" w:hanging="260"/>
      </w:pPr>
    </w:lvl>
    <w:lvl w:ilvl="2" w:tplc="1FDEEF0C">
      <w:numFmt w:val="decimal"/>
      <w:lvlText w:val=""/>
      <w:lvlJc w:val="left"/>
    </w:lvl>
    <w:lvl w:ilvl="3" w:tplc="232A8B8C">
      <w:numFmt w:val="decimal"/>
      <w:lvlText w:val=""/>
      <w:lvlJc w:val="left"/>
    </w:lvl>
    <w:lvl w:ilvl="4" w:tplc="F2789F88">
      <w:numFmt w:val="decimal"/>
      <w:lvlText w:val=""/>
      <w:lvlJc w:val="left"/>
    </w:lvl>
    <w:lvl w:ilvl="5" w:tplc="9D8EBB26">
      <w:numFmt w:val="decimal"/>
      <w:lvlText w:val=""/>
      <w:lvlJc w:val="left"/>
    </w:lvl>
    <w:lvl w:ilvl="6" w:tplc="3244AD80">
      <w:numFmt w:val="decimal"/>
      <w:lvlText w:val=""/>
      <w:lvlJc w:val="left"/>
    </w:lvl>
    <w:lvl w:ilvl="7" w:tplc="97FAB7CA">
      <w:numFmt w:val="decimal"/>
      <w:lvlText w:val=""/>
      <w:lvlJc w:val="left"/>
    </w:lvl>
    <w:lvl w:ilvl="8" w:tplc="41109020">
      <w:numFmt w:val="decimal"/>
      <w:lvlText w:val=""/>
      <w:lvlJc w:val="left"/>
    </w:lvl>
  </w:abstractNum>
  <w:num w:numId="1" w16cid:durableId="1879735936">
    <w:abstractNumId w:val="0"/>
    <w:lvlOverride w:ilvl="0">
      <w:startOverride w:val="1"/>
    </w:lvlOverride>
  </w:num>
  <w:num w:numId="2" w16cid:durableId="155989535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6764"/>
    <w:rsid w:val="000132C7"/>
    <w:rsid w:val="00076E9E"/>
    <w:rsid w:val="00081981"/>
    <w:rsid w:val="000D55AD"/>
    <w:rsid w:val="000E43C6"/>
    <w:rsid w:val="00147F80"/>
    <w:rsid w:val="001E6C2B"/>
    <w:rsid w:val="003C3420"/>
    <w:rsid w:val="00434E87"/>
    <w:rsid w:val="00587278"/>
    <w:rsid w:val="005F74CC"/>
    <w:rsid w:val="006A5B3A"/>
    <w:rsid w:val="00752588"/>
    <w:rsid w:val="00787D34"/>
    <w:rsid w:val="008526B2"/>
    <w:rsid w:val="008A6764"/>
    <w:rsid w:val="00913E33"/>
    <w:rsid w:val="00957021"/>
    <w:rsid w:val="009A630C"/>
    <w:rsid w:val="009E4FF1"/>
    <w:rsid w:val="00A05531"/>
    <w:rsid w:val="00A23CB7"/>
    <w:rsid w:val="00AA5E21"/>
    <w:rsid w:val="00B27B83"/>
    <w:rsid w:val="00B8639C"/>
    <w:rsid w:val="00BE06BF"/>
    <w:rsid w:val="00BF2101"/>
    <w:rsid w:val="00CB4B15"/>
    <w:rsid w:val="00DA7EEE"/>
    <w:rsid w:val="00FA3A36"/>
    <w:rsid w:val="00FD2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73F7348"/>
  <w15:docId w15:val="{E06452E2-7145-4D81-B647-6831B67DCE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L" w:eastAsia="en-N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1E6C2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E6C2B"/>
  </w:style>
  <w:style w:type="paragraph" w:styleId="Footer">
    <w:name w:val="footer"/>
    <w:basedOn w:val="Normal"/>
    <w:link w:val="FooterChar"/>
    <w:uiPriority w:val="99"/>
    <w:unhideWhenUsed/>
    <w:rsid w:val="001E6C2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E6C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748</Words>
  <Characters>4269</Characters>
  <Application>Microsoft Office Word</Application>
  <DocSecurity>0</DocSecurity>
  <Lines>35</Lines>
  <Paragraphs>10</Paragraphs>
  <ScaleCrop>false</ScaleCrop>
  <Company/>
  <LinksUpToDate>false</LinksUpToDate>
  <CharactersWithSpaces>5007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Popov,Spartak S.D.</cp:lastModifiedBy>
  <cp:revision>28</cp:revision>
  <dcterms:created xsi:type="dcterms:W3CDTF">2026-09-13T13:00:00Z</dcterms:created>
  <dcterms:modified xsi:type="dcterms:W3CDTF">2026-09-21T20:20:00Z</dcterms:modified>
</cp:coreProperties>
</file>