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77B32D" w14:textId="77777777" w:rsidR="00BD434A" w:rsidRDefault="00000000">
      <w:pPr>
        <w:spacing w:before="1600"/>
        <w:jc w:val="center"/>
      </w:pPr>
      <w:r>
        <w:rPr>
          <w:rFonts w:ascii="Calibri" w:eastAsia="Calibri" w:hAnsi="Calibri" w:cs="Calibri"/>
          <w:b/>
          <w:bCs/>
          <w:color w:val="2F6F95"/>
          <w:sz w:val="24"/>
          <w:szCs w:val="24"/>
        </w:rPr>
        <w:t>INNOVATECH SOLUTIONS</w:t>
      </w:r>
    </w:p>
    <w:p w14:paraId="5D21C76C" w14:textId="1BF07FD3" w:rsidR="00BD434A" w:rsidRDefault="00000000">
      <w:pPr>
        <w:spacing w:before="200" w:after="100"/>
        <w:jc w:val="center"/>
      </w:pPr>
      <w:r>
        <w:rPr>
          <w:rFonts w:ascii="Calibri" w:eastAsia="Calibri" w:hAnsi="Calibri" w:cs="Calibri"/>
          <w:b/>
          <w:bCs/>
          <w:color w:val="1F3A52"/>
          <w:sz w:val="52"/>
          <w:szCs w:val="52"/>
        </w:rPr>
        <w:t>Phase 1</w:t>
      </w:r>
      <w:r w:rsidR="00E618B7">
        <w:rPr>
          <w:rFonts w:ascii="Calibri" w:eastAsia="Calibri" w:hAnsi="Calibri" w:cs="Calibri"/>
          <w:b/>
          <w:bCs/>
          <w:color w:val="1F3A52"/>
          <w:sz w:val="52"/>
          <w:szCs w:val="52"/>
        </w:rPr>
        <w:t xml:space="preserve">: </w:t>
      </w:r>
      <w:r>
        <w:rPr>
          <w:rFonts w:ascii="Calibri" w:eastAsia="Calibri" w:hAnsi="Calibri" w:cs="Calibri"/>
          <w:b/>
          <w:bCs/>
          <w:color w:val="1F3A52"/>
          <w:sz w:val="52"/>
          <w:szCs w:val="52"/>
        </w:rPr>
        <w:t>Design Document</w:t>
      </w:r>
    </w:p>
    <w:p w14:paraId="73EC60A9" w14:textId="77777777" w:rsidR="00BD434A" w:rsidRDefault="00000000">
      <w:pPr>
        <w:spacing w:after="600"/>
        <w:jc w:val="center"/>
      </w:pPr>
      <w:r>
        <w:rPr>
          <w:rFonts w:ascii="Calibri" w:eastAsia="Calibri" w:hAnsi="Calibri" w:cs="Calibri"/>
          <w:i/>
          <w:iCs/>
          <w:color w:val="5B6470"/>
          <w:sz w:val="26"/>
          <w:szCs w:val="26"/>
        </w:rPr>
        <w:t>Resilient, Observable, Cost-Efficient Web &amp; Data Infrastructure on AWS</w:t>
      </w:r>
    </w:p>
    <w:p w14:paraId="4E4518D9" w14:textId="18FFF91B" w:rsidR="00BD434A" w:rsidRDefault="00000000">
      <w:pPr>
        <w:spacing w:after="60"/>
        <w:jc w:val="center"/>
      </w:pPr>
      <w:r>
        <w:rPr>
          <w:rFonts w:ascii="Calibri" w:eastAsia="Calibri" w:hAnsi="Calibri" w:cs="Calibri"/>
        </w:rPr>
        <w:t xml:space="preserve">Case Study 1 · Track: </w:t>
      </w:r>
      <w:proofErr w:type="spellStart"/>
      <w:r>
        <w:rPr>
          <w:rFonts w:ascii="Calibri" w:eastAsia="Calibri" w:hAnsi="Calibri" w:cs="Calibri"/>
        </w:rPr>
        <w:t>Flavor</w:t>
      </w:r>
      <w:proofErr w:type="spellEnd"/>
      <w:r>
        <w:rPr>
          <w:rFonts w:ascii="Calibri" w:eastAsia="Calibri" w:hAnsi="Calibri" w:cs="Calibri"/>
        </w:rPr>
        <w:t xml:space="preserve"> A</w:t>
      </w:r>
      <w:r w:rsidR="00F7521A">
        <w:rPr>
          <w:rFonts w:ascii="Calibri" w:eastAsia="Calibri" w:hAnsi="Calibri" w:cs="Calibri"/>
        </w:rPr>
        <w:t xml:space="preserve"> -</w:t>
      </w:r>
      <w:r>
        <w:rPr>
          <w:rFonts w:ascii="Calibri" w:eastAsia="Calibri" w:hAnsi="Calibri" w:cs="Calibri"/>
        </w:rPr>
        <w:t xml:space="preserve"> Tech Driven (Advanced Network &amp; Infrastructure)</w:t>
      </w:r>
    </w:p>
    <w:p w14:paraId="4BD71493" w14:textId="50EED3D4" w:rsidR="00BD434A" w:rsidRDefault="00000000">
      <w:pPr>
        <w:spacing w:after="60"/>
        <w:jc w:val="center"/>
      </w:pPr>
      <w:r>
        <w:rPr>
          <w:rFonts w:ascii="Calibri" w:eastAsia="Calibri" w:hAnsi="Calibri" w:cs="Calibri"/>
          <w:color w:val="5B6470"/>
        </w:rPr>
        <w:t xml:space="preserve">Stretch track: </w:t>
      </w:r>
      <w:proofErr w:type="spellStart"/>
      <w:r>
        <w:rPr>
          <w:rFonts w:ascii="Calibri" w:eastAsia="Calibri" w:hAnsi="Calibri" w:cs="Calibri"/>
          <w:color w:val="5B6470"/>
        </w:rPr>
        <w:t>Flavor</w:t>
      </w:r>
      <w:proofErr w:type="spellEnd"/>
      <w:r>
        <w:rPr>
          <w:rFonts w:ascii="Calibri" w:eastAsia="Calibri" w:hAnsi="Calibri" w:cs="Calibri"/>
          <w:color w:val="5B6470"/>
        </w:rPr>
        <w:t xml:space="preserve"> B </w:t>
      </w:r>
      <w:r w:rsidR="00F7521A">
        <w:rPr>
          <w:rFonts w:ascii="Calibri" w:eastAsia="Calibri" w:hAnsi="Calibri" w:cs="Calibri"/>
          <w:color w:val="5B6470"/>
        </w:rPr>
        <w:t>-</w:t>
      </w:r>
      <w:r>
        <w:rPr>
          <w:rFonts w:ascii="Calibri" w:eastAsia="Calibri" w:hAnsi="Calibri" w:cs="Calibri"/>
          <w:color w:val="5B6470"/>
        </w:rPr>
        <w:t xml:space="preserve"> Developer Driven (DevOps &amp; Automation)</w:t>
      </w:r>
    </w:p>
    <w:p w14:paraId="6412C0FB" w14:textId="77777777" w:rsidR="00BD434A" w:rsidRDefault="00000000">
      <w:r>
        <w:br w:type="page"/>
      </w:r>
    </w:p>
    <w:p w14:paraId="3E824748" w14:textId="77777777" w:rsidR="00BD434A" w:rsidRDefault="00000000">
      <w:pPr>
        <w:pStyle w:val="Heading1"/>
        <w:pBdr>
          <w:bottom w:val="single" w:sz="6" w:space="4" w:color="1F3A52"/>
        </w:pBdr>
        <w:spacing w:before="400" w:after="200"/>
      </w:pPr>
      <w:r>
        <w:rPr>
          <w:b/>
          <w:bCs/>
          <w:color w:val="1F3A52"/>
          <w:sz w:val="30"/>
          <w:szCs w:val="30"/>
        </w:rPr>
        <w:lastRenderedPageBreak/>
        <w:t>1.  Introduction</w:t>
      </w:r>
    </w:p>
    <w:p w14:paraId="26F576CA" w14:textId="7E39B8BE" w:rsidR="00BD434A" w:rsidRDefault="00000000">
      <w:pPr>
        <w:spacing w:after="160" w:line="276" w:lineRule="auto"/>
      </w:pPr>
      <w:proofErr w:type="spellStart"/>
      <w:r>
        <w:rPr>
          <w:rFonts w:ascii="Calibri" w:eastAsia="Calibri" w:hAnsi="Calibri" w:cs="Calibri"/>
          <w:sz w:val="21"/>
          <w:szCs w:val="21"/>
        </w:rPr>
        <w:t>Innovatech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Solutions has outgrown manual infrastructure management. This document records the Phase 1 architecture and technology decisions for a new environment that is </w:t>
      </w:r>
      <w:r>
        <w:rPr>
          <w:rFonts w:ascii="Calibri" w:eastAsia="Calibri" w:hAnsi="Calibri" w:cs="Calibri"/>
          <w:b/>
          <w:bCs/>
          <w:sz w:val="21"/>
          <w:szCs w:val="21"/>
        </w:rPr>
        <w:t>resilient</w:t>
      </w:r>
      <w:r>
        <w:rPr>
          <w:rFonts w:ascii="Calibri" w:eastAsia="Calibri" w:hAnsi="Calibri" w:cs="Calibri"/>
          <w:sz w:val="21"/>
          <w:szCs w:val="21"/>
        </w:rPr>
        <w:t xml:space="preserve"> (self-healing, fault-tolerant), </w:t>
      </w:r>
      <w:r>
        <w:rPr>
          <w:rFonts w:ascii="Calibri" w:eastAsia="Calibri" w:hAnsi="Calibri" w:cs="Calibri"/>
          <w:b/>
          <w:bCs/>
          <w:sz w:val="21"/>
          <w:szCs w:val="21"/>
        </w:rPr>
        <w:t>agile</w:t>
      </w:r>
      <w:r>
        <w:rPr>
          <w:rFonts w:ascii="Calibri" w:eastAsia="Calibri" w:hAnsi="Calibri" w:cs="Calibri"/>
          <w:sz w:val="21"/>
          <w:szCs w:val="21"/>
        </w:rPr>
        <w:t xml:space="preserve"> (adaptable to future needs), </w:t>
      </w:r>
      <w:r>
        <w:rPr>
          <w:rFonts w:ascii="Calibri" w:eastAsia="Calibri" w:hAnsi="Calibri" w:cs="Calibri"/>
          <w:b/>
          <w:bCs/>
          <w:sz w:val="21"/>
          <w:szCs w:val="21"/>
        </w:rPr>
        <w:t>observable</w:t>
      </w:r>
      <w:r>
        <w:rPr>
          <w:rFonts w:ascii="Calibri" w:eastAsia="Calibri" w:hAnsi="Calibri" w:cs="Calibri"/>
          <w:sz w:val="21"/>
          <w:szCs w:val="21"/>
        </w:rPr>
        <w:t xml:space="preserve"> (comprehensively monitored), and </w:t>
      </w:r>
      <w:r>
        <w:rPr>
          <w:rFonts w:ascii="Calibri" w:eastAsia="Calibri" w:hAnsi="Calibri" w:cs="Calibri"/>
          <w:b/>
          <w:bCs/>
          <w:sz w:val="21"/>
          <w:szCs w:val="21"/>
        </w:rPr>
        <w:t>cost-efficient</w:t>
      </w:r>
      <w:r>
        <w:rPr>
          <w:rFonts w:ascii="Calibri" w:eastAsia="Calibri" w:hAnsi="Calibri" w:cs="Calibri"/>
          <w:sz w:val="21"/>
          <w:szCs w:val="21"/>
        </w:rPr>
        <w:t xml:space="preserve"> (optimized for peak usage while minimizing off-peak spend)</w:t>
      </w:r>
      <w:r w:rsidR="002A622B">
        <w:rPr>
          <w:rFonts w:ascii="Calibri" w:eastAsia="Calibri" w:hAnsi="Calibri" w:cs="Calibri"/>
          <w:sz w:val="21"/>
          <w:szCs w:val="21"/>
        </w:rPr>
        <w:t>,</w:t>
      </w:r>
      <w:r>
        <w:rPr>
          <w:rFonts w:ascii="Calibri" w:eastAsia="Calibri" w:hAnsi="Calibri" w:cs="Calibri"/>
          <w:sz w:val="21"/>
          <w:szCs w:val="21"/>
        </w:rPr>
        <w:t xml:space="preserve"> built to handle a ticket-sales-style traffic pattern.</w:t>
      </w:r>
    </w:p>
    <w:p w14:paraId="31DAF0DC" w14:textId="77777777" w:rsidR="00BD434A" w:rsidRDefault="00000000">
      <w:pPr>
        <w:spacing w:after="160" w:line="276" w:lineRule="auto"/>
      </w:pPr>
      <w:r>
        <w:rPr>
          <w:rFonts w:ascii="Calibri" w:eastAsia="Calibri" w:hAnsi="Calibri" w:cs="Calibri"/>
          <w:sz w:val="21"/>
          <w:szCs w:val="21"/>
        </w:rPr>
        <w:t xml:space="preserve">The environment is provisioned with Infrastructure as Code from the outset. All decisions below map directly to the non-functional requirements </w:t>
      </w:r>
      <w:r>
        <w:rPr>
          <w:rFonts w:ascii="Consolas" w:eastAsia="Consolas" w:hAnsi="Consolas" w:cs="Consolas"/>
          <w:sz w:val="19"/>
          <w:szCs w:val="19"/>
        </w:rPr>
        <w:t>REQ-NCA-P1-01</w:t>
      </w:r>
      <w:r>
        <w:rPr>
          <w:rFonts w:ascii="Calibri" w:eastAsia="Calibri" w:hAnsi="Calibri" w:cs="Calibri"/>
          <w:sz w:val="21"/>
          <w:szCs w:val="21"/>
        </w:rPr>
        <w:t xml:space="preserve"> through </w:t>
      </w:r>
      <w:r>
        <w:rPr>
          <w:rFonts w:ascii="Consolas" w:eastAsia="Consolas" w:hAnsi="Consolas" w:cs="Consolas"/>
          <w:sz w:val="19"/>
          <w:szCs w:val="19"/>
        </w:rPr>
        <w:t>REQ-NCA-P1-08</w:t>
      </w:r>
      <w:r>
        <w:rPr>
          <w:rFonts w:ascii="Calibri" w:eastAsia="Calibri" w:hAnsi="Calibri" w:cs="Calibri"/>
          <w:sz w:val="21"/>
          <w:szCs w:val="21"/>
        </w:rPr>
        <w:t>.</w:t>
      </w:r>
    </w:p>
    <w:p w14:paraId="3756FAB8" w14:textId="77777777" w:rsidR="00BD434A" w:rsidRDefault="00000000">
      <w:pPr>
        <w:pStyle w:val="Heading1"/>
        <w:pBdr>
          <w:bottom w:val="single" w:sz="6" w:space="4" w:color="1F3A52"/>
        </w:pBdr>
        <w:spacing w:before="400" w:after="200"/>
      </w:pPr>
      <w:r>
        <w:rPr>
          <w:b/>
          <w:bCs/>
          <w:color w:val="1F3A52"/>
          <w:sz w:val="30"/>
          <w:szCs w:val="30"/>
        </w:rPr>
        <w:t>2.  Requirements Traceability</w:t>
      </w:r>
    </w:p>
    <w:p w14:paraId="1EDD33AC" w14:textId="77777777" w:rsidR="00BD434A" w:rsidRDefault="00000000">
      <w:pPr>
        <w:spacing w:after="160" w:line="276" w:lineRule="auto"/>
      </w:pPr>
      <w:r>
        <w:rPr>
          <w:rFonts w:ascii="Calibri" w:eastAsia="Calibri" w:hAnsi="Calibri" w:cs="Calibri"/>
          <w:sz w:val="21"/>
          <w:szCs w:val="21"/>
        </w:rPr>
        <w:t>Each non-functional requirement is satisfied by a specific design decision, detailed in the sections that follow.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3600"/>
        <w:gridCol w:w="4160"/>
      </w:tblGrid>
      <w:tr w:rsidR="00BD434A" w14:paraId="1E313954" w14:textId="77777777">
        <w:tc>
          <w:tcPr>
            <w:tcW w:w="1600" w:type="dxa"/>
            <w:shd w:val="clear" w:color="auto" w:fill="1F3A5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140442" w14:textId="77777777" w:rsidR="00BD434A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Requirement</w:t>
            </w:r>
          </w:p>
        </w:tc>
        <w:tc>
          <w:tcPr>
            <w:tcW w:w="3600" w:type="dxa"/>
            <w:shd w:val="clear" w:color="auto" w:fill="1F3A5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F42959" w14:textId="77777777" w:rsidR="00BD434A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Design Response</w:t>
            </w:r>
          </w:p>
        </w:tc>
        <w:tc>
          <w:tcPr>
            <w:tcW w:w="4160" w:type="dxa"/>
            <w:shd w:val="clear" w:color="auto" w:fill="1F3A5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E31F36" w14:textId="77777777" w:rsidR="00BD434A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Covered in</w:t>
            </w:r>
          </w:p>
        </w:tc>
      </w:tr>
      <w:tr w:rsidR="00BD434A" w14:paraId="0291E435" w14:textId="77777777"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7115C5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REQ-NCA-P1-01 Network Segmentation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5D00A1" w14:textId="77CCC7E4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 xml:space="preserve">AWS hub-and-spoke via Transit Gateway; </w:t>
            </w:r>
            <w:r w:rsidR="00224D69">
              <w:rPr>
                <w:rFonts w:ascii="Calibri" w:eastAsia="Calibri" w:hAnsi="Calibri" w:cs="Calibri"/>
                <w:sz w:val="19"/>
                <w:szCs w:val="19"/>
              </w:rPr>
              <w:t>two</w:t>
            </w:r>
            <w:r>
              <w:rPr>
                <w:rFonts w:ascii="Calibri" w:eastAsia="Calibri" w:hAnsi="Calibri" w:cs="Calibri"/>
                <w:sz w:val="19"/>
                <w:szCs w:val="19"/>
              </w:rPr>
              <w:t xml:space="preserve"> isolated spoke 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VPCs</w:t>
            </w:r>
            <w:proofErr w:type="spellEnd"/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EE0710" w14:textId="646E7176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3.1</w:t>
            </w:r>
          </w:p>
        </w:tc>
      </w:tr>
      <w:tr w:rsidR="00BD434A" w14:paraId="09F54B2A" w14:textId="77777777">
        <w:tc>
          <w:tcPr>
            <w:tcW w:w="16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EC6E3E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REQ-NCA-P1-02 Secure Resource Access</w:t>
            </w:r>
          </w:p>
        </w:tc>
        <w:tc>
          <w:tcPr>
            <w:tcW w:w="36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4E01B6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DB has no public IP or internet route; SSM Session Manager for admin access</w:t>
            </w:r>
          </w:p>
        </w:tc>
        <w:tc>
          <w:tcPr>
            <w:tcW w:w="416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A49503" w14:textId="176F31B0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3.1, 3.2</w:t>
            </w:r>
          </w:p>
        </w:tc>
      </w:tr>
      <w:tr w:rsidR="00BD434A" w14:paraId="022774CB" w14:textId="77777777"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515124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REQ-NCA-P1-03 Webservice Deployment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A2A57A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EC2 provisioned via Terraform, configured via Ansible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B2F32B" w14:textId="335352BE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3.2, 4</w:t>
            </w:r>
          </w:p>
        </w:tc>
      </w:tr>
      <w:tr w:rsidR="00BD434A" w14:paraId="2AF5AD36" w14:textId="77777777">
        <w:tc>
          <w:tcPr>
            <w:tcW w:w="16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B83DC1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REQ-NCA-P1-04 Scalability</w:t>
            </w:r>
          </w:p>
        </w:tc>
        <w:tc>
          <w:tcPr>
            <w:tcW w:w="36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25DCD3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Auto Scaling Group behind an ALB, scaling on CloudWatch metrics</w:t>
            </w:r>
          </w:p>
        </w:tc>
        <w:tc>
          <w:tcPr>
            <w:tcW w:w="416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954E9C" w14:textId="1FD1E1C4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3.2</w:t>
            </w:r>
          </w:p>
        </w:tc>
      </w:tr>
      <w:tr w:rsidR="00BD434A" w14:paraId="0B0ED562" w14:textId="77777777"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02B1E2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REQ-NCA-P1-05 Observability Architecture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6EE698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 xml:space="preserve">Prometheus + Grafana + 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Alertmanager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, self-hosted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91379A" w14:textId="51CED1DA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3.3</w:t>
            </w:r>
          </w:p>
        </w:tc>
      </w:tr>
      <w:tr w:rsidR="00BD434A" w14:paraId="480F553A" w14:textId="77777777">
        <w:tc>
          <w:tcPr>
            <w:tcW w:w="16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1CBA30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REQ-NCA-P1-06 Infrastructure as Code</w:t>
            </w:r>
          </w:p>
        </w:tc>
        <w:tc>
          <w:tcPr>
            <w:tcW w:w="36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1F9603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Terraform (provisioning) + Ansible (configuration)</w:t>
            </w:r>
          </w:p>
        </w:tc>
        <w:tc>
          <w:tcPr>
            <w:tcW w:w="416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CAAB03" w14:textId="17551153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4, 6</w:t>
            </w:r>
          </w:p>
        </w:tc>
      </w:tr>
      <w:tr w:rsidR="00BD434A" w14:paraId="15B94546" w14:textId="77777777"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456252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REQ-NCA-P1-07 CI/CD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D9ABDE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GitHub Actions, self-hosted runner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A359D1" w14:textId="35864FE1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6</w:t>
            </w:r>
          </w:p>
        </w:tc>
      </w:tr>
      <w:tr w:rsidR="00BD434A" w14:paraId="6A761DC0" w14:textId="77777777">
        <w:tc>
          <w:tcPr>
            <w:tcW w:w="16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A3578F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REQ-NCA-P1-08 DevOps Platform</w:t>
            </w:r>
          </w:p>
        </w:tc>
        <w:tc>
          <w:tcPr>
            <w:tcW w:w="36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62F915" w14:textId="6A26CE9C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GitHub</w:t>
            </w:r>
            <w:r w:rsidR="00F172A5">
              <w:rPr>
                <w:rFonts w:ascii="Calibri" w:eastAsia="Calibri" w:hAnsi="Calibri" w:cs="Calibri"/>
                <w:sz w:val="19"/>
                <w:szCs w:val="19"/>
              </w:rPr>
              <w:t xml:space="preserve"> for</w:t>
            </w:r>
            <w:r>
              <w:rPr>
                <w:rFonts w:ascii="Calibri" w:eastAsia="Calibri" w:hAnsi="Calibri" w:cs="Calibri"/>
                <w:sz w:val="19"/>
                <w:szCs w:val="19"/>
              </w:rPr>
              <w:t xml:space="preserve"> source control and deployment tracking</w:t>
            </w:r>
          </w:p>
        </w:tc>
        <w:tc>
          <w:tcPr>
            <w:tcW w:w="416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FA5AB1" w14:textId="7CB34373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6</w:t>
            </w:r>
          </w:p>
        </w:tc>
      </w:tr>
    </w:tbl>
    <w:p w14:paraId="50604CB4" w14:textId="77777777" w:rsidR="00BD434A" w:rsidRDefault="00000000">
      <w:pPr>
        <w:pStyle w:val="Heading1"/>
        <w:pBdr>
          <w:bottom w:val="single" w:sz="6" w:space="4" w:color="1F3A52"/>
        </w:pBdr>
        <w:spacing w:before="400" w:after="200"/>
      </w:pPr>
      <w:r>
        <w:rPr>
          <w:b/>
          <w:bCs/>
          <w:color w:val="1F3A52"/>
          <w:sz w:val="30"/>
          <w:szCs w:val="30"/>
        </w:rPr>
        <w:t>3.  System Architecture</w:t>
      </w:r>
    </w:p>
    <w:p w14:paraId="196B7C32" w14:textId="77777777" w:rsidR="00BD434A" w:rsidRDefault="00000000">
      <w:pPr>
        <w:pStyle w:val="Heading2"/>
        <w:spacing w:before="300" w:after="120"/>
      </w:pPr>
      <w:r>
        <w:rPr>
          <w:b/>
          <w:bCs/>
          <w:color w:val="1F3A52"/>
          <w:sz w:val="24"/>
          <w:szCs w:val="24"/>
        </w:rPr>
        <w:t>3.1  Network Architecture</w:t>
      </w:r>
    </w:p>
    <w:p w14:paraId="4B8845BB" w14:textId="1F27AC43" w:rsidR="00BD434A" w:rsidRDefault="00000000">
      <w:pPr>
        <w:spacing w:after="160" w:line="276" w:lineRule="auto"/>
      </w:pPr>
      <w:r>
        <w:rPr>
          <w:rFonts w:ascii="Calibri" w:eastAsia="Calibri" w:hAnsi="Calibri" w:cs="Calibri"/>
          <w:sz w:val="21"/>
          <w:szCs w:val="21"/>
        </w:rPr>
        <w:t xml:space="preserve">The network follows a </w:t>
      </w:r>
      <w:r>
        <w:rPr>
          <w:rFonts w:ascii="Calibri" w:eastAsia="Calibri" w:hAnsi="Calibri" w:cs="Calibri"/>
          <w:b/>
          <w:bCs/>
          <w:sz w:val="21"/>
          <w:szCs w:val="21"/>
        </w:rPr>
        <w:t>hub-and-spoke topology</w:t>
      </w:r>
      <w:r>
        <w:rPr>
          <w:rFonts w:ascii="Calibri" w:eastAsia="Calibri" w:hAnsi="Calibri" w:cs="Calibri"/>
          <w:sz w:val="21"/>
          <w:szCs w:val="21"/>
        </w:rPr>
        <w:t xml:space="preserve"> built on an AWS Transit Gateway (TGW). The hub is the sole routing point between spokes, giving a single place to enforce and audit traffic flow, and letting a new spoke be attached later without altering existing ones</w:t>
      </w:r>
      <w:r w:rsidR="000B5C36">
        <w:rPr>
          <w:rFonts w:ascii="Calibri" w:eastAsia="Calibri" w:hAnsi="Calibri" w:cs="Calibri"/>
          <w:sz w:val="21"/>
          <w:szCs w:val="21"/>
        </w:rPr>
        <w:t>,</w:t>
      </w:r>
      <w:r>
        <w:rPr>
          <w:rFonts w:ascii="Calibri" w:eastAsia="Calibri" w:hAnsi="Calibri" w:cs="Calibri"/>
          <w:sz w:val="21"/>
          <w:szCs w:val="21"/>
        </w:rPr>
        <w:t xml:space="preserve"> directly satisfying the </w:t>
      </w:r>
      <w:r>
        <w:rPr>
          <w:rFonts w:ascii="Consolas" w:eastAsia="Consolas" w:hAnsi="Consolas" w:cs="Consolas"/>
          <w:sz w:val="19"/>
          <w:szCs w:val="19"/>
        </w:rPr>
        <w:t>REQ-NCA-P1-01</w:t>
      </w:r>
      <w:r>
        <w:rPr>
          <w:rFonts w:ascii="Calibri" w:eastAsia="Calibri" w:hAnsi="Calibri" w:cs="Calibri"/>
          <w:sz w:val="21"/>
          <w:szCs w:val="21"/>
        </w:rPr>
        <w:t xml:space="preserve"> requirement for both isolation and future expansion.</w:t>
      </w:r>
    </w:p>
    <w:p w14:paraId="45E80048" w14:textId="70FC2AC0" w:rsidR="00BD434A" w:rsidRDefault="000718E0">
      <w:pPr>
        <w:spacing w:before="200" w:after="80"/>
        <w:jc w:val="center"/>
      </w:pPr>
      <w:r>
        <w:rPr>
          <w:noProof/>
        </w:rPr>
        <w:lastRenderedPageBreak/>
        <w:drawing>
          <wp:inline distT="0" distB="0" distL="0" distR="0" wp14:anchorId="73D6A49E" wp14:editId="369E4650">
            <wp:extent cx="6400800" cy="2286000"/>
            <wp:effectExtent l="0" t="0" r="0" b="0"/>
            <wp:docPr id="1478214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583483" w14:textId="77777777" w:rsidR="00C37913" w:rsidRDefault="00C37913">
      <w:pPr>
        <w:pStyle w:val="Heading3"/>
        <w:spacing w:before="200" w:after="100"/>
        <w:rPr>
          <w:b/>
          <w:bCs/>
          <w:color w:val="2F6F95"/>
          <w:sz w:val="21"/>
          <w:szCs w:val="21"/>
        </w:rPr>
      </w:pPr>
    </w:p>
    <w:p w14:paraId="225C65B4" w14:textId="08533D02" w:rsidR="00BD434A" w:rsidRDefault="00000000">
      <w:pPr>
        <w:pStyle w:val="Heading3"/>
        <w:spacing w:before="200" w:after="100"/>
      </w:pPr>
      <w:r>
        <w:rPr>
          <w:b/>
          <w:bCs/>
          <w:color w:val="2F6F95"/>
          <w:sz w:val="21"/>
          <w:szCs w:val="21"/>
        </w:rPr>
        <w:t xml:space="preserve">Spoke </w:t>
      </w:r>
      <w:proofErr w:type="spellStart"/>
      <w:r>
        <w:rPr>
          <w:b/>
          <w:bCs/>
          <w:color w:val="2F6F95"/>
          <w:sz w:val="21"/>
          <w:szCs w:val="21"/>
        </w:rPr>
        <w:t>VPCs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1500"/>
        <w:gridCol w:w="6260"/>
      </w:tblGrid>
      <w:tr w:rsidR="00BD434A" w14:paraId="57BFCBA1" w14:textId="77777777">
        <w:tc>
          <w:tcPr>
            <w:tcW w:w="1600" w:type="dxa"/>
            <w:shd w:val="clear" w:color="auto" w:fill="1F3A5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B67971" w14:textId="77777777" w:rsidR="00BD434A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VPC</w:t>
            </w:r>
          </w:p>
        </w:tc>
        <w:tc>
          <w:tcPr>
            <w:tcW w:w="1500" w:type="dxa"/>
            <w:shd w:val="clear" w:color="auto" w:fill="1F3A5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5DAFBA" w14:textId="77777777" w:rsidR="00BD434A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CIDR</w:t>
            </w:r>
          </w:p>
        </w:tc>
        <w:tc>
          <w:tcPr>
            <w:tcW w:w="6260" w:type="dxa"/>
            <w:shd w:val="clear" w:color="auto" w:fill="1F3A5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2B5DF1" w14:textId="77777777" w:rsidR="00BD434A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Contents &amp; Internet Reachability</w:t>
            </w:r>
          </w:p>
        </w:tc>
      </w:tr>
      <w:tr w:rsidR="00BD434A" w14:paraId="6B09AD8E" w14:textId="77777777"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F3BA99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DMZ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4A7AFD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10.0.1.0/24</w:t>
            </w:r>
          </w:p>
        </w:tc>
        <w:tc>
          <w:tcPr>
            <w:tcW w:w="62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5D1C0C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Application Load Balancer (public) and the environment's NAT Gateway. Only VPC with a direct Internet Gateway.</w:t>
            </w:r>
          </w:p>
        </w:tc>
      </w:tr>
      <w:tr w:rsidR="00BD434A" w14:paraId="63D955A8" w14:textId="77777777">
        <w:tc>
          <w:tcPr>
            <w:tcW w:w="16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541F70" w14:textId="00CC1A21" w:rsidR="00BD434A" w:rsidRDefault="00FB3E3F">
            <w:r>
              <w:t>Internal VPC</w:t>
            </w:r>
            <w:r w:rsidR="00CE36FC">
              <w:t xml:space="preserve"> ( Web subnets A and B)</w:t>
            </w:r>
          </w:p>
        </w:tc>
        <w:tc>
          <w:tcPr>
            <w:tcW w:w="15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46F975" w14:textId="5F13ED2A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10.0.2.0/2</w:t>
            </w:r>
            <w:r w:rsidR="00CE36FC">
              <w:rPr>
                <w:rFonts w:ascii="Calibri" w:eastAsia="Calibri" w:hAnsi="Calibri" w:cs="Calibri"/>
                <w:sz w:val="19"/>
                <w:szCs w:val="19"/>
              </w:rPr>
              <w:t>5 and 10.0.2.128/25</w:t>
            </w:r>
          </w:p>
        </w:tc>
        <w:tc>
          <w:tcPr>
            <w:tcW w:w="626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DCDB63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Auto Scaling Group of EC2 instances running Nginx. No public IP; egress-only internet access via the DMZ NAT (routed through the TGW).</w:t>
            </w:r>
          </w:p>
        </w:tc>
      </w:tr>
      <w:tr w:rsidR="00BD434A" w14:paraId="03560E6D" w14:textId="77777777"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B7EF11" w14:textId="292D98CD" w:rsidR="00BD434A" w:rsidRDefault="00AA609E">
            <w:r>
              <w:rPr>
                <w:rFonts w:ascii="Calibri" w:eastAsia="Calibri" w:hAnsi="Calibri" w:cs="Calibri"/>
                <w:sz w:val="19"/>
                <w:szCs w:val="19"/>
              </w:rPr>
              <w:t>Internal VPC (Data subnet)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5B1B44" w14:textId="56723E2F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10.0.3.0/2</w:t>
            </w:r>
            <w:r w:rsidR="00AA609E">
              <w:rPr>
                <w:rFonts w:ascii="Calibri" w:eastAsia="Calibri" w:hAnsi="Calibri" w:cs="Calibri"/>
                <w:sz w:val="19"/>
                <w:szCs w:val="19"/>
              </w:rPr>
              <w:t>5</w:t>
            </w:r>
          </w:p>
        </w:tc>
        <w:tc>
          <w:tcPr>
            <w:tcW w:w="62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31F377" w14:textId="7BF8D81A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MySQL. No default route to the internet at all</w:t>
            </w:r>
            <w:r w:rsidR="00C37913">
              <w:rPr>
                <w:rFonts w:ascii="Calibri" w:eastAsia="Calibri" w:hAnsi="Calibri" w:cs="Calibri"/>
                <w:sz w:val="19"/>
                <w:szCs w:val="19"/>
              </w:rPr>
              <w:t>,</w:t>
            </w:r>
            <w:r>
              <w:rPr>
                <w:rFonts w:ascii="Calibri" w:eastAsia="Calibri" w:hAnsi="Calibri" w:cs="Calibri"/>
                <w:sz w:val="19"/>
                <w:szCs w:val="19"/>
              </w:rPr>
              <w:t xml:space="preserve"> no NAT, no IGW. Security group permits inbound 3306/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tcp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 from the Web 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VPC's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 security group only.</w:t>
            </w:r>
          </w:p>
        </w:tc>
      </w:tr>
      <w:tr w:rsidR="00BD434A" w14:paraId="54F4DC51" w14:textId="77777777">
        <w:tc>
          <w:tcPr>
            <w:tcW w:w="16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74182F" w14:textId="46D6920D" w:rsidR="00BD434A" w:rsidRDefault="00AA609E">
            <w:r>
              <w:rPr>
                <w:rFonts w:ascii="Calibri" w:eastAsia="Calibri" w:hAnsi="Calibri" w:cs="Calibri"/>
                <w:sz w:val="19"/>
                <w:szCs w:val="19"/>
              </w:rPr>
              <w:t>Internal VPC (</w:t>
            </w:r>
            <w:r w:rsidR="00000000">
              <w:rPr>
                <w:rFonts w:ascii="Calibri" w:eastAsia="Calibri" w:hAnsi="Calibri" w:cs="Calibri"/>
                <w:sz w:val="19"/>
                <w:szCs w:val="19"/>
              </w:rPr>
              <w:t>Management</w:t>
            </w:r>
            <w:r>
              <w:rPr>
                <w:rFonts w:ascii="Calibri" w:eastAsia="Calibri" w:hAnsi="Calibri" w:cs="Calibri"/>
                <w:sz w:val="19"/>
                <w:szCs w:val="19"/>
              </w:rPr>
              <w:t xml:space="preserve"> subnet)</w:t>
            </w:r>
          </w:p>
        </w:tc>
        <w:tc>
          <w:tcPr>
            <w:tcW w:w="15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D07979" w14:textId="5CA84396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10.0.</w:t>
            </w:r>
            <w:r w:rsidR="00AA609E">
              <w:rPr>
                <w:rFonts w:ascii="Calibri" w:eastAsia="Calibri" w:hAnsi="Calibri" w:cs="Calibri"/>
                <w:sz w:val="19"/>
                <w:szCs w:val="19"/>
              </w:rPr>
              <w:t>3.128</w:t>
            </w:r>
            <w:r>
              <w:rPr>
                <w:rFonts w:ascii="Calibri" w:eastAsia="Calibri" w:hAnsi="Calibri" w:cs="Calibri"/>
                <w:sz w:val="19"/>
                <w:szCs w:val="19"/>
              </w:rPr>
              <w:t>/2</w:t>
            </w:r>
            <w:r w:rsidR="00AA609E">
              <w:rPr>
                <w:rFonts w:ascii="Calibri" w:eastAsia="Calibri" w:hAnsi="Calibri" w:cs="Calibri"/>
                <w:sz w:val="19"/>
                <w:szCs w:val="19"/>
              </w:rPr>
              <w:t>5</w:t>
            </w:r>
          </w:p>
        </w:tc>
        <w:tc>
          <w:tcPr>
            <w:tcW w:w="626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D0EBD9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 xml:space="preserve">Prometheus, Grafana, 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Alertmanager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, and the self-hosted GitHub Actions runner. Egress-only via the DMZ NAT.</w:t>
            </w:r>
          </w:p>
        </w:tc>
      </w:tr>
    </w:tbl>
    <w:p w14:paraId="50B4EC43" w14:textId="77777777" w:rsidR="00BD434A" w:rsidRDefault="00000000">
      <w:pPr>
        <w:pStyle w:val="Heading3"/>
        <w:spacing w:before="200" w:after="100"/>
      </w:pPr>
      <w:r>
        <w:rPr>
          <w:b/>
          <w:bCs/>
          <w:color w:val="2F6F95"/>
          <w:sz w:val="21"/>
          <w:szCs w:val="21"/>
        </w:rPr>
        <w:t>Secure Resource Access (REQ-NCA-P1-02)</w:t>
      </w:r>
    </w:p>
    <w:p w14:paraId="47D8A234" w14:textId="2FFC30DC" w:rsidR="00BD434A" w:rsidRDefault="00000000">
      <w:pPr>
        <w:pStyle w:val="ListParagraph"/>
        <w:numPr>
          <w:ilvl w:val="0"/>
          <w:numId w:val="2"/>
        </w:numPr>
        <w:spacing w:after="80" w:line="264" w:lineRule="auto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Database isolation: </w:t>
      </w:r>
      <w:r>
        <w:rPr>
          <w:rFonts w:ascii="Calibri" w:eastAsia="Calibri" w:hAnsi="Calibri" w:cs="Calibri"/>
          <w:sz w:val="21"/>
          <w:szCs w:val="21"/>
        </w:rPr>
        <w:t xml:space="preserve">no public IP, no internet-bound route in the route table, and a security group that only accepts traffic from the Web </w:t>
      </w:r>
      <w:r w:rsidR="0084044C">
        <w:rPr>
          <w:rFonts w:ascii="Calibri" w:eastAsia="Calibri" w:hAnsi="Calibri" w:cs="Calibri"/>
          <w:sz w:val="21"/>
          <w:szCs w:val="21"/>
        </w:rPr>
        <w:t>Subnets</w:t>
      </w:r>
      <w:r>
        <w:rPr>
          <w:rFonts w:ascii="Calibri" w:eastAsia="Calibri" w:hAnsi="Calibri" w:cs="Calibri"/>
          <w:sz w:val="21"/>
          <w:szCs w:val="21"/>
        </w:rPr>
        <w:t xml:space="preserve"> security group on port 3306</w:t>
      </w:r>
      <w:r w:rsidR="00C37913">
        <w:rPr>
          <w:rFonts w:ascii="Calibri" w:eastAsia="Calibri" w:hAnsi="Calibri" w:cs="Calibri"/>
          <w:sz w:val="21"/>
          <w:szCs w:val="21"/>
        </w:rPr>
        <w:t>,</w:t>
      </w:r>
      <w:r>
        <w:rPr>
          <w:rFonts w:ascii="Calibri" w:eastAsia="Calibri" w:hAnsi="Calibri" w:cs="Calibri"/>
          <w:sz w:val="21"/>
          <w:szCs w:val="21"/>
        </w:rPr>
        <w:t xml:space="preserve"> route-table isolation at the network layer, security-group enforcement at the port layer.</w:t>
      </w:r>
    </w:p>
    <w:p w14:paraId="5CD372E4" w14:textId="77777777" w:rsidR="00BD434A" w:rsidRDefault="00000000">
      <w:pPr>
        <w:pStyle w:val="ListParagraph"/>
        <w:numPr>
          <w:ilvl w:val="0"/>
          <w:numId w:val="2"/>
        </w:numPr>
        <w:spacing w:after="80" w:line="264" w:lineRule="auto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Administrative access: </w:t>
      </w:r>
      <w:r>
        <w:rPr>
          <w:rFonts w:ascii="Calibri" w:eastAsia="Calibri" w:hAnsi="Calibri" w:cs="Calibri"/>
          <w:sz w:val="21"/>
          <w:szCs w:val="21"/>
        </w:rPr>
        <w:t>AWS Systems Manager (SSM) Session Manager, via a VPC interface endpoint in each private spoke. No bastion host and no inbound SSH rule anywhere in the environment.</w:t>
      </w:r>
    </w:p>
    <w:p w14:paraId="36EB720A" w14:textId="77777777" w:rsidR="00BD434A" w:rsidRDefault="00000000">
      <w:pPr>
        <w:pStyle w:val="Heading3"/>
        <w:spacing w:before="200" w:after="100"/>
      </w:pPr>
      <w:r>
        <w:rPr>
          <w:b/>
          <w:bCs/>
          <w:color w:val="2F6F95"/>
          <w:sz w:val="21"/>
          <w:szCs w:val="21"/>
        </w:rPr>
        <w:t>Routing Approach</w:t>
      </w:r>
    </w:p>
    <w:p w14:paraId="0182C1FA" w14:textId="77777777" w:rsidR="00BD434A" w:rsidRDefault="00000000">
      <w:pPr>
        <w:pStyle w:val="ListParagraph"/>
        <w:numPr>
          <w:ilvl w:val="0"/>
          <w:numId w:val="2"/>
        </w:numPr>
        <w:spacing w:after="80" w:line="264" w:lineRule="auto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Static TGW routes </w:t>
      </w:r>
      <w:r>
        <w:rPr>
          <w:rFonts w:ascii="Calibri" w:eastAsia="Calibri" w:hAnsi="Calibri" w:cs="Calibri"/>
          <w:sz w:val="21"/>
          <w:szCs w:val="21"/>
        </w:rPr>
        <w:t>are the default on every spoke attachment and are sufficient on their own to satisfy REQ-NCA-P1-01's traffic-control requirement.</w:t>
      </w:r>
    </w:p>
    <w:p w14:paraId="10584D38" w14:textId="77777777" w:rsidR="00BD434A" w:rsidRPr="009E3B0A" w:rsidRDefault="00000000">
      <w:pPr>
        <w:pStyle w:val="ListParagraph"/>
        <w:numPr>
          <w:ilvl w:val="0"/>
          <w:numId w:val="2"/>
        </w:numPr>
        <w:spacing w:after="80" w:line="264" w:lineRule="auto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BGP </w:t>
      </w:r>
      <w:r>
        <w:rPr>
          <w:rFonts w:ascii="Calibri" w:eastAsia="Calibri" w:hAnsi="Calibri" w:cs="Calibri"/>
          <w:sz w:val="21"/>
          <w:szCs w:val="21"/>
        </w:rPr>
        <w:t>is introduced on one attachment: a simulated branch/corporate site connects over a Site-to-Site VPN (customer-gateway side simulated on an EC2 instance running a software VPN daemon), exchanging routes with the TGW dynamically rather than by hand.</w:t>
      </w:r>
    </w:p>
    <w:p w14:paraId="23A1A1E1" w14:textId="2E1041EB" w:rsidR="009E3B0A" w:rsidRDefault="009E3B0A" w:rsidP="009E3B0A">
      <w:pPr>
        <w:pStyle w:val="ListParagraph"/>
        <w:spacing w:after="80" w:line="264" w:lineRule="auto"/>
        <w:ind w:left="360"/>
        <w:rPr>
          <w:rFonts w:ascii="Calibri" w:eastAsia="Calibri" w:hAnsi="Calibri" w:cs="Calibri"/>
          <w:b/>
          <w:bCs/>
          <w:sz w:val="21"/>
          <w:szCs w:val="21"/>
        </w:rPr>
      </w:pPr>
    </w:p>
    <w:p w14:paraId="42EBD7AD" w14:textId="77777777" w:rsidR="009E3B0A" w:rsidRDefault="009E3B0A" w:rsidP="009E3B0A">
      <w:pPr>
        <w:pStyle w:val="ListParagraph"/>
        <w:spacing w:after="80" w:line="264" w:lineRule="auto"/>
        <w:ind w:left="360"/>
        <w:rPr>
          <w:rFonts w:ascii="Calibri" w:eastAsia="Calibri" w:hAnsi="Calibri" w:cs="Calibri"/>
          <w:b/>
          <w:bCs/>
          <w:sz w:val="21"/>
          <w:szCs w:val="21"/>
        </w:rPr>
      </w:pPr>
    </w:p>
    <w:p w14:paraId="4A853A40" w14:textId="77777777" w:rsidR="009E3B0A" w:rsidRDefault="009E3B0A" w:rsidP="009E3B0A">
      <w:pPr>
        <w:pStyle w:val="ListParagraph"/>
        <w:spacing w:after="80" w:line="264" w:lineRule="auto"/>
        <w:ind w:left="360"/>
      </w:pPr>
    </w:p>
    <w:p w14:paraId="0D365C6A" w14:textId="77777777" w:rsidR="00BD434A" w:rsidRDefault="00000000">
      <w:pPr>
        <w:pStyle w:val="Heading2"/>
        <w:spacing w:before="300" w:after="120"/>
      </w:pPr>
      <w:r>
        <w:rPr>
          <w:b/>
          <w:bCs/>
          <w:color w:val="1F3A52"/>
          <w:sz w:val="24"/>
          <w:szCs w:val="24"/>
        </w:rPr>
        <w:lastRenderedPageBreak/>
        <w:t>3.2  Compute &amp; Application Architecture</w:t>
      </w:r>
    </w:p>
    <w:tbl>
      <w:tblPr>
        <w:tblW w:w="95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3200"/>
        <w:gridCol w:w="3960"/>
      </w:tblGrid>
      <w:tr w:rsidR="00BD434A" w14:paraId="0DB59DF3" w14:textId="77777777">
        <w:tc>
          <w:tcPr>
            <w:tcW w:w="2400" w:type="dxa"/>
            <w:shd w:val="clear" w:color="auto" w:fill="1F3A5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3FC40" w14:textId="77777777" w:rsidR="00BD434A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Layer</w:t>
            </w:r>
          </w:p>
        </w:tc>
        <w:tc>
          <w:tcPr>
            <w:tcW w:w="3200" w:type="dxa"/>
            <w:shd w:val="clear" w:color="auto" w:fill="1F3A5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710C1C" w14:textId="77777777" w:rsidR="00BD434A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Decision</w:t>
            </w:r>
          </w:p>
        </w:tc>
        <w:tc>
          <w:tcPr>
            <w:tcW w:w="3960" w:type="dxa"/>
            <w:shd w:val="clear" w:color="auto" w:fill="1F3A5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EA8323" w14:textId="77777777" w:rsidR="00BD434A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Justification</w:t>
            </w:r>
          </w:p>
        </w:tc>
      </w:tr>
      <w:tr w:rsidR="00BD434A" w14:paraId="5E650FE9" w14:textId="77777777"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792AA7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Web server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66050F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Nginx</w:t>
            </w:r>
          </w:p>
        </w:tc>
        <w:tc>
          <w:tcPr>
            <w:tcW w:w="39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DCF9B9" w14:textId="53E18491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Event-driven, asynchronous architecture handles many concurrent connections with lower memory/CPU overhead than Apache's process/thread model</w:t>
            </w:r>
            <w:r w:rsidR="00C37913">
              <w:rPr>
                <w:rFonts w:ascii="Calibri" w:eastAsia="Calibri" w:hAnsi="Calibri" w:cs="Calibri"/>
                <w:sz w:val="19"/>
                <w:szCs w:val="19"/>
              </w:rPr>
              <w:t>,</w:t>
            </w:r>
            <w:r>
              <w:rPr>
                <w:rFonts w:ascii="Calibri" w:eastAsia="Calibri" w:hAnsi="Calibri" w:cs="Calibri"/>
                <w:sz w:val="19"/>
                <w:szCs w:val="19"/>
              </w:rPr>
              <w:t xml:space="preserve"> directly relevant to a ticket-sales traffic spike</w:t>
            </w:r>
            <w:r w:rsidR="00C37913">
              <w:rPr>
                <w:rFonts w:ascii="Calibri" w:eastAsia="Calibri" w:hAnsi="Calibri" w:cs="Calibri"/>
                <w:sz w:val="19"/>
                <w:szCs w:val="19"/>
              </w:rPr>
              <w:t>.</w:t>
            </w:r>
          </w:p>
        </w:tc>
      </w:tr>
      <w:tr w:rsidR="00BD434A" w14:paraId="36850A3E" w14:textId="77777777">
        <w:tc>
          <w:tcPr>
            <w:tcW w:w="24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205873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Database</w:t>
            </w:r>
          </w:p>
        </w:tc>
        <w:tc>
          <w:tcPr>
            <w:tcW w:w="32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EE28D2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MySQL, self-managed on EC2</w:t>
            </w:r>
          </w:p>
        </w:tc>
        <w:tc>
          <w:tcPr>
            <w:tcW w:w="396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A0A920" w14:textId="1A046444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MySQL is the most widely deployed open-source relational database, with the largest ecosystem, documentation base, and tooling support</w:t>
            </w:r>
            <w:r w:rsidR="00C37913">
              <w:rPr>
                <w:rFonts w:ascii="Calibri" w:eastAsia="Calibri" w:hAnsi="Calibri" w:cs="Calibri"/>
                <w:sz w:val="19"/>
                <w:szCs w:val="19"/>
              </w:rPr>
              <w:t>,</w:t>
            </w:r>
            <w:r>
              <w:rPr>
                <w:rFonts w:ascii="Calibri" w:eastAsia="Calibri" w:hAnsi="Calibri" w:cs="Calibri"/>
                <w:sz w:val="19"/>
                <w:szCs w:val="19"/>
              </w:rPr>
              <w:t xml:space="preserve"> including first-class native support if migrated to managed RDS later. </w:t>
            </w:r>
          </w:p>
        </w:tc>
      </w:tr>
      <w:tr w:rsidR="00BD434A" w14:paraId="3D2962FE" w14:textId="77777777"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E6C04C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Compute model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6BD9EF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EC2 + Ansible (not containers or serverless)</w:t>
            </w:r>
          </w:p>
        </w:tc>
        <w:tc>
          <w:tcPr>
            <w:tcW w:w="39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9473C0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Containers would give faster scale-out but require reworking the deployment model chosen for REQ-NCA-P1-03; serverless (Lambda) is a poor fit for a persistent, always-on web/DB service. EC2 + Ansible keeps effort concentrated on the network/routing depth this project prioritizes.</w:t>
            </w:r>
          </w:p>
        </w:tc>
      </w:tr>
      <w:tr w:rsidR="00BD434A" w14:paraId="3FA24F22" w14:textId="77777777">
        <w:tc>
          <w:tcPr>
            <w:tcW w:w="24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C786BB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Scalability</w:t>
            </w:r>
          </w:p>
        </w:tc>
        <w:tc>
          <w:tcPr>
            <w:tcW w:w="32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8B9AE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Auto Scaling Group behind the ALB, scaling on a CloudWatch CPU/request-count metric</w:t>
            </w:r>
          </w:p>
        </w:tc>
        <w:tc>
          <w:tcPr>
            <w:tcW w:w="396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482AE4" w14:textId="56406E1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Directly satisfies REQ-NCA-P1-04</w:t>
            </w:r>
            <w:r w:rsidR="00C37913">
              <w:rPr>
                <w:rFonts w:ascii="Calibri" w:eastAsia="Calibri" w:hAnsi="Calibri" w:cs="Calibri"/>
                <w:sz w:val="19"/>
                <w:szCs w:val="19"/>
              </w:rPr>
              <w:t>,</w:t>
            </w:r>
            <w:r>
              <w:rPr>
                <w:rFonts w:ascii="Calibri" w:eastAsia="Calibri" w:hAnsi="Calibri" w:cs="Calibri"/>
                <w:sz w:val="19"/>
                <w:szCs w:val="19"/>
              </w:rPr>
              <w:t xml:space="preserve"> instance count grows for peak (ticket on-sale) traffic and shrinks during off-peak periods, so cost tracks actual demand rather than a fixed fleet size.</w:t>
            </w:r>
          </w:p>
        </w:tc>
      </w:tr>
    </w:tbl>
    <w:p w14:paraId="50C2B12E" w14:textId="64E64242" w:rsidR="00BD434A" w:rsidRDefault="00000000">
      <w:pPr>
        <w:spacing w:after="160" w:line="276" w:lineRule="auto"/>
      </w:pPr>
      <w:r>
        <w:rPr>
          <w:rFonts w:ascii="Calibri" w:eastAsia="Calibri" w:hAnsi="Calibri" w:cs="Calibri"/>
          <w:sz w:val="21"/>
          <w:szCs w:val="21"/>
        </w:rPr>
        <w:t xml:space="preserve">Both the web tier (ASG) and, at minimum, the ALB span </w:t>
      </w:r>
      <w:r>
        <w:rPr>
          <w:rFonts w:ascii="Calibri" w:eastAsia="Calibri" w:hAnsi="Calibri" w:cs="Calibri"/>
          <w:b/>
          <w:bCs/>
          <w:sz w:val="21"/>
          <w:szCs w:val="21"/>
        </w:rPr>
        <w:t>multiple Availability Zones</w:t>
      </w:r>
      <w:r>
        <w:rPr>
          <w:rFonts w:ascii="Calibri" w:eastAsia="Calibri" w:hAnsi="Calibri" w:cs="Calibri"/>
          <w:sz w:val="21"/>
          <w:szCs w:val="21"/>
        </w:rPr>
        <w:t xml:space="preserve"> so that a single AZ failure does not take the site down</w:t>
      </w:r>
      <w:r w:rsidR="00C37913">
        <w:rPr>
          <w:rFonts w:ascii="Calibri" w:eastAsia="Calibri" w:hAnsi="Calibri" w:cs="Calibri"/>
          <w:sz w:val="21"/>
          <w:szCs w:val="21"/>
        </w:rPr>
        <w:t>,</w:t>
      </w:r>
      <w:r>
        <w:rPr>
          <w:rFonts w:ascii="Calibri" w:eastAsia="Calibri" w:hAnsi="Calibri" w:cs="Calibri"/>
          <w:sz w:val="21"/>
          <w:szCs w:val="21"/>
        </w:rPr>
        <w:t xml:space="preserve"> a direct response to the business context's resilience goal. The self-managed database currently runs single-AZ; multi-AZ replication for the database is flagged as an open item for Phase 4 resilience testing.</w:t>
      </w:r>
    </w:p>
    <w:p w14:paraId="581405C8" w14:textId="77777777" w:rsidR="00BD434A" w:rsidRDefault="00000000">
      <w:pPr>
        <w:pStyle w:val="Heading2"/>
        <w:spacing w:before="300" w:after="120"/>
      </w:pPr>
      <w:r>
        <w:rPr>
          <w:b/>
          <w:bCs/>
          <w:color w:val="1F3A52"/>
          <w:sz w:val="24"/>
          <w:szCs w:val="24"/>
        </w:rPr>
        <w:t>3.3  Monitoring &amp; Observability Architecture (REQ-NCA-P1-05)</w:t>
      </w:r>
    </w:p>
    <w:p w14:paraId="132E9BDB" w14:textId="77777777" w:rsidR="00BD434A" w:rsidRDefault="00000000">
      <w:pPr>
        <w:spacing w:after="160" w:line="276" w:lineRule="auto"/>
      </w:pPr>
      <w:r>
        <w:rPr>
          <w:rFonts w:ascii="Calibri" w:eastAsia="Calibri" w:hAnsi="Calibri" w:cs="Calibri"/>
          <w:sz w:val="21"/>
          <w:szCs w:val="21"/>
        </w:rPr>
        <w:t xml:space="preserve">The deployed stack is </w:t>
      </w:r>
      <w:r>
        <w:rPr>
          <w:rFonts w:ascii="Calibri" w:eastAsia="Calibri" w:hAnsi="Calibri" w:cs="Calibri"/>
          <w:b/>
          <w:bCs/>
          <w:sz w:val="21"/>
          <w:szCs w:val="21"/>
        </w:rPr>
        <w:t>Prometheus + Grafana</w:t>
      </w:r>
      <w:r>
        <w:rPr>
          <w:rFonts w:ascii="Calibri" w:eastAsia="Calibri" w:hAnsi="Calibri" w:cs="Calibri"/>
          <w:sz w:val="21"/>
          <w:szCs w:val="21"/>
        </w:rPr>
        <w:t>, self-hosted in the Management VPC:</w:t>
      </w:r>
    </w:p>
    <w:p w14:paraId="7E1DDDFF" w14:textId="77777777" w:rsidR="00BD434A" w:rsidRDefault="00000000">
      <w:pPr>
        <w:pStyle w:val="ListParagraph"/>
        <w:numPr>
          <w:ilvl w:val="0"/>
          <w:numId w:val="2"/>
        </w:numPr>
        <w:spacing w:after="80" w:line="264" w:lineRule="auto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Data collection: </w:t>
      </w:r>
      <w:proofErr w:type="spellStart"/>
      <w:r>
        <w:rPr>
          <w:rFonts w:ascii="Calibri" w:eastAsia="Calibri" w:hAnsi="Calibri" w:cs="Calibri"/>
          <w:sz w:val="21"/>
          <w:szCs w:val="21"/>
        </w:rPr>
        <w:t>node_exporter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on every Web and Data instance, scraped by Prometheus.</w:t>
      </w:r>
    </w:p>
    <w:p w14:paraId="5ADA7DBD" w14:textId="77777777" w:rsidR="00BD434A" w:rsidRDefault="00000000">
      <w:pPr>
        <w:pStyle w:val="ListParagraph"/>
        <w:numPr>
          <w:ilvl w:val="0"/>
          <w:numId w:val="2"/>
        </w:numPr>
        <w:spacing w:after="80" w:line="264" w:lineRule="auto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Visualization: </w:t>
      </w:r>
      <w:r>
        <w:rPr>
          <w:rFonts w:ascii="Calibri" w:eastAsia="Calibri" w:hAnsi="Calibri" w:cs="Calibri"/>
          <w:sz w:val="21"/>
          <w:szCs w:val="21"/>
        </w:rPr>
        <w:t>Grafana dashboards for host and application metrics.</w:t>
      </w:r>
    </w:p>
    <w:p w14:paraId="0B16B07A" w14:textId="77777777" w:rsidR="00BD434A" w:rsidRDefault="00000000">
      <w:pPr>
        <w:pStyle w:val="ListParagraph"/>
        <w:numPr>
          <w:ilvl w:val="0"/>
          <w:numId w:val="2"/>
        </w:numPr>
        <w:spacing w:after="80" w:line="264" w:lineRule="auto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Alerting: </w:t>
      </w:r>
      <w:proofErr w:type="spellStart"/>
      <w:r>
        <w:rPr>
          <w:rFonts w:ascii="Calibri" w:eastAsia="Calibri" w:hAnsi="Calibri" w:cs="Calibri"/>
          <w:sz w:val="21"/>
          <w:szCs w:val="21"/>
        </w:rPr>
        <w:t>Alertmanager</w:t>
      </w:r>
      <w:proofErr w:type="spellEnd"/>
      <w:r>
        <w:rPr>
          <w:rFonts w:ascii="Calibri" w:eastAsia="Calibri" w:hAnsi="Calibri" w:cs="Calibri"/>
          <w:sz w:val="21"/>
          <w:szCs w:val="21"/>
        </w:rPr>
        <w:t>, configured for high-CPU, service-down, and connectivity-failure conditions.</w:t>
      </w:r>
    </w:p>
    <w:p w14:paraId="007CF29E" w14:textId="77777777" w:rsidR="00BD434A" w:rsidRDefault="00000000">
      <w:pPr>
        <w:pStyle w:val="ListParagraph"/>
        <w:numPr>
          <w:ilvl w:val="0"/>
          <w:numId w:val="2"/>
        </w:numPr>
        <w:spacing w:after="80" w:line="264" w:lineRule="auto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Extensibility: </w:t>
      </w:r>
      <w:r>
        <w:rPr>
          <w:rFonts w:ascii="Calibri" w:eastAsia="Calibri" w:hAnsi="Calibri" w:cs="Calibri"/>
          <w:sz w:val="21"/>
          <w:szCs w:val="21"/>
        </w:rPr>
        <w:t xml:space="preserve">adding a new component only requires a new scrape target and exporter — no restructuring of the existing stack. This is deliberate: it supports the </w:t>
      </w:r>
      <w:proofErr w:type="spellStart"/>
      <w:r>
        <w:rPr>
          <w:rFonts w:ascii="Calibri" w:eastAsia="Calibri" w:hAnsi="Calibri" w:cs="Calibri"/>
          <w:sz w:val="21"/>
          <w:szCs w:val="21"/>
        </w:rPr>
        <w:t>Flavor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A assignment to automate monitoring so newly added components are monitored adequately from the moment they're deployed.</w:t>
      </w:r>
    </w:p>
    <w:p w14:paraId="54745703" w14:textId="4E9CE9EB" w:rsidR="00BD434A" w:rsidRDefault="00000000">
      <w:pPr>
        <w:spacing w:after="160" w:line="276" w:lineRule="auto"/>
      </w:pPr>
      <w:r>
        <w:rPr>
          <w:rFonts w:ascii="Calibri" w:eastAsia="Calibri" w:hAnsi="Calibri" w:cs="Calibri"/>
          <w:sz w:val="21"/>
          <w:szCs w:val="21"/>
        </w:rPr>
        <w:t xml:space="preserve">Commercial tools (Datadog, New Relic, Splunk) are </w:t>
      </w:r>
      <w:r>
        <w:rPr>
          <w:rFonts w:ascii="Calibri" w:eastAsia="Calibri" w:hAnsi="Calibri" w:cs="Calibri"/>
          <w:b/>
          <w:bCs/>
          <w:sz w:val="21"/>
          <w:szCs w:val="21"/>
        </w:rPr>
        <w:t>not deployed</w:t>
      </w:r>
      <w:r w:rsidR="009D0081">
        <w:rPr>
          <w:rFonts w:ascii="Calibri" w:eastAsia="Calibri" w:hAnsi="Calibri" w:cs="Calibri"/>
          <w:sz w:val="21"/>
          <w:szCs w:val="21"/>
        </w:rPr>
        <w:t>,</w:t>
      </w:r>
      <w:r>
        <w:rPr>
          <w:rFonts w:ascii="Calibri" w:eastAsia="Calibri" w:hAnsi="Calibri" w:cs="Calibri"/>
          <w:sz w:val="21"/>
          <w:szCs w:val="21"/>
        </w:rPr>
        <w:t xml:space="preserve"> they are researched separately as the comparison baseline against this self-hosted stack on features, scalability, operational complexity, cost, and vendor support, as requested in the business context brief. That write-up, and the full metric-by-metric justification for REQ-NCA-P1-05, is produced as its own Monitoring Design deliverable.</w:t>
      </w:r>
    </w:p>
    <w:p w14:paraId="25943F0A" w14:textId="4D0677AA" w:rsidR="00BD434A" w:rsidRDefault="00850B46">
      <w:pPr>
        <w:pStyle w:val="Heading1"/>
        <w:pBdr>
          <w:bottom w:val="single" w:sz="6" w:space="4" w:color="1F3A52"/>
        </w:pBdr>
        <w:spacing w:before="400" w:after="200"/>
      </w:pPr>
      <w:r>
        <w:rPr>
          <w:b/>
          <w:bCs/>
          <w:color w:val="1F3A52"/>
          <w:sz w:val="30"/>
          <w:szCs w:val="30"/>
        </w:rPr>
        <w:t>4.  Technology Choices Summary</w:t>
      </w:r>
    </w:p>
    <w:tbl>
      <w:tblPr>
        <w:tblW w:w="95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3000"/>
        <w:gridCol w:w="3760"/>
      </w:tblGrid>
      <w:tr w:rsidR="00BD434A" w14:paraId="3F9EDC03" w14:textId="77777777">
        <w:tc>
          <w:tcPr>
            <w:tcW w:w="2800" w:type="dxa"/>
            <w:shd w:val="clear" w:color="auto" w:fill="1F3A5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3229F" w14:textId="77777777" w:rsidR="00BD434A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Area</w:t>
            </w:r>
          </w:p>
        </w:tc>
        <w:tc>
          <w:tcPr>
            <w:tcW w:w="3000" w:type="dxa"/>
            <w:shd w:val="clear" w:color="auto" w:fill="1F3A5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940C40" w14:textId="77777777" w:rsidR="00BD434A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Chosen</w:t>
            </w:r>
          </w:p>
        </w:tc>
        <w:tc>
          <w:tcPr>
            <w:tcW w:w="3760" w:type="dxa"/>
            <w:shd w:val="clear" w:color="auto" w:fill="1F3A5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A6A89A" w14:textId="77777777" w:rsidR="00BD434A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Alternatives Considered</w:t>
            </w:r>
          </w:p>
        </w:tc>
      </w:tr>
      <w:tr w:rsidR="00BD434A" w14:paraId="169C520B" w14:textId="77777777"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6B29AE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Cloud provider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2ADE6A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AWS</w:t>
            </w:r>
          </w:p>
        </w:tc>
        <w:tc>
          <w:tcPr>
            <w:tcW w:w="3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A3590E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Azure, GCP, on-premises (compared in the TCO report)</w:t>
            </w:r>
          </w:p>
        </w:tc>
      </w:tr>
      <w:tr w:rsidR="00BD434A" w14:paraId="28659568" w14:textId="77777777">
        <w:tc>
          <w:tcPr>
            <w:tcW w:w="28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042F77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lastRenderedPageBreak/>
              <w:t>Network topology</w:t>
            </w:r>
          </w:p>
        </w:tc>
        <w:tc>
          <w:tcPr>
            <w:tcW w:w="30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9D95EF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Transit Gateway hub-and-spoke, multi-VPC</w:t>
            </w:r>
          </w:p>
        </w:tc>
        <w:tc>
          <w:tcPr>
            <w:tcW w:w="376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8DEA62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Single VPC with subnets (rejected — thinner routing story, less isolation)</w:t>
            </w:r>
          </w:p>
        </w:tc>
      </w:tr>
      <w:tr w:rsidR="00BD434A" w14:paraId="26858108" w14:textId="77777777"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218E85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Web server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65790F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Nginx</w:t>
            </w:r>
          </w:p>
        </w:tc>
        <w:tc>
          <w:tcPr>
            <w:tcW w:w="3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E1E7C6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Apache, IIS</w:t>
            </w:r>
          </w:p>
        </w:tc>
      </w:tr>
      <w:tr w:rsidR="00BD434A" w14:paraId="551B319A" w14:textId="77777777">
        <w:tc>
          <w:tcPr>
            <w:tcW w:w="28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B3CB2C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Database</w:t>
            </w:r>
          </w:p>
        </w:tc>
        <w:tc>
          <w:tcPr>
            <w:tcW w:w="30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864AD4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MySQL (self-managed EC2)</w:t>
            </w:r>
          </w:p>
        </w:tc>
        <w:tc>
          <w:tcPr>
            <w:tcW w:w="376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F15373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MariaDB, PostgreSQL, RDS-managed MySQL</w:t>
            </w:r>
          </w:p>
        </w:tc>
      </w:tr>
      <w:tr w:rsidR="00BD434A" w14:paraId="7558B272" w14:textId="77777777"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4ABE16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Compute model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6AFD00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EC2 + Auto Scaling Group</w:t>
            </w:r>
          </w:p>
        </w:tc>
        <w:tc>
          <w:tcPr>
            <w:tcW w:w="3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78CCE1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ECS/Fargate, Lambda</w:t>
            </w:r>
          </w:p>
        </w:tc>
      </w:tr>
      <w:tr w:rsidR="00BD434A" w14:paraId="152DA967" w14:textId="77777777">
        <w:tc>
          <w:tcPr>
            <w:tcW w:w="28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C2B007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Configuration management</w:t>
            </w:r>
          </w:p>
        </w:tc>
        <w:tc>
          <w:tcPr>
            <w:tcW w:w="30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E7FD0B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Ansible</w:t>
            </w:r>
          </w:p>
        </w:tc>
        <w:tc>
          <w:tcPr>
            <w:tcW w:w="376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E37C8B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Chef, Puppet, cloud-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init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 only</w:t>
            </w:r>
          </w:p>
        </w:tc>
      </w:tr>
      <w:tr w:rsidR="00BD434A" w14:paraId="7C63E783" w14:textId="77777777"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C8A425" w14:textId="77777777" w:rsidR="00BD434A" w:rsidRDefault="00000000"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IaC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 tool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4DDD1C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Terraform</w:t>
            </w:r>
          </w:p>
        </w:tc>
        <w:tc>
          <w:tcPr>
            <w:tcW w:w="3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284175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Pulumi, CloudFormation</w:t>
            </w:r>
          </w:p>
        </w:tc>
      </w:tr>
      <w:tr w:rsidR="00BD434A" w14:paraId="04E8A634" w14:textId="77777777">
        <w:tc>
          <w:tcPr>
            <w:tcW w:w="28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B58DC5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Monitoring</w:t>
            </w:r>
          </w:p>
        </w:tc>
        <w:tc>
          <w:tcPr>
            <w:tcW w:w="30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0C77BD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Prometheus + Grafana (self-hosted)</w:t>
            </w:r>
          </w:p>
        </w:tc>
        <w:tc>
          <w:tcPr>
            <w:tcW w:w="376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5A57D6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Datadog, New Relic, Splunk, CloudWatch-native</w:t>
            </w:r>
          </w:p>
        </w:tc>
      </w:tr>
      <w:tr w:rsidR="00BD434A" w14:paraId="32960701" w14:textId="77777777"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3CDD39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DevOps platform / CI-CD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FFC6B8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GitHub + GitHub Actions (self-hosted runner)</w:t>
            </w:r>
          </w:p>
        </w:tc>
        <w:tc>
          <w:tcPr>
            <w:tcW w:w="3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777A26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GitLab + GitLab CI, Azure DevOps</w:t>
            </w:r>
          </w:p>
        </w:tc>
      </w:tr>
      <w:tr w:rsidR="00BD434A" w14:paraId="0618594C" w14:textId="77777777">
        <w:tc>
          <w:tcPr>
            <w:tcW w:w="28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978D4D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Admin access</w:t>
            </w:r>
          </w:p>
        </w:tc>
        <w:tc>
          <w:tcPr>
            <w:tcW w:w="30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1497F2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SSM Session Manager</w:t>
            </w:r>
          </w:p>
        </w:tc>
        <w:tc>
          <w:tcPr>
            <w:tcW w:w="376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15D1A4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Bastion host</w:t>
            </w:r>
          </w:p>
        </w:tc>
      </w:tr>
    </w:tbl>
    <w:p w14:paraId="6F266E7B" w14:textId="331680D2" w:rsidR="00BD434A" w:rsidRDefault="00850B46">
      <w:pPr>
        <w:pStyle w:val="Heading1"/>
        <w:pBdr>
          <w:bottom w:val="single" w:sz="6" w:space="4" w:color="1F3A52"/>
        </w:pBdr>
        <w:spacing w:before="400" w:after="200"/>
      </w:pPr>
      <w:r>
        <w:rPr>
          <w:b/>
          <w:bCs/>
          <w:color w:val="1F3A52"/>
          <w:sz w:val="30"/>
          <w:szCs w:val="30"/>
        </w:rPr>
        <w:t xml:space="preserve">5.  DevOps &amp; </w:t>
      </w:r>
      <w:proofErr w:type="spellStart"/>
      <w:r>
        <w:rPr>
          <w:b/>
          <w:bCs/>
          <w:color w:val="1F3A52"/>
          <w:sz w:val="30"/>
          <w:szCs w:val="30"/>
        </w:rPr>
        <w:t>IaC</w:t>
      </w:r>
      <w:proofErr w:type="spellEnd"/>
      <w:r>
        <w:rPr>
          <w:b/>
          <w:bCs/>
          <w:color w:val="1F3A52"/>
          <w:sz w:val="30"/>
          <w:szCs w:val="30"/>
        </w:rPr>
        <w:t xml:space="preserve"> Setup</w:t>
      </w:r>
    </w:p>
    <w:p w14:paraId="30695587" w14:textId="77777777" w:rsidR="00BD434A" w:rsidRDefault="00000000">
      <w:pPr>
        <w:pStyle w:val="ListParagraph"/>
        <w:numPr>
          <w:ilvl w:val="0"/>
          <w:numId w:val="2"/>
        </w:numPr>
        <w:spacing w:after="80" w:line="264" w:lineRule="auto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Platform: </w:t>
      </w:r>
      <w:r>
        <w:rPr>
          <w:rFonts w:ascii="Calibri" w:eastAsia="Calibri" w:hAnsi="Calibri" w:cs="Calibri"/>
          <w:sz w:val="21"/>
          <w:szCs w:val="21"/>
        </w:rPr>
        <w:t>GitHub hosts the project repository, pull requests, and deployment history (REQ-NCA-P1-08).</w:t>
      </w:r>
    </w:p>
    <w:p w14:paraId="5402E4CC" w14:textId="17BC310C" w:rsidR="00BD434A" w:rsidRDefault="00000000">
      <w:pPr>
        <w:pStyle w:val="ListParagraph"/>
        <w:numPr>
          <w:ilvl w:val="0"/>
          <w:numId w:val="2"/>
        </w:numPr>
        <w:spacing w:after="80" w:line="264" w:lineRule="auto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CI/CD: </w:t>
      </w:r>
      <w:r>
        <w:rPr>
          <w:rFonts w:ascii="Calibri" w:eastAsia="Calibri" w:hAnsi="Calibri" w:cs="Calibri"/>
          <w:sz w:val="21"/>
          <w:szCs w:val="21"/>
        </w:rPr>
        <w:t>GitHub Actions with a self-hosted runner (a small EC2 instance in the Management VPC) runs two pipelines</w:t>
      </w:r>
      <w:r w:rsidR="00043DCF">
        <w:rPr>
          <w:rFonts w:ascii="Calibri" w:eastAsia="Calibri" w:hAnsi="Calibri" w:cs="Calibri"/>
          <w:sz w:val="21"/>
          <w:szCs w:val="21"/>
        </w:rPr>
        <w:t>,</w:t>
      </w:r>
      <w:r>
        <w:rPr>
          <w:rFonts w:ascii="Calibri" w:eastAsia="Calibri" w:hAnsi="Calibri" w:cs="Calibri"/>
          <w:sz w:val="21"/>
          <w:szCs w:val="21"/>
        </w:rPr>
        <w:t xml:space="preserve"> application build/test/deploy, and Terraform plan/apply for infrastructure changes (REQ-NCA-P1-07).</w:t>
      </w:r>
    </w:p>
    <w:p w14:paraId="0E104E43" w14:textId="77777777" w:rsidR="00BD434A" w:rsidRDefault="00000000">
      <w:pPr>
        <w:pStyle w:val="ListParagraph"/>
        <w:numPr>
          <w:ilvl w:val="0"/>
          <w:numId w:val="2"/>
        </w:numPr>
        <w:spacing w:after="80" w:line="264" w:lineRule="auto"/>
      </w:pPr>
      <w:proofErr w:type="spellStart"/>
      <w:r>
        <w:rPr>
          <w:rFonts w:ascii="Calibri" w:eastAsia="Calibri" w:hAnsi="Calibri" w:cs="Calibri"/>
          <w:b/>
          <w:bCs/>
          <w:sz w:val="21"/>
          <w:szCs w:val="21"/>
        </w:rPr>
        <w:t>IaC</w:t>
      </w:r>
      <w:proofErr w:type="spellEnd"/>
      <w:r>
        <w:rPr>
          <w:rFonts w:ascii="Calibri" w:eastAsia="Calibri" w:hAnsi="Calibri" w:cs="Calibri"/>
          <w:b/>
          <w:bCs/>
          <w:sz w:val="21"/>
          <w:szCs w:val="21"/>
        </w:rPr>
        <w:t xml:space="preserve"> structure: </w:t>
      </w:r>
      <w:r>
        <w:rPr>
          <w:rFonts w:ascii="Calibri" w:eastAsia="Calibri" w:hAnsi="Calibri" w:cs="Calibri"/>
          <w:sz w:val="21"/>
          <w:szCs w:val="21"/>
        </w:rPr>
        <w:t>Terraform modules for network (</w:t>
      </w:r>
      <w:proofErr w:type="spellStart"/>
      <w:r>
        <w:rPr>
          <w:rFonts w:ascii="Calibri" w:eastAsia="Calibri" w:hAnsi="Calibri" w:cs="Calibri"/>
          <w:sz w:val="21"/>
          <w:szCs w:val="21"/>
        </w:rPr>
        <w:t>VPCs</w:t>
      </w:r>
      <w:proofErr w:type="spellEnd"/>
      <w:r>
        <w:rPr>
          <w:rFonts w:ascii="Calibri" w:eastAsia="Calibri" w:hAnsi="Calibri" w:cs="Calibri"/>
          <w:sz w:val="21"/>
          <w:szCs w:val="21"/>
        </w:rPr>
        <w:t>, TGW, route tables), compute (ASG, launch template, ALB), and monitoring infrastructure; Ansible playbooks for Nginx, MySQL, and exporter configuration (REQ-NCA-P1-06).</w:t>
      </w:r>
    </w:p>
    <w:p w14:paraId="6A336DA6" w14:textId="388A9967" w:rsidR="00BD434A" w:rsidRDefault="00BD434A" w:rsidP="00F172A5">
      <w:pPr>
        <w:spacing w:after="80" w:line="264" w:lineRule="auto"/>
        <w:ind w:left="100"/>
      </w:pPr>
    </w:p>
    <w:sectPr w:rsidR="00BD434A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22B49B" w14:textId="77777777" w:rsidR="00634DE5" w:rsidRDefault="00634DE5">
      <w:r>
        <w:separator/>
      </w:r>
    </w:p>
  </w:endnote>
  <w:endnote w:type="continuationSeparator" w:id="0">
    <w:p w14:paraId="50609CF9" w14:textId="77777777" w:rsidR="00634DE5" w:rsidRDefault="00634D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644DCA" w14:textId="77777777" w:rsidR="00634DE5" w:rsidRDefault="00634DE5">
      <w:r>
        <w:separator/>
      </w:r>
    </w:p>
  </w:footnote>
  <w:footnote w:type="continuationSeparator" w:id="0">
    <w:p w14:paraId="70F3C26B" w14:textId="77777777" w:rsidR="00634DE5" w:rsidRDefault="00634DE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8E0C4A"/>
    <w:multiLevelType w:val="hybridMultilevel"/>
    <w:tmpl w:val="4462BA90"/>
    <w:lvl w:ilvl="0" w:tplc="C5CA4C3C">
      <w:start w:val="1"/>
      <w:numFmt w:val="bullet"/>
      <w:lvlText w:val="●"/>
      <w:lvlJc w:val="left"/>
      <w:pPr>
        <w:ind w:left="720" w:hanging="360"/>
      </w:pPr>
    </w:lvl>
    <w:lvl w:ilvl="1" w:tplc="2C422C34">
      <w:start w:val="1"/>
      <w:numFmt w:val="bullet"/>
      <w:lvlText w:val="○"/>
      <w:lvlJc w:val="left"/>
      <w:pPr>
        <w:ind w:left="1440" w:hanging="360"/>
      </w:pPr>
    </w:lvl>
    <w:lvl w:ilvl="2" w:tplc="1B90C22C">
      <w:start w:val="1"/>
      <w:numFmt w:val="bullet"/>
      <w:lvlText w:val="■"/>
      <w:lvlJc w:val="left"/>
      <w:pPr>
        <w:ind w:left="2160" w:hanging="360"/>
      </w:pPr>
    </w:lvl>
    <w:lvl w:ilvl="3" w:tplc="C4D6FB7C">
      <w:start w:val="1"/>
      <w:numFmt w:val="bullet"/>
      <w:lvlText w:val="●"/>
      <w:lvlJc w:val="left"/>
      <w:pPr>
        <w:ind w:left="2880" w:hanging="360"/>
      </w:pPr>
    </w:lvl>
    <w:lvl w:ilvl="4" w:tplc="70EC7DB6">
      <w:start w:val="1"/>
      <w:numFmt w:val="bullet"/>
      <w:lvlText w:val="○"/>
      <w:lvlJc w:val="left"/>
      <w:pPr>
        <w:ind w:left="3600" w:hanging="360"/>
      </w:pPr>
    </w:lvl>
    <w:lvl w:ilvl="5" w:tplc="4572AB22">
      <w:start w:val="1"/>
      <w:numFmt w:val="bullet"/>
      <w:lvlText w:val="■"/>
      <w:lvlJc w:val="left"/>
      <w:pPr>
        <w:ind w:left="4320" w:hanging="360"/>
      </w:pPr>
    </w:lvl>
    <w:lvl w:ilvl="6" w:tplc="C484A252">
      <w:start w:val="1"/>
      <w:numFmt w:val="bullet"/>
      <w:lvlText w:val="●"/>
      <w:lvlJc w:val="left"/>
      <w:pPr>
        <w:ind w:left="5040" w:hanging="360"/>
      </w:pPr>
    </w:lvl>
    <w:lvl w:ilvl="7" w:tplc="912A8030">
      <w:start w:val="1"/>
      <w:numFmt w:val="bullet"/>
      <w:lvlText w:val="●"/>
      <w:lvlJc w:val="left"/>
      <w:pPr>
        <w:ind w:left="5760" w:hanging="360"/>
      </w:pPr>
    </w:lvl>
    <w:lvl w:ilvl="8" w:tplc="45EA77F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7F35F86"/>
    <w:multiLevelType w:val="hybridMultilevel"/>
    <w:tmpl w:val="ACC8FF9C"/>
    <w:lvl w:ilvl="0" w:tplc="D0BA0058">
      <w:start w:val="1"/>
      <w:numFmt w:val="bullet"/>
      <w:lvlText w:val="•"/>
      <w:lvlJc w:val="left"/>
      <w:pPr>
        <w:ind w:left="360" w:hanging="260"/>
      </w:pPr>
    </w:lvl>
    <w:lvl w:ilvl="1" w:tplc="8DBE4D4A">
      <w:start w:val="1"/>
      <w:numFmt w:val="bullet"/>
      <w:lvlText w:val="–"/>
      <w:lvlJc w:val="left"/>
      <w:pPr>
        <w:ind w:left="720" w:hanging="260"/>
      </w:pPr>
    </w:lvl>
    <w:lvl w:ilvl="2" w:tplc="87CAFB7E">
      <w:numFmt w:val="decimal"/>
      <w:lvlText w:val=""/>
      <w:lvlJc w:val="left"/>
    </w:lvl>
    <w:lvl w:ilvl="3" w:tplc="D0BC5492">
      <w:numFmt w:val="decimal"/>
      <w:lvlText w:val=""/>
      <w:lvlJc w:val="left"/>
    </w:lvl>
    <w:lvl w:ilvl="4" w:tplc="F0CC5E26">
      <w:numFmt w:val="decimal"/>
      <w:lvlText w:val=""/>
      <w:lvlJc w:val="left"/>
    </w:lvl>
    <w:lvl w:ilvl="5" w:tplc="3E64040A">
      <w:numFmt w:val="decimal"/>
      <w:lvlText w:val=""/>
      <w:lvlJc w:val="left"/>
    </w:lvl>
    <w:lvl w:ilvl="6" w:tplc="3418DEB4">
      <w:numFmt w:val="decimal"/>
      <w:lvlText w:val=""/>
      <w:lvlJc w:val="left"/>
    </w:lvl>
    <w:lvl w:ilvl="7" w:tplc="452E4A76">
      <w:numFmt w:val="decimal"/>
      <w:lvlText w:val=""/>
      <w:lvlJc w:val="left"/>
    </w:lvl>
    <w:lvl w:ilvl="8" w:tplc="11543BA0">
      <w:numFmt w:val="decimal"/>
      <w:lvlText w:val=""/>
      <w:lvlJc w:val="left"/>
    </w:lvl>
  </w:abstractNum>
  <w:num w:numId="1" w16cid:durableId="479002787">
    <w:abstractNumId w:val="0"/>
    <w:lvlOverride w:ilvl="0">
      <w:startOverride w:val="1"/>
    </w:lvlOverride>
  </w:num>
  <w:num w:numId="2" w16cid:durableId="160592101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434A"/>
    <w:rsid w:val="00043DCF"/>
    <w:rsid w:val="000718E0"/>
    <w:rsid w:val="000B5C36"/>
    <w:rsid w:val="000D7456"/>
    <w:rsid w:val="001C423D"/>
    <w:rsid w:val="0021153D"/>
    <w:rsid w:val="00224D69"/>
    <w:rsid w:val="00294145"/>
    <w:rsid w:val="002A622B"/>
    <w:rsid w:val="00425225"/>
    <w:rsid w:val="005D3635"/>
    <w:rsid w:val="00634DE5"/>
    <w:rsid w:val="007B32EE"/>
    <w:rsid w:val="00806A07"/>
    <w:rsid w:val="0084044C"/>
    <w:rsid w:val="00850B46"/>
    <w:rsid w:val="009D0081"/>
    <w:rsid w:val="009E3B0A"/>
    <w:rsid w:val="00AA609E"/>
    <w:rsid w:val="00BD434A"/>
    <w:rsid w:val="00BF14A8"/>
    <w:rsid w:val="00C37913"/>
    <w:rsid w:val="00C5234B"/>
    <w:rsid w:val="00CE36FC"/>
    <w:rsid w:val="00CE7165"/>
    <w:rsid w:val="00D62ED2"/>
    <w:rsid w:val="00D73AB2"/>
    <w:rsid w:val="00E618B7"/>
    <w:rsid w:val="00F11877"/>
    <w:rsid w:val="00F172A5"/>
    <w:rsid w:val="00F7521A"/>
    <w:rsid w:val="00FB3E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48E615C"/>
  <w15:docId w15:val="{6AF0BD60-F0FB-43D2-BC6E-31EC30B246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NL" w:eastAsia="en-N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F7521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7521A"/>
  </w:style>
  <w:style w:type="paragraph" w:styleId="Footer">
    <w:name w:val="footer"/>
    <w:basedOn w:val="Normal"/>
    <w:link w:val="FooterChar"/>
    <w:uiPriority w:val="99"/>
    <w:unhideWhenUsed/>
    <w:rsid w:val="00F7521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7521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1163</Words>
  <Characters>6635</Characters>
  <Application>Microsoft Office Word</Application>
  <DocSecurity>0</DocSecurity>
  <Lines>55</Lines>
  <Paragraphs>15</Paragraphs>
  <ScaleCrop>false</ScaleCrop>
  <Company/>
  <LinksUpToDate>false</LinksUpToDate>
  <CharactersWithSpaces>7783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Popov,Spartak S.D.</cp:lastModifiedBy>
  <cp:revision>25</cp:revision>
  <dcterms:created xsi:type="dcterms:W3CDTF">2026-09-13T12:56:00Z</dcterms:created>
  <dcterms:modified xsi:type="dcterms:W3CDTF">2026-09-21T20:27:00Z</dcterms:modified>
</cp:coreProperties>
</file>