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⦁</w:t>
        <w:tab/>
        <w:t xml:space="preserve">Создайте класс BadHarmonicMean. Конструктор класса BadHarmonicMean принимает вещественное число — значение, которое привело к исключению, а методом Show выводит сообщение: "Harmonic mean exception" и значение, которое привело к исключению. Протестируйте программу на векторах: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float array1[2] = {0.0, 0.0};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float array2[2] = {1.5, -1.5};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float array3[2] = {2.3, 0.5};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⦁</w:t>
        <w:tab/>
        <w:t xml:space="preserve">Перепишите класс исключения BadHarmonicMean так, чтобы он наследовался от класса exception. Виртуальный метод what() должен выводить строку "Harmonic mean exception".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2466975" cy="42005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420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2447925" cy="1714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