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AD" w:rsidRDefault="00D748AD" w:rsidP="00D748AD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024C1A7" wp14:editId="4D261389">
            <wp:simplePos x="0" y="0"/>
            <wp:positionH relativeFrom="column">
              <wp:posOffset>177165</wp:posOffset>
            </wp:positionH>
            <wp:positionV relativeFrom="paragraph">
              <wp:posOffset>-328295</wp:posOffset>
            </wp:positionV>
            <wp:extent cx="627380" cy="866775"/>
            <wp:effectExtent l="0" t="0" r="1270" b="9525"/>
            <wp:wrapNone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8C84FF4" wp14:editId="47B00DAB">
            <wp:simplePos x="0" y="0"/>
            <wp:positionH relativeFrom="margin">
              <wp:align>right</wp:align>
            </wp:positionH>
            <wp:positionV relativeFrom="paragraph">
              <wp:posOffset>-185420</wp:posOffset>
            </wp:positionV>
            <wp:extent cx="847725" cy="593725"/>
            <wp:effectExtent l="0" t="0" r="9525" b="0"/>
            <wp:wrapNone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lang w:val="es-MX"/>
        </w:rPr>
        <w:t>INSTITUTO POLITÉCNICO NACIONAL</w:t>
      </w:r>
    </w:p>
    <w:p w:rsidR="00D748AD" w:rsidRDefault="00D748AD" w:rsidP="00D748AD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Escuela Superior de Cómputo 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Ing. en sistemas computacionales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Nombre: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Josue Macias Castillo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Profesora: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Luz María Sánchez García 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Grupo: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2CM1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Boleta: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2015301058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Materia: 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Teoría Computacional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Fecha de entrega:</w:t>
      </w:r>
    </w:p>
    <w:p w:rsidR="00D748AD" w:rsidRDefault="00D748AD" w:rsidP="00D748A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28</w:t>
      </w:r>
      <w:r>
        <w:rPr>
          <w:rFonts w:ascii="Arial" w:hAnsi="Arial" w:cs="Arial"/>
          <w:b/>
          <w:sz w:val="24"/>
          <w:lang w:val="es-MX"/>
        </w:rPr>
        <w:t xml:space="preserve"> </w:t>
      </w:r>
      <w:r>
        <w:rPr>
          <w:rFonts w:ascii="Arial" w:hAnsi="Arial" w:cs="Arial"/>
          <w:b/>
          <w:sz w:val="24"/>
          <w:lang w:val="es-MX"/>
        </w:rPr>
        <w:t>de abril</w:t>
      </w:r>
      <w:r>
        <w:rPr>
          <w:rFonts w:ascii="Arial" w:hAnsi="Arial" w:cs="Arial"/>
          <w:b/>
          <w:sz w:val="24"/>
          <w:lang w:val="es-MX"/>
        </w:rPr>
        <w:t xml:space="preserve"> del 2017</w:t>
      </w:r>
    </w:p>
    <w:p w:rsidR="000D3401" w:rsidRDefault="0024506B"/>
    <w:p w:rsidR="00D748AD" w:rsidRDefault="00D748AD"/>
    <w:p w:rsidR="00D748AD" w:rsidRDefault="00D748AD"/>
    <w:p w:rsidR="00D748AD" w:rsidRDefault="00D748AD"/>
    <w:p w:rsidR="00D748AD" w:rsidRDefault="00D748AD"/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Introducción:</w:t>
      </w:r>
    </w:p>
    <w:p w:rsidR="00D748AD" w:rsidRDefault="00D748AD" w:rsidP="00D748A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El propósito de este documento es reportar lo acontecido en la práctica 2 en la cual se le pide al usuario que ingrese</w:t>
      </w:r>
      <w:r>
        <w:rPr>
          <w:rFonts w:ascii="Arial" w:hAnsi="Arial" w:cs="Arial"/>
          <w:sz w:val="24"/>
        </w:rPr>
        <w:t xml:space="preserve"> cadenas de tipo binario que concuerden con la expresión GLC dada. </w:t>
      </w: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Planteamiento del problema:</w:t>
      </w:r>
    </w:p>
    <w:p w:rsidR="00D748AD" w:rsidRPr="00D748AD" w:rsidRDefault="00D748AD" w:rsidP="00D748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nos pide implementar en cualquier lenguaje de programación una solución que al ingresar una cadena esta se valida y se compare con la GLC dada previamente por el mismo programa, en este programa la cadena solo debe contener los valores 0 y 1, ya que no acepta cadenas con otros números o con letras.</w:t>
      </w: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Implementación de la solución: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Collections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Generic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Linq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Text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Threading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Tasks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Text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RegularExpressions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namespace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Practica_4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class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Program</w:t>
      </w:r>
      <w:proofErr w:type="spellEnd"/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//Variables globales para validar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const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valido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const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invalido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0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static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void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Main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[]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args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Declaracion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de variables a usar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n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m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opcion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= 0;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char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[]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caracteres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patron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"^([a-z]+|[2-9]+|[A-Z]+)$"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</w:t>
      </w:r>
      <w:proofErr w:type="spellStart"/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Expresion</w:t>
      </w:r>
      <w:proofErr w:type="spellEnd"/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 GLC"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Yellow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" S --&gt; </w:t>
      </w:r>
      <w:r w:rsidR="00E87C88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1|0|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11|00|1S1|0S0"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Gray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while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true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//Da color a las letras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Gray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//El programa pide una cadena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"Ingresa una cadena: 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DarkCyan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cadena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ReadLine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caracteres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new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char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Length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//Valida si la cadena es binaria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bool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validacion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Regex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IsMatch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patron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//En caso de ser falso hace la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operacion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para comprobar si es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palindromo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validacion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false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caracteres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ToCharArray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0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Length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verificar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0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caracteres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Length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valido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Green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"La cadena es </w:t>
      </w:r>
      <w:proofErr w:type="spellStart"/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valida</w:t>
      </w:r>
      <w:proofErr w:type="spellEnd"/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else</w:t>
      </w:r>
      <w:proofErr w:type="spellEnd"/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Red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"La cadena es invalida"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//En caso contrario muestra un mensaje de error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else</w:t>
      </w:r>
      <w:proofErr w:type="spellEnd"/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ForegroundColor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ConsoleColor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DarkRed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"La cadena debe ser binaria"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ReadKey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Funcion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que compara las letras de inicio a fin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static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verificar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pos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char</w:t>
      </w:r>
      <w:proofErr w:type="spellEnd"/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[]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palabra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D748AD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largo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//Primera condición, si la palabra en su posición 0 es igual a la ultima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palabra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pos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palabra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largo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-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pos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-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//Aquí solo nos indica que si las pos es menor que largo - pos entra e incrementa pos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//cuando llega al centro de la palabra, nos indica que es un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palindrome</w:t>
      </w:r>
      <w:proofErr w:type="spellEnd"/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pos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&lt;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largo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-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pos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return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verificar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(++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pos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palabra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largo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else</w:t>
      </w:r>
      <w:proofErr w:type="spellEnd"/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return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valido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//Si no entra al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if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en donde se </w:t>
      </w:r>
      <w:proofErr w:type="spellStart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comaparan</w:t>
      </w:r>
      <w:proofErr w:type="spellEnd"/>
      <w:r w:rsidRPr="00D748AD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los caracteres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D748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return</w:t>
      </w:r>
      <w:proofErr w:type="spellEnd"/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invalido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Pr="00D748AD" w:rsidRDefault="00D748AD" w:rsidP="00D748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D748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Funcionamiento:</w:t>
      </w:r>
    </w:p>
    <w:p w:rsidR="00D748AD" w:rsidRDefault="002A6CE0" w:rsidP="002A6C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pantalla al principio se nos muestra la expresión GLC que </w:t>
      </w:r>
      <w:r w:rsidR="00982564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definida por el mismo programa además de que se nos pide una cadena.</w:t>
      </w:r>
    </w:p>
    <w:p w:rsidR="00982564" w:rsidRDefault="00982564" w:rsidP="0098256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2912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64" w:rsidRDefault="00982564" w:rsidP="009825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le ingresamos la primera cadena que puede aceptar basándonos en la GLC</w:t>
      </w:r>
    </w:p>
    <w:p w:rsidR="00982564" w:rsidRDefault="00982564" w:rsidP="0098256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2931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ho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64" w:rsidRDefault="00982564" w:rsidP="009825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muestra que la cadena es válida, ahora probemos con más cadenas.</w:t>
      </w:r>
    </w:p>
    <w:p w:rsidR="00982564" w:rsidRDefault="00982564" w:rsidP="00982564">
      <w:pPr>
        <w:rPr>
          <w:rFonts w:ascii="Arial" w:hAnsi="Arial" w:cs="Arial"/>
          <w:sz w:val="24"/>
        </w:rPr>
      </w:pPr>
    </w:p>
    <w:p w:rsidR="00982564" w:rsidRDefault="00982564" w:rsidP="00982564">
      <w:pPr>
        <w:rPr>
          <w:rFonts w:ascii="Arial" w:hAnsi="Arial" w:cs="Arial"/>
          <w:sz w:val="24"/>
        </w:rPr>
      </w:pPr>
    </w:p>
    <w:p w:rsidR="00982564" w:rsidRDefault="00982564" w:rsidP="00982564">
      <w:pPr>
        <w:rPr>
          <w:rFonts w:ascii="Arial" w:hAnsi="Arial" w:cs="Arial"/>
          <w:sz w:val="24"/>
        </w:rPr>
      </w:pPr>
    </w:p>
    <w:p w:rsidR="00982564" w:rsidRDefault="00126E9A" w:rsidP="0098256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w:lastRenderedPageBreak/>
        <w:drawing>
          <wp:inline distT="0" distB="0" distL="0" distR="0">
            <wp:extent cx="5612130" cy="2978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59" w:rsidRDefault="00856B59" w:rsidP="009825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aprecia en la captura anterior la cadena</w:t>
      </w:r>
      <w:r w:rsidR="00126E9A">
        <w:rPr>
          <w:rFonts w:ascii="Arial" w:hAnsi="Arial" w:cs="Arial"/>
          <w:sz w:val="24"/>
        </w:rPr>
        <w:t xml:space="preserve"> probé</w:t>
      </w:r>
      <w:bookmarkStart w:id="0" w:name="_GoBack"/>
      <w:bookmarkEnd w:id="0"/>
      <w:r w:rsidR="00126E9A">
        <w:rPr>
          <w:rFonts w:ascii="Arial" w:hAnsi="Arial" w:cs="Arial"/>
          <w:sz w:val="24"/>
        </w:rPr>
        <w:t xml:space="preserve"> con varias cadenas que resultaron ser válidas y al parecer se muestran 2 cadenas invalidas </w:t>
      </w:r>
      <w:r>
        <w:rPr>
          <w:rFonts w:ascii="Arial" w:hAnsi="Arial" w:cs="Arial"/>
          <w:sz w:val="24"/>
        </w:rPr>
        <w:t>ya que no cumple</w:t>
      </w:r>
      <w:r w:rsidR="00126E9A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con la GLC.</w:t>
      </w:r>
    </w:p>
    <w:p w:rsidR="002A6CE0" w:rsidRPr="002A6CE0" w:rsidRDefault="002A6CE0" w:rsidP="002A6CE0">
      <w:pPr>
        <w:rPr>
          <w:rFonts w:ascii="Arial" w:hAnsi="Arial" w:cs="Arial"/>
          <w:sz w:val="24"/>
        </w:rPr>
      </w:pP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Conclusión:</w:t>
      </w:r>
    </w:p>
    <w:p w:rsidR="005956D5" w:rsidRPr="005956D5" w:rsidRDefault="005956D5" w:rsidP="005956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2A6CE0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</w:t>
      </w:r>
      <w:r w:rsidR="002A6CE0">
        <w:rPr>
          <w:rFonts w:ascii="Arial" w:hAnsi="Arial" w:cs="Arial"/>
          <w:sz w:val="24"/>
        </w:rPr>
        <w:t>comprendí</w:t>
      </w:r>
      <w:r>
        <w:rPr>
          <w:rFonts w:ascii="Arial" w:hAnsi="Arial" w:cs="Arial"/>
          <w:sz w:val="24"/>
        </w:rPr>
        <w:t xml:space="preserve"> mejor el uso de las GLC además de que retome las expresiones regulares que con anterioridad había visto para poder realizar esta </w:t>
      </w:r>
      <w:r w:rsidR="002A6CE0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>,</w:t>
      </w:r>
      <w:r w:rsidR="002A6CE0">
        <w:rPr>
          <w:rFonts w:ascii="Arial" w:hAnsi="Arial" w:cs="Arial"/>
          <w:sz w:val="24"/>
        </w:rPr>
        <w:t xml:space="preserve"> lo único que me falto implementar fue que el programa mostrara las transiciones en forma de árbol de cada </w:t>
      </w:r>
      <w:r w:rsidR="00982564">
        <w:rPr>
          <w:rFonts w:ascii="Arial" w:hAnsi="Arial" w:cs="Arial"/>
          <w:sz w:val="24"/>
        </w:rPr>
        <w:t>cadena,</w:t>
      </w:r>
      <w:r w:rsidR="002A6CE0">
        <w:rPr>
          <w:rFonts w:ascii="Arial" w:hAnsi="Arial" w:cs="Arial"/>
          <w:sz w:val="24"/>
        </w:rPr>
        <w:t xml:space="preserve"> pero con el tiempo mejorare esta </w:t>
      </w:r>
      <w:r w:rsidR="00982564">
        <w:rPr>
          <w:rFonts w:ascii="Arial" w:hAnsi="Arial" w:cs="Arial"/>
          <w:sz w:val="24"/>
        </w:rPr>
        <w:t>práctica,</w:t>
      </w:r>
      <w:r w:rsidR="002A6CE0">
        <w:rPr>
          <w:rFonts w:ascii="Arial" w:hAnsi="Arial" w:cs="Arial"/>
          <w:sz w:val="24"/>
        </w:rPr>
        <w:t xml:space="preserve"> aunque ya no se tenga que entregar.</w:t>
      </w:r>
      <w:r>
        <w:rPr>
          <w:rFonts w:ascii="Arial" w:hAnsi="Arial" w:cs="Arial"/>
          <w:sz w:val="24"/>
        </w:rPr>
        <w:t xml:space="preserve"> </w:t>
      </w:r>
    </w:p>
    <w:p w:rsidR="00D748AD" w:rsidRDefault="00D748AD" w:rsidP="00D748A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Bibliografía: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3270932"/>
        <w:docPartObj>
          <w:docPartGallery w:val="Bibliographies"/>
          <w:docPartUnique/>
        </w:docPartObj>
      </w:sdtPr>
      <w:sdtContent>
        <w:p w:rsidR="00D748AD" w:rsidRDefault="00D748AD" w:rsidP="00D748AD">
          <w:pPr>
            <w:pStyle w:val="Ttulo1"/>
          </w:pPr>
          <w:r>
            <w:t>Bibliografía</w:t>
          </w:r>
        </w:p>
        <w:sdt>
          <w:sdtPr>
            <w:id w:val="705989503"/>
            <w:bibliography/>
          </w:sdtPr>
          <w:sdtContent>
            <w:p w:rsidR="00D748AD" w:rsidRDefault="00D748AD" w:rsidP="00D748AD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Jeff Ferguson, B. P. (2003). </w:t>
              </w:r>
              <w:r>
                <w:rPr>
                  <w:i/>
                  <w:iCs/>
                  <w:noProof/>
                </w:rPr>
                <w:t>La biblia de C#.</w:t>
              </w:r>
              <w:r>
                <w:rPr>
                  <w:noProof/>
                </w:rPr>
                <w:t xml:space="preserve"> Madrid: Anaya Multimedia (Grupo Anaya. S.A.).</w:t>
              </w:r>
            </w:p>
            <w:p w:rsidR="00D748AD" w:rsidRDefault="00D748AD" w:rsidP="00D748AD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</w:rPr>
                <w:t xml:space="preserve">John E. Hopcroft, R. M. (2007). </w:t>
              </w:r>
              <w:r>
                <w:rPr>
                  <w:i/>
                  <w:iCs/>
                  <w:noProof/>
                </w:rPr>
                <w:t>Teoria de autómatas, lenguajes y computación.</w:t>
              </w:r>
              <w:r>
                <w:rPr>
                  <w:noProof/>
                </w:rPr>
                <w:t xml:space="preserve"> Madrid: PEARSON EDUCACION S.A.</w:t>
              </w:r>
            </w:p>
            <w:p w:rsidR="00D748AD" w:rsidRDefault="00D748AD" w:rsidP="00D748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748AD" w:rsidRPr="00D748AD" w:rsidRDefault="00D748AD" w:rsidP="00D748AD">
      <w:pPr>
        <w:jc w:val="center"/>
        <w:rPr>
          <w:rFonts w:ascii="Arial" w:hAnsi="Arial" w:cs="Arial"/>
          <w:b/>
          <w:sz w:val="32"/>
        </w:rPr>
      </w:pPr>
    </w:p>
    <w:sectPr w:rsidR="00D748AD" w:rsidRPr="00D748AD" w:rsidSect="00891E36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64"/>
    <w:rsid w:val="00126E9A"/>
    <w:rsid w:val="0024506B"/>
    <w:rsid w:val="00284141"/>
    <w:rsid w:val="002A6CE0"/>
    <w:rsid w:val="005956D5"/>
    <w:rsid w:val="00856B59"/>
    <w:rsid w:val="00891E36"/>
    <w:rsid w:val="00982564"/>
    <w:rsid w:val="00A31F64"/>
    <w:rsid w:val="00A861C3"/>
    <w:rsid w:val="00D748AD"/>
    <w:rsid w:val="00E87C88"/>
    <w:rsid w:val="00E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CC38"/>
  <w15:chartTrackingRefBased/>
  <w15:docId w15:val="{2D038444-F328-4473-95C6-2A2CCCF1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8A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7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8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D748AD"/>
  </w:style>
  <w:style w:type="character" w:customStyle="1" w:styleId="sc51">
    <w:name w:val="sc51"/>
    <w:basedOn w:val="Fuentedeprrafopredeter"/>
    <w:rsid w:val="00D748A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D748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D748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D748A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D748A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Fuentedeprrafopredeter"/>
    <w:rsid w:val="00D748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D748A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D748A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Joh07</b:Tag>
    <b:SourceType>Book</b:SourceType>
    <b:Guid>{2A390C8A-9F5E-4704-8E25-CFA4E30397DA}</b:Guid>
    <b:Author>
      <b:Author>
        <b:NameList>
          <b:Person>
            <b:Last>John E. Hopcroft</b:Last>
            <b:First>Rajeev</b:First>
            <b:Middle>Motwani y Jeffrey D. Ullman</b:Middle>
          </b:Person>
        </b:NameList>
      </b:Author>
    </b:Author>
    <b:Title>Teoria de autómatas, lenguajes y computación</b:Title>
    <b:Year>2007</b:Year>
    <b:City>Madrid</b:City>
    <b:Publisher>PEARSON EDUCACION S.A.</b:Publisher>
    <b:LCID>es-MX</b:LCID>
    <b:RefOrder>2</b:RefOrder>
  </b:Source>
  <b:Source>
    <b:Tag>Jef03</b:Tag>
    <b:SourceType>Book</b:SourceType>
    <b:Guid>{893B929B-1705-4354-9E91-687FDDD2D4FC}</b:Guid>
    <b:Author>
      <b:Author>
        <b:NameList>
          <b:Person>
            <b:Last>Jeff Ferguson</b:Last>
            <b:First>Brian</b:First>
            <b:Middle>Patterson, Jason Beres, Pierre Boutquin y Meeta Gupta</b:Middle>
          </b:Person>
        </b:NameList>
      </b:Author>
    </b:Author>
    <b:Title>La biblia de C#</b:Title>
    <b:Year>2003</b:Year>
    <b:City>Madrid</b:City>
    <b:Publisher>Anaya Multimedia (Grupo Anaya. S.A.)</b:Publisher>
    <b:RefOrder>1</b:RefOrder>
  </b:Source>
</b:Sources>
</file>

<file path=customXml/itemProps1.xml><?xml version="1.0" encoding="utf-8"?>
<ds:datastoreItem xmlns:ds="http://schemas.openxmlformats.org/officeDocument/2006/customXml" ds:itemID="{7F1E5047-05F2-4599-A3C9-DD15829F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594</Words>
  <Characters>3411</Characters>
  <Application>Microsoft Office Word</Application>
  <DocSecurity>0</DocSecurity>
  <Lines>160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9</cp:revision>
  <cp:lastPrinted>2017-04-27T00:34:00Z</cp:lastPrinted>
  <dcterms:created xsi:type="dcterms:W3CDTF">2017-04-26T23:44:00Z</dcterms:created>
  <dcterms:modified xsi:type="dcterms:W3CDTF">2017-04-27T00:34:00Z</dcterms:modified>
</cp:coreProperties>
</file>