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Arial" w:hAnsi="Arial" w:eastAsia="Arial" w:cs="Arial"/>
        </w:rPr>
        <w:t>Deep Cognition and Action Plan</w:t>
      </w:r>
    </w:p>
    <w:p>
      <w:pPr>
        <w:spacing w:before="0" w:after="400" w:line="300" w:lineRule="auto"/>
        <w:jc w:val="center"/>
      </w:pPr>
      <w:r>
        <w:rPr>
          <w:rFonts w:ascii="Arial" w:hAnsi="Arial" w:eastAsia="Arial" w:cs="Arial"/>
        </w:rPr>
        <w:t>Completed Example | How to Learn AI Systematically</w:t>
      </w:r>
    </w:p>
    <w:p>
      <w:pPr>
        <w:spacing w:before="0" w:after="360" w:line="300" w:lineRule="auto"/>
        <w:jc w:val="center"/>
      </w:pPr>
      <w:r>
        <w:rPr>
          <w:rFonts w:ascii="Arial" w:hAnsi="Arial" w:eastAsia="Arial" w:cs="Arial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User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[Enter name or team]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Topic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[Enter the issue to be explored]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Date generated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[Auto-generated or enter manually]</w:t>
            </w:r>
          </w:p>
        </w:tc>
      </w:tr>
    </w:tbl>
    <w:p>
      <w:r>
        <w:rPr>
          <w:rFonts w:ascii="微软雅黑" w:hAnsi="微软雅黑" w:eastAsia="微软雅黑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BF0E7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rial" w:hAnsi="Arial" w:eastAsia="Arial" w:cs="Arial"/>
              </w:rPr>
              <w:t>Example note</w:t>
              <w:br/>
              <w:t>This file demonstrates what a completed template may look like. It is an illustrative cognitive analysis, not a completed real-time research review. Information about courses, platforms, and current technologies should be verified through authoritative sources available at the time of use.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1. Current Issue and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r>
              <w:rPr>
                <w:rFonts w:ascii="Arial" w:hAnsi="Arial" w:eastAsia="Arial" w:cs="Arial"/>
              </w:rPr>
              <w:t>Current issue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The user wants to learn artificial intelligence systematically but is overwhelmed by information and unsure what to learn first.</w:t>
            </w:r>
          </w:p>
        </w:tc>
      </w:tr>
      <w:tr>
        <w:trPr>
          <w:cantSplit/>
        </w:trP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r>
              <w:rPr>
                <w:rFonts w:ascii="Arial" w:hAnsi="Arial" w:eastAsia="Arial" w:cs="Arial"/>
              </w:rPr>
              <w:t>Real-world context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The user frequently uses conversational AI, WorkBuddy, and content-generation tools at work and wants to improve the ability to solve real problems.</w:t>
            </w:r>
          </w:p>
        </w:tc>
      </w:tr>
      <w:tr>
        <w:trPr>
          <w:cantSplit/>
        </w:trP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r>
              <w:rPr>
                <w:rFonts w:ascii="Arial" w:hAnsi="Arial" w:eastAsia="Arial" w:cs="Arial"/>
              </w:rPr>
              <w:t>Current foundation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Can use AI for writing, information organization, and simple plans, but lacks a systematic understanding of large language models, workflows, agents, data, and evaluation.</w:t>
            </w:r>
          </w:p>
        </w:tc>
      </w:tr>
      <w:tr>
        <w:trPr>
          <w:cantSplit/>
        </w:trP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r>
              <w:rPr>
                <w:rFonts w:ascii="Arial" w:hAnsi="Arial" w:eastAsia="Arial" w:cs="Arial"/>
              </w:rPr>
              <w:t>Core uncertainties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Whether to learn tools, theory, or programming first; how to judge real progress; and how to avoid chasing constantly changing products.</w:t>
            </w:r>
          </w:p>
        </w:tc>
      </w:tr>
      <w:tr>
        <w:trPr>
          <w:cantSplit/>
        </w:trP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r>
              <w:rPr>
                <w:rFonts w:ascii="Arial" w:hAnsi="Arial" w:eastAsia="Arial" w:cs="Arial"/>
              </w:rPr>
              <w:t>Existing experience and resources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Has authentic work, teaching, or project experience; can use AI consistently; and can obtain feedback through small projects.</w:t>
            </w:r>
          </w:p>
        </w:tc>
      </w:tr>
      <w:tr>
        <w:trPr>
          <w:cantSplit/>
        </w:trP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r>
              <w:rPr>
                <w:rFonts w:ascii="Arial" w:hAnsi="Arial" w:eastAsia="Arial" w:cs="Arial"/>
              </w:rPr>
              <w:t>Desired result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Develop a clear capability map, a three-month learning roadmap, and a project that can demonstrate learning outcomes.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Arial" w:cs="Arial"/>
        </w:rPr>
        <w:t>2. Cognitive Quadrant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592"/>
            <w:vAlign w:val="top"/>
            <w:shd w:fill="EAF2F8"/>
            <w:tcBorders>
              <w:top w:val="single" w:sz="6" w:color="315B7D"/>
              <w:left w:val="single" w:sz="6" w:color="315B7D"/>
              <w:bottom w:val="single" w:sz="6" w:color="315B7D"/>
              <w:right w:val="single" w:sz="6" w:color="315B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rial" w:hAnsi="Arial" w:eastAsia="Arial" w:cs="Arial"/>
              </w:rPr>
              <w:t>Known Knowns | Express</w:t>
              <w:br/>
              <w:t>Already uses conversational AI to complete common tasks.</w:t>
              <w:br/>
              <w:t>Knows that generative AI can produce text, images, and plans.</w:t>
              <w:br/>
              <w:t>Already has authentic work or learning contexts.</w:t>
            </w:r>
          </w:p>
        </w:tc>
        <w:tc>
          <w:tcPr>
            <w:tcW w:type="dxa" w:w="4592"/>
            <w:vAlign w:val="top"/>
            <w:shd w:fill="EDF6F0"/>
            <w:tcBorders>
              <w:top w:val="single" w:sz="6" w:color="3E7C59"/>
              <w:left w:val="single" w:sz="6" w:color="3E7C59"/>
              <w:bottom w:val="single" w:sz="6" w:color="3E7C59"/>
              <w:right w:val="single" w:sz="6" w:color="3E7C59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rial" w:hAnsi="Arial" w:eastAsia="Arial" w:cs="Arial"/>
              </w:rPr>
              <w:t>Known Unknowns | Ask</w:t>
              <w:br/>
              <w:t>What should the core knowledge structure include?</w:t>
              <w:br/>
              <w:t>Should the priority be applications, technology, or domain integration?</w:t>
              <w:br/>
              <w:t>How can the user tell whether they are genuinely building capability rather than only chatting with AI?</w:t>
            </w:r>
          </w:p>
        </w:tc>
      </w:tr>
      <w:tr>
        <w:trPr>
          <w:cantSplit/>
        </w:trPr>
        <w:tc>
          <w:tcPr>
            <w:tcW w:type="dxa" w:w="4592"/>
            <w:vAlign w:val="top"/>
            <w:shd w:fill="FBF0E7"/>
            <w:tcBorders>
              <w:top w:val="single" w:sz="6" w:color="B66A2C"/>
              <w:left w:val="single" w:sz="6" w:color="B66A2C"/>
              <w:bottom w:val="single" w:sz="6" w:color="B66A2C"/>
              <w:right w:val="single" w:sz="6" w:color="B66A2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rial" w:hAnsi="Arial" w:eastAsia="Arial" w:cs="Arial"/>
              </w:rPr>
              <w:t>Unknown Knowns | Iterate</w:t>
              <w:br/>
              <w:t>Prior professional experience is itself an advantage in applying AI.</w:t>
              <w:br/>
              <w:t>Authentic tasks can be converted directly into learning projects.</w:t>
              <w:br/>
              <w:t>The user already has a foundation for asking questions, evaluating results, and improving solutions.</w:t>
            </w:r>
          </w:p>
        </w:tc>
        <w:tc>
          <w:tcPr>
            <w:tcW w:type="dxa" w:w="4592"/>
            <w:vAlign w:val="top"/>
            <w:shd w:fill="F3EDF7"/>
            <w:tcBorders>
              <w:top w:val="single" w:sz="6" w:color="6A4C7D"/>
              <w:left w:val="single" w:sz="6" w:color="6A4C7D"/>
              <w:bottom w:val="single" w:sz="6" w:color="6A4C7D"/>
              <w:right w:val="single" w:sz="6" w:color="6A4C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rial" w:hAnsi="Arial" w:eastAsia="Arial" w:cs="Arial"/>
              </w:rPr>
              <w:t>Unknown Unknowns | Explore</w:t>
              <w:br/>
              <w:t>AI literacy includes judgment, ethics, and evaluation, not only tool operation.</w:t>
              <w:br/>
              <w:t>Workflows and agents may offer more lasting value than chasing individual tools.</w:t>
              <w:br/>
              <w:t>Domain knowledge combined with human-AI collaboration may create a new personal advantage.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3. Most Important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02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Key question</w:t>
            </w:r>
          </w:p>
        </w:tc>
        <w:tc>
          <w:tcPr>
            <w:tcW w:type="dxa" w:w="272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204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Suggested way to answer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1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Which authentic capability should AI help improve most over the next three months?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This defines the learning scope and avoids starting every technology at once.</w:t>
            </w:r>
          </w:p>
        </w:tc>
        <w:tc>
          <w:tcPr>
            <w:tcW w:type="dxa" w:w="204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Choose one primary scenario from authentic work tasks.</w:t>
            </w:r>
          </w:p>
        </w:tc>
      </w:tr>
      <w:tr>
        <w:trPr>
          <w:cantSplit/>
        </w:trPr>
        <w:tc>
          <w:tcPr>
            <w:tcW w:type="dxa" w:w="102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2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Which area is weakest: conceptual understanding, tool use, workflow design, or result evaluation?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This determines the learning sequence.</w:t>
            </w:r>
          </w:p>
        </w:tc>
        <w:tc>
          <w:tcPr>
            <w:tcW w:type="dxa" w:w="204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Use one authentic task as a capability self-assessment.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3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Is programming actually necessary, and to what level?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This avoids equating “learning AI” with first completing a full computer-science curriculum.</w:t>
            </w:r>
          </w:p>
        </w:tc>
        <w:tc>
          <w:tcPr>
            <w:tcW w:type="dxa" w:w="204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Decide whether APIs or code are needed based on the target project.</w:t>
            </w:r>
          </w:p>
        </w:tc>
      </w:tr>
      <w:tr>
        <w:trPr>
          <w:cantSplit/>
        </w:trPr>
        <w:tc>
          <w:tcPr>
            <w:tcW w:type="dxa" w:w="102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4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How can progress be demonstrated through work products and results?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Without feedback criteria, it is easy to keep collecting courses without building capability.</w:t>
            </w:r>
          </w:p>
        </w:tc>
        <w:tc>
          <w:tcPr>
            <w:tcW w:type="dxa" w:w="204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Create comparable before-and-after work samples and efficiency indicators.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4. Directions for Expanding Knowledge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Candidate theory / concept</w:t>
            </w:r>
          </w:p>
        </w:tc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What it may explain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How it connects to the inquiry</w:t>
            </w:r>
          </w:p>
        </w:tc>
        <w:tc>
          <w:tcPr>
            <w:tcW w:type="dxa" w:w="124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Current status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AI literacy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Understanding, using, evaluating, and responsibly applying AI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Build a learning goal broader than tool operation alone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Candidate concept; verify before formal use</w:t>
            </w:r>
          </w:p>
        </w:tc>
      </w:tr>
      <w:tr>
        <w:trPr>
          <w:cantSplit/>
        </w:trPr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Project-based learning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Integrating knowledge and skills through authentic projects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Use real outputs rather than course counts as evidence of learning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Suitable as a learning approach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Deliberate practice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Repeated, feedback-rich practice focused on weak areas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Design focused weekly practice rather than unstructured use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Must be tied to a specific task</w:t>
            </w:r>
          </w:p>
        </w:tc>
      </w:tr>
      <w:tr>
        <w:trPr>
          <w:cantSplit/>
        </w:trPr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T-shaped capability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Depth in one field combined with cross-domain collaboration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Professional experience can combine with AI capability to create an advantage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Candidate explanatory framework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Information evaluation capability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Assessing sources, evidence, bias, and applicability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Avoid treating model output as fact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Requires continuous practice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5. From Initial to Updated Understanding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00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Initial understanding</w:t>
            </w:r>
          </w:p>
        </w:tc>
        <w:tc>
          <w:tcPr>
            <w:tcW w:type="dxa" w:w="311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New information discovered</w:t>
            </w:r>
          </w:p>
        </w:tc>
        <w:tc>
          <w:tcPr>
            <w:tcW w:type="dxa" w:w="30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Updated understanding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Learning AI means learning as many tools as possible.</w:t>
            </w:r>
          </w:p>
        </w:tc>
        <w:tc>
          <w:tcPr>
            <w:tcW w:type="dxa" w:w="311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Tools change quickly; the more durable capabilities are problem definition, workflow design, and result evaluation.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Use transferable capabilities as the main thread and tools as practice vehicles.</w:t>
            </w:r>
          </w:p>
        </w:tc>
      </w:tr>
      <w:tr>
        <w:trPr>
          <w:cantSplit/>
        </w:trPr>
        <w:tc>
          <w:tcPr>
            <w:tcW w:type="dxa" w:w="300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Programming must be learned first before entering the AI field.</w:t>
            </w:r>
          </w:p>
        </w:tc>
        <w:tc>
          <w:tcPr>
            <w:tcW w:type="dxa" w:w="311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Different goals require different technical depth. Applied users can begin with workflows and authentic projects.</w:t>
            </w:r>
          </w:p>
        </w:tc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Clarify the goal first, then decide whether to learn APIs, Python, or model fundamentals.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Completing many courses means the subject has been mastered.</w:t>
            </w:r>
          </w:p>
        </w:tc>
        <w:tc>
          <w:tcPr>
            <w:tcW w:type="dxa" w:w="311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Without authentic output and feedback, it is difficult to know whether knowledge has become capability.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Demonstrate progress through project outputs, quality, efficiency, and reflection.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Arial" w:cs="Arial"/>
        </w:rPr>
        <w:t>6. Candidate Learning Directions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Innovation direction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Novel contribution</w:t>
            </w:r>
          </w:p>
        </w:tc>
        <w:tc>
          <w:tcPr>
            <w:tcW w:type="dxa" w:w="272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Potential research question</w:t>
            </w:r>
          </w:p>
        </w:tc>
        <w:tc>
          <w:tcPr>
            <w:tcW w:type="dxa" w:w="158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Validation path</w:t>
            </w:r>
          </w:p>
        </w:tc>
        <w:tc>
          <w:tcPr>
            <w:tcW w:type="dxa" w:w="6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Risk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Applied AI capability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Build systematic capability in problem definition, prompt design, quality evaluation, and workflows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How can a repetitive task be converted into a reliable AI workflow?</w:t>
            </w:r>
          </w:p>
        </w:tc>
        <w:tc>
          <w:tcPr>
            <w:tcW w:type="dxa" w:w="158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Complete three authentic tasks and compare before-and-after results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May remain at the tool-use level</w:t>
            </w:r>
          </w:p>
        </w:tc>
      </w:tr>
      <w:tr>
        <w:trPr>
          <w:cantSplit/>
        </w:trP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AI-domain integration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Combine domain judgment, professional standards, and AI collaboration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At which stages does AI strengthen professional judgment, and which stages must remain human-led?</w:t>
            </w:r>
          </w:p>
        </w:tc>
        <w:tc>
          <w:tcPr>
            <w:tcW w:type="dxa" w:w="158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Complete a domain project and invite peer evaluation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Requires continued accumulation of cases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Introduction to agents and automation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Understand tool use, memory, permissions, human-in-the-loop control, and evaluation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How can AI complete multi-step tasks while remaining controllable?</w:t>
            </w:r>
          </w:p>
        </w:tc>
        <w:tc>
          <w:tcPr>
            <w:tcW w:type="dxa" w:w="158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Build a small agent or workflow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Technology changes rapidly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7. Recommended Learning Pathways</w:t>
      </w:r>
    </w:p>
    <w:p>
      <w:pPr>
        <w:spacing w:before="0" w:after="120" w:line="300" w:lineRule="auto"/>
      </w:pPr>
      <w:r>
        <w:rPr>
          <w:rFonts w:ascii="Arial" w:hAnsi="Arial" w:eastAsia="Arial" w:cs="Arial"/>
        </w:rPr>
        <w:t>1. Applied pathway: AI tools + prompt design + workflow building + authentic projects</w:t>
      </w:r>
    </w:p>
    <w:p>
      <w:pPr>
        <w:spacing w:before="0" w:after="120" w:line="300" w:lineRule="auto"/>
      </w:pPr>
      <w:r>
        <w:rPr>
          <w:rFonts w:ascii="Arial" w:hAnsi="Arial" w:eastAsia="Arial" w:cs="Arial"/>
        </w:rPr>
        <w:t>2. Education pathway: AI literacy + curriculum design + learning assessment + teaching agents</w:t>
      </w:r>
    </w:p>
    <w:p>
      <w:pPr>
        <w:spacing w:before="0" w:after="120" w:line="300" w:lineRule="auto"/>
      </w:pPr>
      <w:r>
        <w:rPr>
          <w:rFonts w:ascii="Arial" w:hAnsi="Arial" w:eastAsia="Arial" w:cs="Arial"/>
        </w:rPr>
        <w:t>3. Technical pathway: LLM fundamentals + data basics + introductory APIs and agent development</w:t>
      </w:r>
    </w:p>
    <w:p>
      <w:pPr>
        <w:pStyle w:val="Heading1"/>
        <w:pageBreakBefore/>
      </w:pPr>
      <w:r>
        <w:rPr>
          <w:rFonts w:ascii="Arial" w:hAnsi="Arial" w:eastAsia="Arial" w:cs="Arial"/>
        </w:rPr>
        <w:t>8. Next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85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Sequence</w:t>
            </w:r>
          </w:p>
        </w:tc>
        <w:tc>
          <w:tcPr>
            <w:tcW w:type="dxa" w:w="5896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3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Completion indicator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1</w:t>
            </w:r>
          </w:p>
        </w:tc>
        <w:tc>
          <w:tcPr>
            <w:tcW w:type="dxa" w:w="589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Set one three-month primary goal, such as “redesign an authentic workflow with AI.”</w:t>
            </w:r>
          </w:p>
        </w:tc>
        <w:tc>
          <w:tcPr>
            <w:tcW w:type="dxa" w:w="243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Write the goal, task, and output criteria.</w:t>
            </w:r>
          </w:p>
        </w:tc>
      </w:tr>
      <w:tr>
        <w:trPr>
          <w:cantSplit/>
        </w:trPr>
        <w:tc>
          <w:tcPr>
            <w:tcW w:type="dxa" w:w="85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2</w:t>
            </w:r>
          </w:p>
        </w:tc>
        <w:tc>
          <w:tcPr>
            <w:tcW w:type="dxa" w:w="5896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Run a capability baseline test with one authentic task and record time, quality, and difficulties.</w:t>
            </w:r>
          </w:p>
        </w:tc>
        <w:tc>
          <w:tcPr>
            <w:tcW w:type="dxa" w:w="243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Create a baseline record.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3</w:t>
            </w:r>
          </w:p>
        </w:tc>
        <w:tc>
          <w:tcPr>
            <w:tcW w:type="dxa" w:w="589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Learn through “concept - example - practice - reflection,” focusing on one capability each week.</w:t>
            </w:r>
          </w:p>
        </w:tc>
        <w:tc>
          <w:tcPr>
            <w:tcW w:type="dxa" w:w="243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Complete four consecutive weeks of learning records.</w:t>
            </w:r>
          </w:p>
        </w:tc>
      </w:tr>
      <w:tr>
        <w:trPr>
          <w:cantSplit/>
        </w:trPr>
        <w:tc>
          <w:tcPr>
            <w:tcW w:type="dxa" w:w="85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4</w:t>
            </w:r>
          </w:p>
        </w:tc>
        <w:tc>
          <w:tcPr>
            <w:tcW w:type="dxa" w:w="5896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Complete a demonstrable mini-project instead of only collecting courses.</w:t>
            </w:r>
          </w:p>
        </w:tc>
        <w:tc>
          <w:tcPr>
            <w:tcW w:type="dxa" w:w="243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Produce a working process, artifact, or case.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5</w:t>
            </w:r>
          </w:p>
        </w:tc>
        <w:tc>
          <w:tcPr>
            <w:tcW w:type="dxa" w:w="589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Update the cognitive quadrant monthly to decide whether to continue, adjust, or deepen technical study.</w:t>
            </w:r>
          </w:p>
        </w:tc>
        <w:tc>
          <w:tcPr>
            <w:tcW w:type="dxa" w:w="243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Create three cognitive-update records.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9. Notes on Search and Evidence in This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3EDF7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rial" w:hAnsi="Arial" w:eastAsia="Arial" w:cs="Arial"/>
              </w:rPr>
              <w:t>Current status</w:t>
              <w:br/>
              <w:t>This example demonstrates the report structure. AI literacy, project-based learning, deliberate practice, and T-shaped capability are candidate concepts for expanding understanding. In a formal output, the Skill should research currently accessible official, academic, and industry sources based on the user’s goal and verify current tools, courses, and technical facts.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Arial" w:hAnsi="Arial" w:eastAsia="Arial" w:cs="Arial"/>
        <w:b w:val="0"/>
        <w:color w:val="6B7280"/>
        <w:sz w:val="17"/>
      </w:rPr>
      <w:t>Cognitive Quadrant · Thinking &amp; Exploration Assistant | Template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Arial" w:hAnsi="Arial" w:eastAsia="Arial" w:cs="Arial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