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line="300" w:lineRule="auto"/>
        <w:jc w:val="center"/>
      </w:pPr>
      <w:r>
        <w:rPr>
          <w:rFonts w:ascii="Noto Serif CJK SC" w:hAnsi="Noto Serif CJK SC" w:eastAsia="Noto Serif CJK SC"/>
          <w:b/>
          <w:color w:val="315B7D"/>
          <w:sz w:val="46"/>
        </w:rPr>
        <w:t>教师科研认知拓展与创新分析报告</w:t>
      </w:r>
    </w:p>
    <w:p>
      <w:pPr>
        <w:spacing w:before="0" w:after="400" w:line="300" w:lineRule="auto"/>
        <w:jc w:val="center"/>
      </w:pPr>
      <w:r>
        <w:rPr>
          <w:rFonts w:ascii="Noto Sans CJK SC" w:hAnsi="Noto Sans CJK SC" w:eastAsia="Noto Sans CJK SC"/>
          <w:b w:val="0"/>
          <w:color w:val="6B7280"/>
          <w:sz w:val="24"/>
        </w:rPr>
        <w:t>填写示例｜生成式AI辅助高职酒店管理教学</w:t>
      </w:r>
    </w:p>
    <w:p>
      <w:pPr>
        <w:spacing w:before="0" w:after="360" w:line="300" w:lineRule="auto"/>
        <w:jc w:val="center"/>
      </w:pPr>
      <w:r>
        <w:rPr>
          <w:rFonts w:ascii="Noto Sans CJK SC" w:hAnsi="Noto Sans CJK SC" w:eastAsia="Noto Sans CJK SC"/>
          <w:b/>
          <w:color w:val="3E7C59"/>
          <w:sz w:val="23"/>
        </w:rPr>
        <w:t>Express  ·  Ask  ·  Iterate  ·  Explore</w:t>
      </w:r>
    </w:p>
    <w:tbl>
      <w:tblPr>
        <w:tblW w:type="auto" w:w="0"/>
        <w:jc w:val="center"/>
        <w:tblLayout w:type="fixed"/>
        <w:tblLook w:firstColumn="1" w:firstRow="1" w:lastColumn="0" w:lastRow="0" w:noHBand="0" w:noVBand="1" w:val="04A0"/>
      </w:tblPr>
      <w:tblGrid>
        <w:gridCol w:w="4873"/>
        <w:gridCol w:w="4873"/>
      </w:tblGrid>
      <w:t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Noto Sans CJK SC" w:hAnsi="Noto Sans CJK SC" w:eastAsia="Noto Sans CJK SC"/>
                <w:b/>
                <w:color w:val="315B7D"/>
                <w:sz w:val="20"/>
              </w:rPr>
              <w:t>使用者</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Noto Sans CJK SC" w:hAnsi="Noto Sans CJK SC" w:eastAsia="Noto Sans CJK SC"/>
                <w:b w:val="0"/>
                <w:color w:val="6B7280"/>
                <w:sz w:val="20"/>
              </w:rPr>
              <w:t>【填写姓名或团队】</w:t>
            </w:r>
          </w:p>
        </w:tc>
      </w:tr>
      <w:t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Noto Sans CJK SC" w:hAnsi="Noto Sans CJK SC" w:eastAsia="Noto Sans CJK SC"/>
                <w:b/>
                <w:color w:val="315B7D"/>
                <w:sz w:val="20"/>
              </w:rPr>
              <w:t>任务主题</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Noto Sans CJK SC" w:hAnsi="Noto Sans CJK SC" w:eastAsia="Noto Sans CJK SC"/>
                <w:b w:val="0"/>
                <w:color w:val="6B7280"/>
                <w:sz w:val="20"/>
              </w:rPr>
              <w:t>【填写本次需要梳理的问题】</w:t>
            </w:r>
          </w:p>
        </w:tc>
      </w:tr>
      <w:t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Noto Sans CJK SC" w:hAnsi="Noto Sans CJK SC" w:eastAsia="Noto Sans CJK SC"/>
                <w:b/>
                <w:color w:val="315B7D"/>
                <w:sz w:val="20"/>
              </w:rPr>
              <w:t>生成日期</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Noto Sans CJK SC" w:hAnsi="Noto Sans CJK SC" w:eastAsia="Noto Sans CJK SC"/>
                <w:b w:val="0"/>
                <w:color w:val="6B7280"/>
                <w:sz w:val="20"/>
              </w:rPr>
              <w:t>【自动生成或填写】</w:t>
            </w:r>
          </w:p>
        </w:tc>
      </w:tr>
    </w:tbl>
    <w:p>
      <w:r>
        <w:br w:type="page"/>
      </w:r>
    </w:p>
    <w:tbl>
      <w:tblPr>
        <w:tblW w:type="auto" w:w="0"/>
        <w:jc w:val="center"/>
        <w:tblLook w:firstColumn="1" w:firstRow="1" w:lastColumn="0" w:lastRow="0" w:noHBand="0" w:noVBand="1" w:val="04A0"/>
      </w:tblPr>
      <w:tblGrid>
        <w:gridCol w:w="9746"/>
      </w:tblGrid>
      <w:tr>
        <w:tc>
          <w:tcPr>
            <w:tcW w:type="dxa" w:w="9746"/>
            <w:shd w:fill="FBF0E7"/>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Noto Sans CJK SC" w:hAnsi="Noto Sans CJK SC" w:eastAsia="Noto Sans CJK SC"/>
                <w:b/>
                <w:color w:val="B66A2C"/>
                <w:sz w:val="22"/>
              </w:rPr>
              <w:t>示例说明</w:t>
            </w:r>
          </w:p>
          <w:p>
            <w:pPr>
              <w:spacing w:before="0" w:after="0" w:line="300" w:lineRule="auto"/>
            </w:pPr>
            <w:r>
              <w:rPr>
                <w:rFonts w:ascii="Noto Sans CJK SC" w:hAnsi="Noto Sans CJK SC" w:eastAsia="Noto Sans CJK SC"/>
                <w:b w:val="0"/>
                <w:color w:val="263238"/>
                <w:sz w:val="20"/>
              </w:rPr>
              <w:t>本文件用于展示模板填充后的大致效果。内容是演示版认知分析，不等同于已经完成正式文献检索和课题论证。涉及理论与研究进展的内容，正式使用时应通过国内可达学术资源进一步核验。</w:t>
            </w:r>
          </w:p>
        </w:tc>
      </w:tr>
    </w:tbl>
    <w:p/>
    <w:p>
      <w:pPr>
        <w:pStyle w:val="Heading1"/>
      </w:pPr>
      <w:r>
        <w:rPr>
          <w:rFonts w:ascii="Noto Sans CJK SC" w:hAnsi="Noto Sans CJK SC" w:eastAsia="Noto Sans CJK SC"/>
          <w:b/>
          <w:color w:val="315B7D"/>
          <w:sz w:val="32"/>
        </w:rPr>
        <w:t>一、  研究议题与现实背景</w:t>
      </w:r>
    </w:p>
    <w:tbl>
      <w:tblPr>
        <w:tblW w:type="auto" w:w="0"/>
        <w:jc w:val="center"/>
        <w:tblLayout w:type="fixed"/>
        <w:tblLook w:firstColumn="1" w:firstRow="1" w:lastColumn="0" w:lastRow="0" w:noHBand="0" w:noVBand="1" w:val="04A0"/>
      </w:tblPr>
      <w:tblGrid>
        <w:gridCol w:w="4873"/>
        <w:gridCol w:w="4873"/>
      </w:tblGrid>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暂定研究主题</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生成式人工智能支持高职酒店管理学生完成数字化营销岗位任务的教学研究</w:t>
            </w:r>
          </w:p>
        </w:tc>
      </w:tr>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具体教学场景</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《酒店数字化营销》课程中，学生使用生成式AI完成酒店账号定位、营销文案、短视频脚本和运营复盘。</w:t>
            </w:r>
          </w:p>
        </w:tc>
      </w:tr>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研究对象</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高职酒店管理与数字化运营专业学生及课程教师。</w:t>
            </w:r>
          </w:p>
        </w:tc>
      </w:tr>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现实问题</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学生能够快速生成作品，但作品质量、专业判断、修改过程和真实能力之间的关系尚不清楚。</w:t>
            </w:r>
          </w:p>
        </w:tc>
      </w:tr>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已有实践基础</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教师已有课程大纲、课堂任务、学生作品、教师反馈记录和平台操作案例。</w:t>
            </w:r>
          </w:p>
        </w:tc>
      </w:tr>
      <w:tr>
        <w:tc>
          <w:tcPr>
            <w:tcW w:type="dxa" w:w="2268"/>
            <w:tcMar>
              <w:top w:w="130" w:type="dxa"/>
              <w:start w:w="140" w:type="dxa"/>
              <w:bottom w:w="130" w:type="dxa"/>
              <w:end w:w="140" w:type="dxa"/>
            </w:tcMar>
            <w:tcBorders>
              <w:top w:val="single" w:sz="3" w:color="C9D2D9"/>
              <w:left w:val="single" w:sz="3" w:color="C9D2D9"/>
              <w:bottom w:val="single" w:sz="3" w:color="C9D2D9"/>
              <w:right w:val="single" w:sz="3" w:color="C9D2D9"/>
            </w:tcBorders>
            <w:shd w:fill="EAF2F8"/>
          </w:tcPr>
          <w:p>
            <w:pPr>
              <w:spacing w:before="0" w:after="0" w:line="300" w:lineRule="auto"/>
            </w:pPr>
            <w:r>
              <w:rPr>
                <w:rFonts w:ascii="Noto Sans CJK SC" w:hAnsi="Noto Sans CJK SC" w:eastAsia="Noto Sans CJK SC"/>
                <w:b/>
                <w:color w:val="315B7D"/>
                <w:sz w:val="19"/>
              </w:rPr>
              <w:t>希望形成成果</w:t>
            </w:r>
          </w:p>
        </w:tc>
        <w:tc>
          <w:tcPr>
            <w:tcW w:type="dxa" w:w="6917"/>
            <w:tcMar>
              <w:top w:w="130" w:type="dxa"/>
              <w:start w:w="140" w:type="dxa"/>
              <w:bottom w:w="130" w:type="dxa"/>
              <w:end w:w="14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9"/>
              </w:rPr>
              <w:t>课题选题、研究问题、分析框架和可实施的研究方案。</w:t>
            </w:r>
          </w:p>
        </w:tc>
      </w:tr>
    </w:tbl>
    <w:p/>
    <w:p>
      <w:pPr>
        <w:pStyle w:val="Heading1"/>
      </w:pPr>
      <w:r>
        <w:rPr>
          <w:rFonts w:ascii="Noto Sans CJK SC" w:hAnsi="Noto Sans CJK SC" w:eastAsia="Noto Sans CJK SC"/>
          <w:b/>
          <w:color w:val="315B7D"/>
          <w:sz w:val="32"/>
        </w:rPr>
        <w:t>二、  认知四象限</w:t>
      </w:r>
    </w:p>
    <w:tbl>
      <w:tblPr>
        <w:tblW w:type="auto" w:w="0"/>
        <w:jc w:val="center"/>
        <w:tblLayout w:type="fixed"/>
        <w:tblLook w:firstColumn="1" w:firstRow="1" w:lastColumn="0" w:lastRow="0" w:noHBand="0" w:noVBand="1" w:val="04A0"/>
      </w:tblPr>
      <w:tblGrid>
        <w:gridCol w:w="4873"/>
        <w:gridCol w:w="4873"/>
      </w:tblGrid>
      <w:tr>
        <w:tc>
          <w:tcPr>
            <w:tcW w:type="dxa" w:w="4592"/>
            <w:vAlign w:val="top"/>
            <w:shd w:fill="EAF2F8"/>
            <w:tcBorders>
              <w:top w:val="single" w:sz="6" w:color="315B7D"/>
              <w:left w:val="single" w:sz="6" w:color="315B7D"/>
              <w:bottom w:val="single" w:sz="6" w:color="315B7D"/>
              <w:right w:val="single" w:sz="6" w:color="315B7D"/>
            </w:tcBorders>
            <w:tcMar>
              <w:top w:w="180" w:type="dxa"/>
              <w:start w:w="200" w:type="dxa"/>
              <w:bottom w:w="180" w:type="dxa"/>
              <w:end w:w="200" w:type="dxa"/>
            </w:tcMar>
          </w:tcPr>
          <w:p>
            <w:pPr>
              <w:keepNext/>
              <w:spacing w:before="0" w:after="80" w:line="300" w:lineRule="auto"/>
            </w:pPr>
            <w:r>
              <w:rPr>
                <w:rFonts w:ascii="Noto Sans CJK SC" w:hAnsi="Noto Sans CJK SC" w:eastAsia="Noto Sans CJK SC"/>
                <w:b/>
                <w:color w:val="315B7D"/>
                <w:sz w:val="23"/>
              </w:rPr>
              <w:t>已知的已知｜Express</w:t>
            </w:r>
          </w:p>
          <w:p>
            <w:pPr>
              <w:spacing w:before="0" w:after="120" w:line="300" w:lineRule="auto"/>
            </w:pPr>
            <w:r>
              <w:rPr>
                <w:rFonts w:ascii="Noto Sans CJK SC" w:hAnsi="Noto Sans CJK SC" w:eastAsia="Noto Sans CJK SC"/>
                <w:b w:val="0"/>
                <w:color w:val="6B7280"/>
                <w:sz w:val="18"/>
              </w:rPr>
              <w:t>把已有事实、经验、判断和资源说清楚。</w:t>
            </w:r>
          </w:p>
          <w:p>
            <w:pPr>
              <w:pStyle w:val="ListBullet"/>
              <w:spacing w:before="0" w:after="40" w:line="300" w:lineRule="auto"/>
            </w:pPr>
            <w:r>
              <w:rPr>
                <w:rFonts w:ascii="Noto Sans CJK SC" w:hAnsi="Noto Sans CJK SC" w:eastAsia="Noto Sans CJK SC"/>
                <w:b w:val="0"/>
                <w:color w:val="263238"/>
                <w:sz w:val="19"/>
              </w:rPr>
              <w:t>已开展AI辅助酒店营销文案教学。</w:t>
            </w:r>
          </w:p>
          <w:p>
            <w:pPr>
              <w:pStyle w:val="ListBullet"/>
              <w:spacing w:before="0" w:after="40" w:line="300" w:lineRule="auto"/>
            </w:pPr>
            <w:r>
              <w:rPr>
                <w:rFonts w:ascii="Noto Sans CJK SC" w:hAnsi="Noto Sans CJK SC" w:eastAsia="Noto Sans CJK SC"/>
                <w:b w:val="0"/>
                <w:color w:val="263238"/>
                <w:sz w:val="19"/>
              </w:rPr>
              <w:t>拥有学生作品与课堂观察。</w:t>
            </w:r>
          </w:p>
          <w:p>
            <w:pPr>
              <w:pStyle w:val="ListBullet"/>
              <w:spacing w:before="0" w:after="40" w:line="300" w:lineRule="auto"/>
            </w:pPr>
            <w:r>
              <w:rPr>
                <w:rFonts w:ascii="Noto Sans CJK SC" w:hAnsi="Noto Sans CJK SC" w:eastAsia="Noto Sans CJK SC"/>
                <w:b w:val="0"/>
                <w:color w:val="263238"/>
                <w:sz w:val="19"/>
              </w:rPr>
              <w:t>研究对象为高职酒店管理学生。</w:t>
            </w:r>
          </w:p>
        </w:tc>
        <w:tc>
          <w:tcPr>
            <w:tcW w:type="dxa" w:w="4592"/>
            <w:vAlign w:val="top"/>
            <w:shd w:fill="EDF6F0"/>
            <w:tcBorders>
              <w:top w:val="single" w:sz="6" w:color="3E7C59"/>
              <w:left w:val="single" w:sz="6" w:color="3E7C59"/>
              <w:bottom w:val="single" w:sz="6" w:color="3E7C59"/>
              <w:right w:val="single" w:sz="6" w:color="3E7C59"/>
            </w:tcBorders>
            <w:tcMar>
              <w:top w:w="180" w:type="dxa"/>
              <w:start w:w="200" w:type="dxa"/>
              <w:bottom w:w="180" w:type="dxa"/>
              <w:end w:w="200" w:type="dxa"/>
            </w:tcMar>
          </w:tcPr>
          <w:p>
            <w:pPr>
              <w:keepNext/>
              <w:spacing w:before="0" w:after="80" w:line="300" w:lineRule="auto"/>
            </w:pPr>
            <w:r>
              <w:rPr>
                <w:rFonts w:ascii="Noto Sans CJK SC" w:hAnsi="Noto Sans CJK SC" w:eastAsia="Noto Sans CJK SC"/>
                <w:b/>
                <w:color w:val="3E7C59"/>
                <w:sz w:val="23"/>
              </w:rPr>
              <w:t>已知的未知｜Ask</w:t>
            </w:r>
          </w:p>
          <w:p>
            <w:pPr>
              <w:spacing w:before="0" w:after="120" w:line="300" w:lineRule="auto"/>
            </w:pPr>
            <w:r>
              <w:rPr>
                <w:rFonts w:ascii="Noto Sans CJK SC" w:hAnsi="Noto Sans CJK SC" w:eastAsia="Noto Sans CJK SC"/>
                <w:b w:val="0"/>
                <w:color w:val="6B7280"/>
                <w:sz w:val="18"/>
              </w:rPr>
              <w:t>把模糊困惑转化为能够回答、检索或验证的问题。</w:t>
            </w:r>
          </w:p>
          <w:p>
            <w:pPr>
              <w:pStyle w:val="ListBullet"/>
              <w:spacing w:before="0" w:after="40" w:line="300" w:lineRule="auto"/>
            </w:pPr>
            <w:r>
              <w:rPr>
                <w:rFonts w:ascii="Noto Sans CJK SC" w:hAnsi="Noto Sans CJK SC" w:eastAsia="Noto Sans CJK SC"/>
                <w:b w:val="0"/>
                <w:color w:val="263238"/>
                <w:sz w:val="19"/>
              </w:rPr>
              <w:t>AI提升的是效率还是职业能力？</w:t>
            </w:r>
          </w:p>
          <w:p>
            <w:pPr>
              <w:pStyle w:val="ListBullet"/>
              <w:spacing w:before="0" w:after="40" w:line="300" w:lineRule="auto"/>
            </w:pPr>
            <w:r>
              <w:rPr>
                <w:rFonts w:ascii="Noto Sans CJK SC" w:hAnsi="Noto Sans CJK SC" w:eastAsia="Noto Sans CJK SC"/>
                <w:b w:val="0"/>
                <w:color w:val="263238"/>
                <w:sz w:val="19"/>
              </w:rPr>
              <w:t>如何评价学生的人机协同过程？</w:t>
            </w:r>
          </w:p>
          <w:p>
            <w:pPr>
              <w:pStyle w:val="ListBullet"/>
              <w:spacing w:before="0" w:after="40" w:line="300" w:lineRule="auto"/>
            </w:pPr>
            <w:r>
              <w:rPr>
                <w:rFonts w:ascii="Noto Sans CJK SC" w:hAnsi="Noto Sans CJK SC" w:eastAsia="Noto Sans CJK SC"/>
                <w:b w:val="0"/>
                <w:color w:val="263238"/>
                <w:sz w:val="19"/>
              </w:rPr>
              <w:t>需要哪些理论和数据支持？</w:t>
            </w:r>
          </w:p>
        </w:tc>
      </w:tr>
      <w:tr>
        <w:tc>
          <w:tcPr>
            <w:tcW w:type="dxa" w:w="4592"/>
            <w:vAlign w:val="top"/>
            <w:shd w:fill="FBF0E7"/>
            <w:tcBorders>
              <w:top w:val="single" w:sz="6" w:color="B66A2C"/>
              <w:left w:val="single" w:sz="6" w:color="B66A2C"/>
              <w:bottom w:val="single" w:sz="6" w:color="B66A2C"/>
              <w:right w:val="single" w:sz="6" w:color="B66A2C"/>
            </w:tcBorders>
            <w:tcMar>
              <w:top w:w="180" w:type="dxa"/>
              <w:start w:w="200" w:type="dxa"/>
              <w:bottom w:w="180" w:type="dxa"/>
              <w:end w:w="200" w:type="dxa"/>
            </w:tcMar>
          </w:tcPr>
          <w:p>
            <w:pPr>
              <w:keepNext/>
              <w:spacing w:before="0" w:after="80" w:line="300" w:lineRule="auto"/>
            </w:pPr>
            <w:r>
              <w:rPr>
                <w:rFonts w:ascii="Noto Sans CJK SC" w:hAnsi="Noto Sans CJK SC" w:eastAsia="Noto Sans CJK SC"/>
                <w:b/>
                <w:color w:val="B66A2C"/>
                <w:sz w:val="23"/>
              </w:rPr>
              <w:t>未知的已知｜Iterate</w:t>
            </w:r>
          </w:p>
          <w:p>
            <w:pPr>
              <w:spacing w:before="0" w:after="120" w:line="300" w:lineRule="auto"/>
            </w:pPr>
            <w:r>
              <w:rPr>
                <w:rFonts w:ascii="Noto Sans CJK SC" w:hAnsi="Noto Sans CJK SC" w:eastAsia="Noto Sans CJK SC"/>
                <w:b w:val="0"/>
                <w:color w:val="6B7280"/>
                <w:sz w:val="18"/>
              </w:rPr>
              <w:t>发现被忽略的经验、隐含假设、矛盾和可重新利用的材料。</w:t>
            </w:r>
          </w:p>
          <w:p>
            <w:pPr>
              <w:pStyle w:val="ListBullet"/>
              <w:spacing w:before="0" w:after="40" w:line="300" w:lineRule="auto"/>
            </w:pPr>
            <w:r>
              <w:rPr>
                <w:rFonts w:ascii="Noto Sans CJK SC" w:hAnsi="Noto Sans CJK SC" w:eastAsia="Noto Sans CJK SC"/>
                <w:b w:val="0"/>
                <w:color w:val="263238"/>
                <w:sz w:val="19"/>
              </w:rPr>
              <w:t>学生多轮修改记录可作为过程证据。</w:t>
            </w:r>
          </w:p>
          <w:p>
            <w:pPr>
              <w:pStyle w:val="ListBullet"/>
              <w:spacing w:before="0" w:after="40" w:line="300" w:lineRule="auto"/>
            </w:pPr>
            <w:r>
              <w:rPr>
                <w:rFonts w:ascii="Noto Sans CJK SC" w:hAnsi="Noto Sans CJK SC" w:eastAsia="Noto Sans CJK SC"/>
                <w:b w:val="0"/>
                <w:color w:val="263238"/>
                <w:sz w:val="19"/>
              </w:rPr>
              <w:t>教师反馈方式可能是关键变量。</w:t>
            </w:r>
          </w:p>
          <w:p>
            <w:pPr>
              <w:pStyle w:val="ListBullet"/>
              <w:spacing w:before="0" w:after="40" w:line="300" w:lineRule="auto"/>
            </w:pPr>
            <w:r>
              <w:rPr>
                <w:rFonts w:ascii="Noto Sans CJK SC" w:hAnsi="Noto Sans CJK SC" w:eastAsia="Noto Sans CJK SC"/>
                <w:b w:val="0"/>
                <w:color w:val="263238"/>
                <w:sz w:val="19"/>
              </w:rPr>
              <w:t>企业评价标准尚未被利用。</w:t>
            </w:r>
          </w:p>
        </w:tc>
        <w:tc>
          <w:tcPr>
            <w:tcW w:type="dxa" w:w="4592"/>
            <w:vAlign w:val="top"/>
            <w:shd w:fill="F3EDF7"/>
            <w:tcBorders>
              <w:top w:val="single" w:sz="6" w:color="6A4C7D"/>
              <w:left w:val="single" w:sz="6" w:color="6A4C7D"/>
              <w:bottom w:val="single" w:sz="6" w:color="6A4C7D"/>
              <w:right w:val="single" w:sz="6" w:color="6A4C7D"/>
            </w:tcBorders>
            <w:tcMar>
              <w:top w:w="180" w:type="dxa"/>
              <w:start w:w="200" w:type="dxa"/>
              <w:bottom w:w="180" w:type="dxa"/>
              <w:end w:w="200" w:type="dxa"/>
            </w:tcMar>
          </w:tcPr>
          <w:p>
            <w:pPr>
              <w:keepNext/>
              <w:spacing w:before="0" w:after="80" w:line="300" w:lineRule="auto"/>
            </w:pPr>
            <w:r>
              <w:rPr>
                <w:rFonts w:ascii="Noto Sans CJK SC" w:hAnsi="Noto Sans CJK SC" w:eastAsia="Noto Sans CJK SC"/>
                <w:b/>
                <w:color w:val="6A4C7D"/>
                <w:sz w:val="23"/>
              </w:rPr>
              <w:t>未知的未知｜Explore</w:t>
            </w:r>
          </w:p>
          <w:p>
            <w:pPr>
              <w:spacing w:before="0" w:after="120" w:line="300" w:lineRule="auto"/>
            </w:pPr>
            <w:r>
              <w:rPr>
                <w:rFonts w:ascii="Noto Sans CJK SC" w:hAnsi="Noto Sans CJK SC" w:eastAsia="Noto Sans CJK SC"/>
                <w:b w:val="0"/>
                <w:color w:val="6B7280"/>
                <w:sz w:val="18"/>
              </w:rPr>
              <w:t>通过外部理论、跨领域知识和新证据发现新的问题与可能性。</w:t>
            </w:r>
          </w:p>
          <w:p>
            <w:pPr>
              <w:pStyle w:val="ListBullet"/>
              <w:spacing w:before="0" w:after="40" w:line="300" w:lineRule="auto"/>
            </w:pPr>
            <w:r>
              <w:rPr>
                <w:rFonts w:ascii="Noto Sans CJK SC" w:hAnsi="Noto Sans CJK SC" w:eastAsia="Noto Sans CJK SC"/>
                <w:b w:val="0"/>
                <w:color w:val="263238"/>
                <w:sz w:val="19"/>
              </w:rPr>
              <w:t>探索AI反馈素养、任务真实性与专业判断的关系。</w:t>
            </w:r>
          </w:p>
          <w:p>
            <w:pPr>
              <w:pStyle w:val="ListBullet"/>
              <w:spacing w:before="0" w:after="40" w:line="300" w:lineRule="auto"/>
            </w:pPr>
            <w:r>
              <w:rPr>
                <w:rFonts w:ascii="Noto Sans CJK SC" w:hAnsi="Noto Sans CJK SC" w:eastAsia="Noto Sans CJK SC"/>
                <w:b w:val="0"/>
                <w:color w:val="263238"/>
                <w:sz w:val="19"/>
              </w:rPr>
              <w:t>研究不同能力学生的分化效应。</w:t>
            </w:r>
          </w:p>
          <w:p>
            <w:pPr>
              <w:pStyle w:val="ListBullet"/>
              <w:spacing w:before="0" w:after="40" w:line="300" w:lineRule="auto"/>
            </w:pPr>
            <w:r>
              <w:rPr>
                <w:rFonts w:ascii="Noto Sans CJK SC" w:hAnsi="Noto Sans CJK SC" w:eastAsia="Noto Sans CJK SC"/>
                <w:b w:val="0"/>
                <w:color w:val="263238"/>
                <w:sz w:val="19"/>
              </w:rPr>
              <w:t>构建岗位任务驱动的人机协同学习机制。</w:t>
            </w:r>
          </w:p>
        </w:tc>
      </w:tr>
    </w:tbl>
    <w:p/>
    <w:p>
      <w:pPr>
        <w:pStyle w:val="Heading1"/>
      </w:pPr>
      <w:r>
        <w:rPr>
          <w:rFonts w:ascii="Noto Sans CJK SC" w:hAnsi="Noto Sans CJK SC" w:eastAsia="Noto Sans CJK SC"/>
          <w:b/>
          <w:color w:val="315B7D"/>
          <w:sz w:val="32"/>
        </w:rPr>
        <w:t>三、  本轮最关键的问题</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02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优先级</w:t>
            </w:r>
          </w:p>
        </w:tc>
        <w:tc>
          <w:tcPr>
            <w:tcW w:type="dxa" w:w="3402"/>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关键问题</w:t>
            </w:r>
          </w:p>
        </w:tc>
        <w:tc>
          <w:tcPr>
            <w:tcW w:type="dxa" w:w="272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为什么重要</w:t>
            </w:r>
          </w:p>
        </w:tc>
        <w:tc>
          <w:tcPr>
            <w:tcW w:type="dxa" w:w="204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建议回答方式</w:t>
            </w:r>
          </w:p>
        </w:tc>
      </w:tr>
      <w:t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1</w:t>
            </w:r>
          </w:p>
        </w:tc>
        <w:tc>
          <w:tcPr>
            <w:tcW w:type="dxa" w:w="340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学生使用AI后真正提升的能力是什么？</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决定研究不能只比较作品分数。</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分析过程记录、作品版本和岗位评价。</w:t>
            </w:r>
          </w:p>
        </w:tc>
      </w:tr>
      <w:t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2</w:t>
            </w:r>
          </w:p>
        </w:tc>
        <w:tc>
          <w:tcPr>
            <w:tcW w:type="dxa" w:w="340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教师支架在什么环节发挥作用？</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AI效果可能依赖任务设计和教师反馈。</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课堂观察、访谈和教学流程分析。</w:t>
            </w:r>
          </w:p>
        </w:tc>
      </w:tr>
      <w:t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3</w:t>
            </w:r>
          </w:p>
        </w:tc>
        <w:tc>
          <w:tcPr>
            <w:tcW w:type="dxa" w:w="340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如何评价人机协同而不是单纯评价AI作品？</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关系到评价指标和研究创新。</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构建过程、判断、修改和结果证据链。</w:t>
            </w:r>
          </w:p>
        </w:tc>
      </w:tr>
      <w:t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4</w:t>
            </w:r>
          </w:p>
        </w:tc>
        <w:tc>
          <w:tcPr>
            <w:tcW w:type="dxa" w:w="340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哪些学生可能受益或出现依赖？</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有助于发现边界条件和差异效应。</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按基础能力或AI素养进行案例比较。</w:t>
            </w:r>
          </w:p>
        </w:tc>
      </w:tr>
    </w:tbl>
    <w:p/>
    <w:p>
      <w:pPr>
        <w:pStyle w:val="Heading1"/>
      </w:pPr>
      <w:r>
        <w:rPr>
          <w:rFonts w:ascii="Noto Sans CJK SC" w:hAnsi="Noto Sans CJK SC" w:eastAsia="Noto Sans CJK SC"/>
          <w:b/>
          <w:color w:val="315B7D"/>
          <w:sz w:val="32"/>
        </w:rPr>
        <w:t>四、  外部知识拓展方向</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2154"/>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候选理论/概念</w:t>
            </w:r>
          </w:p>
        </w:tc>
        <w:tc>
          <w:tcPr>
            <w:tcW w:type="dxa" w:w="238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可解释的内容</w:t>
            </w:r>
          </w:p>
        </w:tc>
        <w:tc>
          <w:tcPr>
            <w:tcW w:type="dxa" w:w="3402"/>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与本研究的连接方式</w:t>
            </w:r>
          </w:p>
        </w:tc>
        <w:tc>
          <w:tcPr>
            <w:tcW w:type="dxa" w:w="124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当前状态</w:t>
            </w:r>
          </w:p>
        </w:tc>
      </w:tr>
      <w:tr>
        <w:tc>
          <w:tcPr>
            <w:tcW w:type="dxa" w:w="215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人机协同学习</w:t>
            </w:r>
          </w:p>
        </w:tc>
        <w:tc>
          <w:tcPr>
            <w:tcW w:type="dxa" w:w="238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学生、教师与AI如何共同完成复杂任务</w:t>
            </w:r>
          </w:p>
        </w:tc>
        <w:tc>
          <w:tcPr>
            <w:tcW w:type="dxa" w:w="340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解释角色分工、判断权与协同过程</w:t>
            </w:r>
          </w:p>
        </w:tc>
        <w:tc>
          <w:tcPr>
            <w:tcW w:type="dxa" w:w="124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待系统检索</w:t>
            </w:r>
          </w:p>
        </w:tc>
      </w:tr>
      <w:tr>
        <w:tc>
          <w:tcPr>
            <w:tcW w:type="dxa" w:w="2154"/>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认知学徒制</w:t>
            </w:r>
          </w:p>
        </w:tc>
        <w:tc>
          <w:tcPr>
            <w:tcW w:type="dxa" w:w="238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示范、支架、练习、反思与能力形成</w:t>
            </w:r>
          </w:p>
        </w:tc>
        <w:tc>
          <w:tcPr>
            <w:tcW w:type="dxa" w:w="340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用于设计教师如何逐步撤除AI和教师支架</w:t>
            </w:r>
          </w:p>
        </w:tc>
        <w:tc>
          <w:tcPr>
            <w:tcW w:type="dxa" w:w="124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待核验适配性</w:t>
            </w:r>
          </w:p>
        </w:tc>
      </w:tr>
      <w:tr>
        <w:tc>
          <w:tcPr>
            <w:tcW w:type="dxa" w:w="215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自我调节学习</w:t>
            </w:r>
          </w:p>
        </w:tc>
        <w:tc>
          <w:tcPr>
            <w:tcW w:type="dxa" w:w="238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目标、策略、监控和反思</w:t>
            </w:r>
          </w:p>
        </w:tc>
        <w:tc>
          <w:tcPr>
            <w:tcW w:type="dxa" w:w="340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解释学生是否主动检查与修改AI输出</w:t>
            </w:r>
          </w:p>
        </w:tc>
        <w:tc>
          <w:tcPr>
            <w:tcW w:type="dxa" w:w="124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可作为变量</w:t>
            </w:r>
          </w:p>
        </w:tc>
      </w:tr>
      <w:tr>
        <w:tc>
          <w:tcPr>
            <w:tcW w:type="dxa" w:w="2154"/>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反馈素养</w:t>
            </w:r>
          </w:p>
        </w:tc>
        <w:tc>
          <w:tcPr>
            <w:tcW w:type="dxa" w:w="238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理解、判断并使用反馈的能力</w:t>
            </w:r>
          </w:p>
        </w:tc>
        <w:tc>
          <w:tcPr>
            <w:tcW w:type="dxa" w:w="340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研究学生如何处理AI反馈和教师反馈</w:t>
            </w:r>
          </w:p>
        </w:tc>
        <w:tc>
          <w:tcPr>
            <w:tcW w:type="dxa" w:w="124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值得重点探索</w:t>
            </w:r>
          </w:p>
        </w:tc>
      </w:tr>
      <w:tr>
        <w:tc>
          <w:tcPr>
            <w:tcW w:type="dxa" w:w="215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真实性评价</w:t>
            </w:r>
          </w:p>
        </w:tc>
        <w:tc>
          <w:tcPr>
            <w:tcW w:type="dxa" w:w="238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在接近职业情境的任务中评价能力</w:t>
            </w:r>
          </w:p>
        </w:tc>
        <w:tc>
          <w:tcPr>
            <w:tcW w:type="dxa" w:w="340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将企业岗位标准嵌入作品与过程评价</w:t>
            </w:r>
          </w:p>
        </w:tc>
        <w:tc>
          <w:tcPr>
            <w:tcW w:type="dxa" w:w="124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实践基础较强</w:t>
            </w:r>
          </w:p>
        </w:tc>
      </w:tr>
    </w:tbl>
    <w:p/>
    <w:p>
      <w:pPr>
        <w:pStyle w:val="Heading1"/>
      </w:pPr>
      <w:r>
        <w:rPr>
          <w:rFonts w:ascii="Noto Sans CJK SC" w:hAnsi="Noto Sans CJK SC" w:eastAsia="Noto Sans CJK SC"/>
          <w:b/>
          <w:color w:val="315B7D"/>
          <w:sz w:val="32"/>
        </w:rPr>
        <w:t>五、  原认知—新认知迭代</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005"/>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原有认知</w:t>
            </w:r>
          </w:p>
        </w:tc>
        <w:tc>
          <w:tcPr>
            <w:tcW w:type="dxa" w:w="311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发现的新信息</w:t>
            </w:r>
          </w:p>
        </w:tc>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迭代后的认知</w:t>
            </w:r>
          </w:p>
        </w:tc>
      </w:tr>
      <w:tr>
        <w:tc>
          <w:tcPr>
            <w:tcW w:type="dxa" w:w="300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AI能够提高学生营销文案质量。</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最终作品质量可能掩盖学生是否真正理解目标客群、品牌定位和内容逻辑。</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研究重点应同时观察生成结果、修改过程和专业判断。</w:t>
            </w:r>
          </w:p>
        </w:tc>
      </w:tr>
      <w:tr>
        <w:tc>
          <w:tcPr>
            <w:tcW w:type="dxa" w:w="300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只要教会学生写提示词，就能提升AI使用效果。</w:t>
            </w:r>
          </w:p>
        </w:tc>
        <w:tc>
          <w:tcPr>
            <w:tcW w:type="dxa" w:w="311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任务理解、评价标准、反馈使用和反思可能同样关键。</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提示词能力只是人机协同能力的一部分。</w:t>
            </w:r>
          </w:p>
        </w:tc>
      </w:tr>
      <w:tr>
        <w:tc>
          <w:tcPr>
            <w:tcW w:type="dxa" w:w="300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比较使用AI和不使用AI的成绩即可证明效果。</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不同学生、任务和教师支架可能产生明显差异。</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需要研究作用机制、适用对象和边界条件。</w:t>
            </w:r>
          </w:p>
        </w:tc>
      </w:tr>
    </w:tbl>
    <w:p/>
    <w:p>
      <w:pPr>
        <w:pStyle w:val="Heading1"/>
      </w:pPr>
      <w:r>
        <w:rPr>
          <w:rFonts w:ascii="Noto Sans CJK SC" w:hAnsi="Noto Sans CJK SC" w:eastAsia="Noto Sans CJK SC"/>
          <w:b/>
          <w:color w:val="315B7D"/>
          <w:sz w:val="32"/>
        </w:rPr>
        <w:t>六、  创新方向候选</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1984"/>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创新方向</w:t>
            </w:r>
          </w:p>
        </w:tc>
        <w:tc>
          <w:tcPr>
            <w:tcW w:type="dxa" w:w="226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创新点</w:t>
            </w:r>
          </w:p>
        </w:tc>
        <w:tc>
          <w:tcPr>
            <w:tcW w:type="dxa" w:w="272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可形成的研究问题</w:t>
            </w:r>
          </w:p>
        </w:tc>
        <w:tc>
          <w:tcPr>
            <w:tcW w:type="dxa" w:w="158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验证路径</w:t>
            </w:r>
          </w:p>
        </w:tc>
        <w:tc>
          <w:tcPr>
            <w:tcW w:type="dxa" w:w="624"/>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风险</w:t>
            </w:r>
          </w:p>
        </w:tc>
      </w:tr>
      <w:tr>
        <w:tc>
          <w:tcPr>
            <w:tcW w:type="dxa" w:w="198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岗位任务驱动的人机协同学习机制</w:t>
            </w:r>
          </w:p>
        </w:tc>
        <w:tc>
          <w:tcPr>
            <w:tcW w:type="dxa" w:w="226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把AI使用放入酒店营销真实岗位任务，而不是孤立研究工具使用。</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教师支架、任务真实性和学生专业判断如何共同影响人机协同结果？</w:t>
            </w:r>
          </w:p>
        </w:tc>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课堂案例＋过程资料＋访谈</w:t>
            </w:r>
          </w:p>
        </w:tc>
        <w:tc>
          <w:tcPr>
            <w:tcW w:type="dxa" w:w="62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范围偏大</w:t>
            </w:r>
          </w:p>
        </w:tc>
      </w:tr>
      <w:tr>
        <w:tc>
          <w:tcPr>
            <w:tcW w:type="dxa" w:w="1984"/>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AI反馈素养与专业判断形成</w:t>
            </w:r>
          </w:p>
        </w:tc>
        <w:tc>
          <w:tcPr>
            <w:tcW w:type="dxa" w:w="226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关注学生如何判断、接受、拒绝和修改AI输出。</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AI反馈素养是否通过反思行为影响岗位任务质量？</w:t>
            </w:r>
          </w:p>
        </w:tc>
        <w:tc>
          <w:tcPr>
            <w:tcW w:type="dxa" w:w="158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作品版本＋反思日志＋评价量表</w:t>
            </w:r>
          </w:p>
        </w:tc>
        <w:tc>
          <w:tcPr>
            <w:tcW w:type="dxa" w:w="624"/>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需开发指标</w:t>
            </w:r>
          </w:p>
        </w:tc>
      </w:tr>
      <w:tr>
        <w:tc>
          <w:tcPr>
            <w:tcW w:type="dxa" w:w="198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不同能力学生的AI使用分化</w:t>
            </w:r>
          </w:p>
        </w:tc>
        <w:tc>
          <w:tcPr>
            <w:tcW w:type="dxa" w:w="226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研究AI可能扩大或缩小学生能力差异。</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基础能力不同的学生在人机协同策略上有何差异？</w:t>
            </w:r>
          </w:p>
        </w:tc>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典型案例比较</w:t>
            </w:r>
          </w:p>
        </w:tc>
        <w:tc>
          <w:tcPr>
            <w:tcW w:type="dxa" w:w="624"/>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样本要求</w:t>
            </w:r>
          </w:p>
        </w:tc>
      </w:tr>
    </w:tbl>
    <w:p/>
    <w:p>
      <w:pPr>
        <w:pStyle w:val="Heading1"/>
      </w:pPr>
      <w:r>
        <w:rPr>
          <w:rFonts w:ascii="Noto Sans CJK SC" w:hAnsi="Noto Sans CJK SC" w:eastAsia="Noto Sans CJK SC"/>
          <w:b/>
          <w:color w:val="315B7D"/>
          <w:sz w:val="32"/>
        </w:rPr>
        <w:t>七、  推荐选题示例</w:t>
      </w:r>
    </w:p>
    <w:p>
      <w:pPr>
        <w:spacing w:before="0" w:after="120" w:line="300" w:lineRule="auto"/>
      </w:pPr>
      <w:r>
        <w:rPr>
          <w:rFonts w:ascii="Noto Sans CJK SC" w:hAnsi="Noto Sans CJK SC" w:eastAsia="Noto Sans CJK SC"/>
          <w:b/>
          <w:color w:val="315B7D"/>
          <w:sz w:val="22"/>
        </w:rPr>
        <w:t xml:space="preserve">1. </w:t>
      </w:r>
      <w:r>
        <w:rPr>
          <w:rFonts w:ascii="Noto Sans CJK SC" w:hAnsi="Noto Sans CJK SC" w:eastAsia="Noto Sans CJK SC"/>
          <w:b/>
          <w:color w:val="263238"/>
          <w:sz w:val="22"/>
        </w:rPr>
        <w:t>生成式人工智能支持下高职酒店数字化营销岗位任务的人机协同学习机制研究</w:t>
      </w:r>
    </w:p>
    <w:p>
      <w:pPr>
        <w:spacing w:before="0" w:after="120" w:line="300" w:lineRule="auto"/>
      </w:pPr>
      <w:r>
        <w:rPr>
          <w:rFonts w:ascii="Noto Sans CJK SC" w:hAnsi="Noto Sans CJK SC" w:eastAsia="Noto Sans CJK SC"/>
          <w:b/>
          <w:color w:val="315B7D"/>
          <w:sz w:val="22"/>
        </w:rPr>
        <w:t xml:space="preserve">2. </w:t>
      </w:r>
      <w:r>
        <w:rPr>
          <w:rFonts w:ascii="Noto Sans CJK SC" w:hAnsi="Noto Sans CJK SC" w:eastAsia="Noto Sans CJK SC"/>
          <w:b/>
          <w:color w:val="263238"/>
          <w:sz w:val="22"/>
        </w:rPr>
        <w:t>AI反馈素养对高职酒店管理学生专业判断形成的作用机制研究</w:t>
      </w:r>
    </w:p>
    <w:p>
      <w:pPr>
        <w:spacing w:before="0" w:after="120" w:line="300" w:lineRule="auto"/>
      </w:pPr>
      <w:r>
        <w:rPr>
          <w:rFonts w:ascii="Noto Sans CJK SC" w:hAnsi="Noto Sans CJK SC" w:eastAsia="Noto Sans CJK SC"/>
          <w:b/>
          <w:color w:val="315B7D"/>
          <w:sz w:val="22"/>
        </w:rPr>
        <w:t xml:space="preserve">3. </w:t>
      </w:r>
      <w:r>
        <w:rPr>
          <w:rFonts w:ascii="Noto Sans CJK SC" w:hAnsi="Noto Sans CJK SC" w:eastAsia="Noto Sans CJK SC"/>
          <w:b/>
          <w:color w:val="263238"/>
          <w:sz w:val="22"/>
        </w:rPr>
        <w:t>任务真实性与教师支架协同影响高职学生生成式AI学习成效的案例研究</w:t>
      </w:r>
    </w:p>
    <w:p>
      <w:pPr>
        <w:pStyle w:val="Heading1"/>
      </w:pPr>
      <w:r>
        <w:rPr>
          <w:rFonts w:ascii="Noto Sans CJK SC" w:hAnsi="Noto Sans CJK SC" w:eastAsia="Noto Sans CJK SC"/>
          <w:b/>
          <w:color w:val="315B7D"/>
          <w:sz w:val="32"/>
        </w:rPr>
        <w:t>八、  下一步行动</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85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顺序</w:t>
            </w:r>
          </w:p>
        </w:tc>
        <w:tc>
          <w:tcPr>
            <w:tcW w:type="dxa" w:w="5896"/>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行动</w:t>
            </w:r>
          </w:p>
        </w:tc>
        <w:tc>
          <w:tcPr>
            <w:tcW w:type="dxa" w:w="243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Noto Sans CJK SC" w:hAnsi="Noto Sans CJK SC" w:eastAsia="Noto Sans CJK SC"/>
                <w:b/>
                <w:color w:val="FFFFFF"/>
                <w:sz w:val="19"/>
              </w:rPr>
              <w:t>完成标志</w:t>
            </w:r>
          </w:p>
        </w:tc>
      </w:tr>
      <w:tr>
        <w:tc>
          <w:tcPr>
            <w:tcW w:type="dxa" w:w="85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1</w:t>
            </w:r>
          </w:p>
        </w:tc>
        <w:tc>
          <w:tcPr>
            <w:tcW w:type="dxa" w:w="5896"/>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整理现有课程任务、学生作品、修改版本和教师反馈记录。</w:t>
            </w:r>
          </w:p>
        </w:tc>
        <w:tc>
          <w:tcPr>
            <w:tcW w:type="dxa" w:w="243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形成可用资料清单。</w:t>
            </w:r>
          </w:p>
        </w:tc>
      </w:tr>
      <w:tr>
        <w:tc>
          <w:tcPr>
            <w:tcW w:type="dxa" w:w="85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2</w:t>
            </w:r>
          </w:p>
        </w:tc>
        <w:tc>
          <w:tcPr>
            <w:tcW w:type="dxa" w:w="5896"/>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明确最想解释的是学习效果、过程机制还是评价模式。</w:t>
            </w:r>
          </w:p>
        </w:tc>
        <w:tc>
          <w:tcPr>
            <w:tcW w:type="dxa" w:w="243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确定一个主问题。</w:t>
            </w:r>
          </w:p>
        </w:tc>
      </w:tr>
      <w:tr>
        <w:tc>
          <w:tcPr>
            <w:tcW w:type="dxa" w:w="85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3</w:t>
            </w:r>
          </w:p>
        </w:tc>
        <w:tc>
          <w:tcPr>
            <w:tcW w:type="dxa" w:w="5896"/>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围绕人机协同、反馈素养、真实性评价开展中英文检索。</w:t>
            </w:r>
          </w:p>
        </w:tc>
        <w:tc>
          <w:tcPr>
            <w:tcW w:type="dxa" w:w="243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形成证据表。</w:t>
            </w:r>
          </w:p>
        </w:tc>
      </w:tr>
      <w:tr>
        <w:tc>
          <w:tcPr>
            <w:tcW w:type="dxa" w:w="85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4</w:t>
            </w:r>
          </w:p>
        </w:tc>
        <w:tc>
          <w:tcPr>
            <w:tcW w:type="dxa" w:w="5896"/>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选择1—2个理论，不堆砌概念，并说明变量关系。</w:t>
            </w:r>
          </w:p>
        </w:tc>
        <w:tc>
          <w:tcPr>
            <w:tcW w:type="dxa" w:w="243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形成初步框架图。</w:t>
            </w:r>
          </w:p>
        </w:tc>
      </w:tr>
      <w:tr>
        <w:tc>
          <w:tcPr>
            <w:tcW w:type="dxa" w:w="85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5</w:t>
            </w:r>
          </w:p>
        </w:tc>
        <w:tc>
          <w:tcPr>
            <w:tcW w:type="dxa" w:w="5896"/>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根据可获得的数据缩小研究范围。</w:t>
            </w:r>
          </w:p>
        </w:tc>
        <w:tc>
          <w:tcPr>
            <w:tcW w:type="dxa" w:w="243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Noto Sans CJK SC" w:hAnsi="Noto Sans CJK SC" w:eastAsia="Noto Sans CJK SC"/>
                <w:b w:val="0"/>
                <w:color w:val="263238"/>
                <w:sz w:val="18"/>
              </w:rPr>
              <w:t>形成可申报题目与研究设计。</w:t>
            </w:r>
          </w:p>
        </w:tc>
      </w:tr>
    </w:tbl>
    <w:p/>
    <w:p>
      <w:pPr>
        <w:pStyle w:val="Heading1"/>
      </w:pPr>
      <w:r>
        <w:rPr>
          <w:rFonts w:ascii="Noto Sans CJK SC" w:hAnsi="Noto Sans CJK SC" w:eastAsia="Noto Sans CJK SC"/>
          <w:b/>
          <w:color w:val="315B7D"/>
          <w:sz w:val="32"/>
        </w:rPr>
        <w:t>九、  示例的检索与证据说明</w:t>
      </w:r>
    </w:p>
    <w:tbl>
      <w:tblPr>
        <w:tblW w:type="auto" w:w="0"/>
        <w:jc w:val="center"/>
        <w:tblLook w:firstColumn="1" w:firstRow="1" w:lastColumn="0" w:lastRow="0" w:noHBand="0" w:noVBand="1" w:val="04A0"/>
      </w:tblPr>
      <w:tblGrid>
        <w:gridCol w:w="9746"/>
      </w:tblGrid>
      <w:tr>
        <w:tc>
          <w:tcPr>
            <w:tcW w:type="dxa" w:w="9746"/>
            <w:shd w:fill="F3EDF7"/>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Noto Sans CJK SC" w:hAnsi="Noto Sans CJK SC" w:eastAsia="Noto Sans CJK SC"/>
                <w:b/>
                <w:color w:val="6A4C7D"/>
                <w:sz w:val="22"/>
              </w:rPr>
              <w:t>当前状态</w:t>
            </w:r>
          </w:p>
          <w:p>
            <w:pPr>
              <w:spacing w:before="0" w:after="0" w:line="300" w:lineRule="auto"/>
            </w:pPr>
            <w:r>
              <w:rPr>
                <w:rFonts w:ascii="Noto Sans CJK SC" w:hAnsi="Noto Sans CJK SC" w:eastAsia="Noto Sans CJK SC"/>
                <w:b w:val="0"/>
                <w:color w:val="263238"/>
                <w:sz w:val="20"/>
              </w:rPr>
              <w:t>本示例主要用于展示报告结构，其中理论名称和研究方向属于候选内容。正式输出时，Skill应检索国内可达的官方、学术和行业来源，记录作者、年份、出处、核心观点和证据等级，并对无法核验的内容进行标注。</w:t>
            </w:r>
          </w:p>
        </w:tc>
      </w:tr>
    </w:tbl>
    <w:p/>
    <w:sectPr w:rsidR="00FC693F" w:rsidRPr="0006063C" w:rsidSect="00034616">
      <w:headerReference w:type="default" r:id="rId9"/>
      <w:footerReference w:type="default" r:id="rId10"/>
      <w:pgSz w:w="12240" w:h="15840"/>
      <w:pgMar w:top="1247"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Noto Sans CJK SC" w:hAnsi="Noto Sans CJK SC" w:eastAsia="Noto Sans CJK SC"/>
        <w:b w:val="0"/>
        <w:color w:val="6B7280"/>
        <w:sz w:val="17"/>
      </w:rPr>
      <w:t>认知四象限·科研探索助手｜模板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315B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3E7C5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6A4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Noto Sans CJK SC" w:hAnsi="Noto Sans CJK SC" w:eastAsia="Noto Sans CJK SC"/>
      <w:b/>
      <w:color w:val="315B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填写提示">
    <w:name w:val="填写提示"/>
    <w:pPr>
      <w:spacing w:after="80"/>
    </w:pPr>
    <w:rPr>
      <w:rFonts w:ascii="Noto Sans CJK SC" w:hAnsi="Noto Sans CJK SC" w:eastAsia="Noto Sans CJK SC"/>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