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TALLER COMPLEMENTARIO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SST (Seguridad y Salud en el Trabajo)</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 DE APRENDIZAJE</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770"/>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70.0" w:type="dxa"/>
        <w:jc w:val="left"/>
        <w:tblInd w:w="-216.0" w:type="dxa"/>
        <w:tblLayout w:type="fixed"/>
        <w:tblLook w:val="0000"/>
      </w:tblPr>
      <w:tblGrid>
        <w:gridCol w:w="10070"/>
        <w:tblGridChange w:id="0">
          <w:tblGrid>
            <w:gridCol w:w="10070"/>
          </w:tblGrid>
        </w:tblGridChange>
      </w:tblGrid>
      <w:tr>
        <w:trPr>
          <w:cantSplit w:val="0"/>
          <w:trHeight w:val="514" w:hRule="atLeast"/>
          <w:tblHeader w:val="0"/>
        </w:trPr>
        <w:tc>
          <w:tcPr>
            <w:tcBorders>
              <w:top w:color="000001" w:space="0" w:sz="4" w:val="single"/>
              <w:left w:color="000001" w:space="0" w:sz="4" w:val="single"/>
              <w:bottom w:color="000001" w:space="0" w:sz="4" w:val="single"/>
              <w:right w:color="000001" w:space="0" w:sz="4" w:val="single"/>
            </w:tcBorders>
            <w:tcMar>
              <w:top w:w="0.0" w:type="dxa"/>
              <w:left w:w="108.0" w:type="dxa"/>
              <w:bottom w:w="0.0" w:type="dxa"/>
              <w:right w:w="108.0" w:type="dxa"/>
            </w:tcMar>
            <w:vAlign w:val="top"/>
          </w:tcPr>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Generar hábitos saludables en su estilo de vida para garantizar la prevención de riesgos ocupacionales de acuerdo con el diagnóstico de su condición física individual y la naturaleza y complejidad de su desempeño laboral</w:t>
            </w:r>
            <w:r w:rsidDel="00000000" w:rsidR="00000000" w:rsidRPr="00000000">
              <w:rPr>
                <w:rtl w:val="0"/>
              </w:rPr>
            </w:r>
          </w:p>
        </w:tc>
      </w:tr>
    </w:tbl>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both"/>
        <w:rPr>
          <w:rFonts w:ascii="Book Antiqua" w:cs="Book Antiqua" w:eastAsia="Book Antiqua" w:hAnsi="Book Antiqua"/>
          <w:b w:val="1"/>
          <w:sz w:val="30"/>
          <w:szCs w:val="30"/>
          <w:highlight w:val="yellow"/>
        </w:rPr>
      </w:pPr>
      <w:r w:rsidDel="00000000" w:rsidR="00000000" w:rsidRPr="00000000">
        <w:rPr>
          <w:rFonts w:ascii="Book Antiqua" w:cs="Book Antiqua" w:eastAsia="Book Antiqua" w:hAnsi="Book Antiqua"/>
          <w:b w:val="1"/>
          <w:sz w:val="30"/>
          <w:szCs w:val="30"/>
          <w:highlight w:val="yellow"/>
          <w:rtl w:val="0"/>
        </w:rPr>
        <w:t xml:space="preserve">Ivan Alejandro Perez 2823513 G1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both"/>
        <w:rPr>
          <w:rFonts w:ascii="Book Antiqua" w:cs="Book Antiqua" w:eastAsia="Book Antiqua" w:hAnsi="Book Antiqua"/>
          <w:b w:val="1"/>
          <w:sz w:val="30"/>
          <w:szCs w:val="30"/>
          <w:highlight w:val="yellow"/>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DE INVESTIGACION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10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Consulte el Marco Legal que Obliga a las Empresas a implementar el SG-SST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rPr>
      </w:pPr>
      <w:r w:rsidDel="00000000" w:rsidR="00000000" w:rsidRPr="00000000">
        <w:rPr>
          <w:rFonts w:ascii="Arial" w:cs="Arial" w:eastAsia="Arial" w:hAnsi="Arial"/>
          <w:rtl w:val="0"/>
        </w:rPr>
        <w:t xml:space="preserve">SG-SST se compone de unas 6 leyes y decretos que son los siguientes:</w:t>
      </w:r>
    </w:p>
    <w:p w:rsidR="00000000" w:rsidDel="00000000" w:rsidP="00000000" w:rsidRDefault="00000000" w:rsidRPr="00000000" w14:paraId="00000011">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Ley 1562 de 2012:</w:t>
      </w:r>
    </w:p>
    <w:p w:rsidR="00000000" w:rsidDel="00000000" w:rsidP="00000000" w:rsidRDefault="00000000" w:rsidRPr="00000000" w14:paraId="00000012">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Esta ley reforma el Sistema General de Riesgos Laborales y establece la obligación de implementar el SG-SST en todas las empresas. Define los conceptos y criterios para la gestión de los riesgos laborales.</w:t>
      </w:r>
    </w:p>
    <w:p w:rsidR="00000000" w:rsidDel="00000000" w:rsidP="00000000" w:rsidRDefault="00000000" w:rsidRPr="00000000" w14:paraId="00000013">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Decreto 1072 de 2015:</w:t>
      </w:r>
    </w:p>
    <w:p w:rsidR="00000000" w:rsidDel="00000000" w:rsidP="00000000" w:rsidRDefault="00000000" w:rsidRPr="00000000" w14:paraId="00000014">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Este decreto compila y sistematiza las normas del sector trabajo en Colombia. En el Libro 2, Parte 2, Título 4, se encuentran las disposiciones específicas sobre el SG-SST. Este decreto establece los lineamientos generales para la implementación del sistema.</w:t>
      </w:r>
    </w:p>
    <w:p w:rsidR="00000000" w:rsidDel="00000000" w:rsidP="00000000" w:rsidRDefault="00000000" w:rsidRPr="00000000" w14:paraId="00000015">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Resolución 1111 de 2017:</w:t>
      </w:r>
    </w:p>
    <w:p w:rsidR="00000000" w:rsidDel="00000000" w:rsidP="00000000" w:rsidRDefault="00000000" w:rsidRPr="00000000" w14:paraId="00000016">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Esta resolución establece los estándares mínimos del SG-SST. Define los requisitos que deben cumplir las empresas para la implementación y mantenimiento del sistema, así como los criterios para su evaluación y mejora continua.</w:t>
      </w:r>
    </w:p>
    <w:p w:rsidR="00000000" w:rsidDel="00000000" w:rsidP="00000000" w:rsidRDefault="00000000" w:rsidRPr="00000000" w14:paraId="00000017">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Decreto 1443 de 2014:</w:t>
      </w:r>
    </w:p>
    <w:p w:rsidR="00000000" w:rsidDel="00000000" w:rsidP="00000000" w:rsidRDefault="00000000" w:rsidRPr="00000000" w14:paraId="00000018">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Aunque algunas de sus disposiciones han sido integradas en el Decreto 1072 de 2015, este decreto fue uno de los primeros en establecer los lineamientos específicos para la implementación del SG-SST en Colombia.</w:t>
      </w:r>
    </w:p>
    <w:p w:rsidR="00000000" w:rsidDel="00000000" w:rsidP="00000000" w:rsidRDefault="00000000" w:rsidRPr="00000000" w14:paraId="00000019">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Resolución 0312 de 2019:</w:t>
      </w:r>
    </w:p>
    <w:p w:rsidR="00000000" w:rsidDel="00000000" w:rsidP="00000000" w:rsidRDefault="00000000" w:rsidRPr="00000000" w14:paraId="0000001A">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Modifica y complementa las disposiciones de la Resolución 1111 de 2017. Establece nuevos estándares y requisitos para el SG-SST, actualizando los parámetros que deben seguir las empresas.</w:t>
      </w:r>
    </w:p>
    <w:p w:rsidR="00000000" w:rsidDel="00000000" w:rsidP="00000000" w:rsidRDefault="00000000" w:rsidRPr="00000000" w14:paraId="0000001B">
      <w:pPr>
        <w:widowControl w:val="1"/>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Ley 1562 de 2012 y Decreto 723 de 2013:</w:t>
      </w:r>
    </w:p>
    <w:p w:rsidR="00000000" w:rsidDel="00000000" w:rsidP="00000000" w:rsidRDefault="00000000" w:rsidRPr="00000000" w14:paraId="0000001C">
      <w:pPr>
        <w:widowControl w:val="1"/>
        <w:numPr>
          <w:ilvl w:val="1"/>
          <w:numId w:val="8"/>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Adicionalmente, el Decreto 723 de 2013 reglamenta algunos aspectos específicos de la Ley 1562 de 2012, en especial relacionados con la vigilancia y control del cumplimiento del SG-SST.</w:t>
      </w:r>
    </w:p>
    <w:p w:rsidR="00000000" w:rsidDel="00000000" w:rsidP="00000000" w:rsidRDefault="00000000" w:rsidRPr="00000000" w14:paraId="0000001D">
      <w:pPr>
        <w:widowControl w:val="1"/>
        <w:pBdr>
          <w:top w:color="e3e3e3" w:space="0" w:sz="0" w:val="none"/>
          <w:left w:color="e3e3e3" w:space="0" w:sz="0" w:val="none"/>
          <w:bottom w:color="e3e3e3" w:space="0" w:sz="0" w:val="none"/>
          <w:right w:color="e3e3e3" w:space="0" w:sz="0" w:val="none"/>
          <w:between w:color="e3e3e3" w:space="0" w:sz="0" w:val="none"/>
        </w:pBdr>
        <w:spacing w:after="720" w:before="7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8825" cy="2466975"/>
            <wp:effectExtent b="0" l="0" r="0" t="0"/>
            <wp:docPr id="102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3882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1"/>
        <w:pBdr>
          <w:top w:color="e3e3e3" w:space="0" w:sz="0" w:val="none"/>
          <w:left w:color="e3e3e3" w:space="0" w:sz="0" w:val="none"/>
          <w:bottom w:color="e3e3e3" w:space="0" w:sz="0" w:val="none"/>
          <w:right w:color="e3e3e3" w:space="0" w:sz="0" w:val="none"/>
          <w:between w:color="e3e3e3" w:space="0" w:sz="0" w:val="none"/>
        </w:pBdr>
        <w:spacing w:after="720" w:before="72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Fuente de: </w:t>
      </w:r>
      <w:hyperlink r:id="rId8">
        <w:r w:rsidDel="00000000" w:rsidR="00000000" w:rsidRPr="00000000">
          <w:rPr>
            <w:rFonts w:ascii="Times New Roman" w:cs="Times New Roman" w:eastAsia="Times New Roman" w:hAnsi="Times New Roman"/>
            <w:color w:val="1155cc"/>
            <w:sz w:val="24"/>
            <w:szCs w:val="24"/>
            <w:u w:val="single"/>
            <w:rtl w:val="0"/>
          </w:rPr>
          <w:t xml:space="preserve">https://www.mintrabajo.gov.co/relaciones-laborales/riesgos-laborales/sistema-de-gestion-de-seguridad-y-salud-en-el-trabajo/implementacion-de-los-sistemas-de-gestion-de-seguridad-y-salud-en-el-trabajo-al-ano-2020</w:t>
        </w:r>
      </w:hyperlink>
      <w:r w:rsidDel="00000000" w:rsidR="00000000" w:rsidRPr="00000000">
        <w:rPr>
          <w:rtl w:val="0"/>
        </w:rPr>
      </w:r>
    </w:p>
    <w:p w:rsidR="00000000" w:rsidDel="00000000" w:rsidP="00000000" w:rsidRDefault="00000000" w:rsidRPr="00000000" w14:paraId="0000001F">
      <w:pPr>
        <w:widowControl w:val="1"/>
        <w:pBdr>
          <w:top w:color="e3e3e3" w:space="0" w:sz="0" w:val="none"/>
          <w:left w:color="e3e3e3" w:space="0" w:sz="0" w:val="none"/>
          <w:bottom w:color="e3e3e3" w:space="0" w:sz="0" w:val="none"/>
          <w:right w:color="e3e3e3" w:space="0" w:sz="0" w:val="none"/>
          <w:between w:color="e3e3e3" w:space="0" w:sz="0" w:val="none"/>
        </w:pBdr>
        <w:spacing w:after="720" w:before="7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4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Consulte sobre los Programas que deben implementarse en el Sistema de Gestión de Seguridad y Salud en el Trabajo, regístrelos y escriba su objetivo </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Planes de SG-SST: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6">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color w:val="94af2f"/>
          <w:sz w:val="24"/>
          <w:szCs w:val="24"/>
        </w:rPr>
      </w:pPr>
      <w:bookmarkStart w:colFirst="0" w:colLast="0" w:name="_heading=h.3q7cmkn80yeu" w:id="0"/>
      <w:bookmarkEnd w:id="0"/>
      <w:r w:rsidDel="00000000" w:rsidR="00000000" w:rsidRPr="00000000">
        <w:rPr>
          <w:rFonts w:ascii="Times New Roman" w:cs="Times New Roman" w:eastAsia="Times New Roman" w:hAnsi="Times New Roman"/>
          <w:color w:val="94af2f"/>
          <w:sz w:val="24"/>
          <w:szCs w:val="24"/>
          <w:rtl w:val="0"/>
        </w:rPr>
        <w:t xml:space="preserve">Plan de trabajo anual del SST</w:t>
      </w:r>
    </w:p>
    <w:p w:rsidR="00000000" w:rsidDel="00000000" w:rsidP="00000000" w:rsidRDefault="00000000" w:rsidRPr="00000000" w14:paraId="00000027">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documento en el que se consignan todas las actividades que se van a realizar en materia de SST durante el período de un año. </w:t>
      </w:r>
      <w:hyperlink r:id="rId9">
        <w:r w:rsidDel="00000000" w:rsidR="00000000" w:rsidRPr="00000000">
          <w:rPr>
            <w:rFonts w:ascii="Times New Roman" w:cs="Times New Roman" w:eastAsia="Times New Roman" w:hAnsi="Times New Roman"/>
            <w:sz w:val="24"/>
            <w:szCs w:val="24"/>
            <w:rtl w:val="0"/>
          </w:rPr>
          <w:t xml:space="preserve">El plan de trabajo anual del SST</w:t>
        </w:r>
      </w:hyperlink>
      <w:r w:rsidDel="00000000" w:rsidR="00000000" w:rsidRPr="00000000">
        <w:rPr>
          <w:rFonts w:ascii="Times New Roman" w:cs="Times New Roman" w:eastAsia="Times New Roman" w:hAnsi="Times New Roman"/>
          <w:sz w:val="24"/>
          <w:szCs w:val="24"/>
          <w:rtl w:val="0"/>
        </w:rPr>
        <w:t xml:space="preserve"> debe incluir fechas y responsables para cada actividad. (Decreto 1072 de 2015, artículo 2.2.4.6.8, punto 7).</w:t>
      </w:r>
    </w:p>
    <w:p w:rsidR="00000000" w:rsidDel="00000000" w:rsidP="00000000" w:rsidRDefault="00000000" w:rsidRPr="00000000" w14:paraId="00000028">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color w:val="94af2f"/>
          <w:sz w:val="24"/>
          <w:szCs w:val="24"/>
        </w:rPr>
      </w:pPr>
      <w:bookmarkStart w:colFirst="0" w:colLast="0" w:name="_heading=h.f01n8ilmx6ch" w:id="1"/>
      <w:bookmarkEnd w:id="1"/>
      <w:r w:rsidDel="00000000" w:rsidR="00000000" w:rsidRPr="00000000">
        <w:rPr>
          <w:rFonts w:ascii="Times New Roman" w:cs="Times New Roman" w:eastAsia="Times New Roman" w:hAnsi="Times New Roman"/>
          <w:color w:val="94af2f"/>
          <w:sz w:val="24"/>
          <w:szCs w:val="24"/>
          <w:rtl w:val="0"/>
        </w:rPr>
        <w:t xml:space="preserve">Plan de comunicaciones</w:t>
      </w:r>
    </w:p>
    <w:p w:rsidR="00000000" w:rsidDel="00000000" w:rsidP="00000000" w:rsidRDefault="00000000" w:rsidRPr="00000000" w14:paraId="00000029">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documento se incluyen todas las acciones a realizar en tres áreas: comunicación interna, comunicación a contratistas y visitantes y comunicación externa. (Decreto 1072 de 2015, artículo 2.2.4.6.14.)</w:t>
      </w:r>
    </w:p>
    <w:p w:rsidR="00000000" w:rsidDel="00000000" w:rsidP="00000000" w:rsidRDefault="00000000" w:rsidRPr="00000000" w14:paraId="0000002A">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 dar cumplimiento a lo establecido en el Decreto 1072 de 2015, en particular, incluir los mecanismos y procedimientos para difundir la política SST, para convocar y conformar el COPASST y para dar a conocer el plan de emergencias.</w:t>
      </w:r>
    </w:p>
    <w:p w:rsidR="00000000" w:rsidDel="00000000" w:rsidP="00000000" w:rsidRDefault="00000000" w:rsidRPr="00000000" w14:paraId="0000002B">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color w:val="94af2f"/>
          <w:sz w:val="24"/>
          <w:szCs w:val="24"/>
        </w:rPr>
      </w:pPr>
      <w:bookmarkStart w:colFirst="0" w:colLast="0" w:name="_heading=h.xvv9685aadlz" w:id="2"/>
      <w:bookmarkEnd w:id="2"/>
      <w:r w:rsidDel="00000000" w:rsidR="00000000" w:rsidRPr="00000000">
        <w:rPr>
          <w:rFonts w:ascii="Times New Roman" w:cs="Times New Roman" w:eastAsia="Times New Roman" w:hAnsi="Times New Roman"/>
          <w:color w:val="94af2f"/>
          <w:sz w:val="24"/>
          <w:szCs w:val="24"/>
          <w:rtl w:val="0"/>
        </w:rPr>
        <w:t xml:space="preserve">Plan de emergencias</w:t>
      </w:r>
    </w:p>
    <w:p w:rsidR="00000000" w:rsidDel="00000000" w:rsidP="00000000" w:rsidRDefault="00000000" w:rsidRPr="00000000" w14:paraId="0000002C">
      <w:pPr>
        <w:widowControl w:val="1"/>
        <w:shd w:fill="ffffff" w:val="clear"/>
        <w:spacing w:after="160" w:before="300" w:line="240" w:lineRule="auto"/>
        <w:rPr>
          <w:rFonts w:ascii="Times New Roman" w:cs="Times New Roman" w:eastAsia="Times New Roman" w:hAnsi="Times New Roman"/>
          <w:i w:val="1"/>
          <w:sz w:val="24"/>
          <w:szCs w:val="24"/>
        </w:rPr>
      </w:pPr>
      <w:hyperlink r:id="rId10">
        <w:r w:rsidDel="00000000" w:rsidR="00000000" w:rsidRPr="00000000">
          <w:rPr>
            <w:rFonts w:ascii="Times New Roman" w:cs="Times New Roman" w:eastAsia="Times New Roman" w:hAnsi="Times New Roman"/>
            <w:sz w:val="24"/>
            <w:szCs w:val="24"/>
            <w:rtl w:val="0"/>
          </w:rPr>
          <w:t xml:space="preserve">El Plan de emergencias</w:t>
        </w:r>
      </w:hyperlink>
      <w:r w:rsidDel="00000000" w:rsidR="00000000" w:rsidRPr="00000000">
        <w:rPr>
          <w:rFonts w:ascii="Times New Roman" w:cs="Times New Roman" w:eastAsia="Times New Roman" w:hAnsi="Times New Roman"/>
          <w:i w:val="1"/>
          <w:sz w:val="24"/>
          <w:szCs w:val="24"/>
          <w:rtl w:val="0"/>
        </w:rPr>
        <w:t xml:space="preserve"> contiene las acciones a seguir en caso de situaciones de calamidad, urgencia o catástrofe.</w:t>
      </w:r>
    </w:p>
    <w:p w:rsidR="00000000" w:rsidDel="00000000" w:rsidP="00000000" w:rsidRDefault="00000000" w:rsidRPr="00000000" w14:paraId="0000002D">
      <w:pPr>
        <w:widowControl w:val="1"/>
        <w:shd w:fill="ffffff" w:val="clear"/>
        <w:spacing w:after="160" w:before="300" w:line="240" w:lineRule="auto"/>
        <w:rPr>
          <w:rFonts w:ascii="Times New Roman" w:cs="Times New Roman" w:eastAsia="Times New Roman" w:hAnsi="Times New Roman"/>
          <w:b w:val="1"/>
          <w:sz w:val="24"/>
          <w:szCs w:val="24"/>
          <w:highlight w:val="cyan"/>
        </w:rPr>
      </w:pPr>
      <w:r w:rsidDel="00000000" w:rsidR="00000000" w:rsidRPr="00000000">
        <w:rPr>
          <w:rFonts w:ascii="Times New Roman" w:cs="Times New Roman" w:eastAsia="Times New Roman" w:hAnsi="Times New Roman"/>
          <w:b w:val="1"/>
          <w:sz w:val="24"/>
          <w:szCs w:val="24"/>
          <w:highlight w:val="cyan"/>
          <w:rtl w:val="0"/>
        </w:rPr>
        <w:t xml:space="preserve">Programas en el SG-SST</w:t>
      </w:r>
    </w:p>
    <w:p w:rsidR="00000000" w:rsidDel="00000000" w:rsidP="00000000" w:rsidRDefault="00000000" w:rsidRPr="00000000" w14:paraId="0000002E">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color w:val="0000ff"/>
          <w:sz w:val="24"/>
          <w:szCs w:val="24"/>
        </w:rPr>
      </w:pPr>
      <w:bookmarkStart w:colFirst="0" w:colLast="0" w:name="_heading=h.46l1sp7hme4e" w:id="3"/>
      <w:bookmarkEnd w:id="3"/>
      <w:r w:rsidDel="00000000" w:rsidR="00000000" w:rsidRPr="00000000">
        <w:rPr>
          <w:rFonts w:ascii="Times New Roman" w:cs="Times New Roman" w:eastAsia="Times New Roman" w:hAnsi="Times New Roman"/>
          <w:color w:val="0000ff"/>
          <w:sz w:val="24"/>
          <w:szCs w:val="24"/>
          <w:rtl w:val="0"/>
        </w:rPr>
        <w:t xml:space="preserve">Programa de capacitación</w:t>
      </w:r>
    </w:p>
    <w:p w:rsidR="00000000" w:rsidDel="00000000" w:rsidP="00000000" w:rsidRDefault="00000000" w:rsidRPr="00000000" w14:paraId="0000002F">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Regulado por el artículo artículo 2.2.4.6.11 del Decreto 1072 de 2015, incluye básicamente dos componentes:</w:t>
      </w:r>
    </w:p>
    <w:p w:rsidR="00000000" w:rsidDel="00000000" w:rsidP="00000000" w:rsidRDefault="00000000" w:rsidRPr="00000000" w14:paraId="00000030">
      <w:pPr>
        <w:widowControl w:val="1"/>
        <w:numPr>
          <w:ilvl w:val="0"/>
          <w:numId w:val="6"/>
        </w:numPr>
        <w:shd w:fill="ffffff" w:val="clear"/>
        <w:spacing w:after="0" w:afterAutospacing="0" w:before="280" w:line="240" w:lineRule="auto"/>
        <w:ind w:left="720" w:hanging="360"/>
        <w:rPr>
          <w:color w:val="000000"/>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Programa de inducción y reinducción</w:t>
      </w:r>
      <w:r w:rsidDel="00000000" w:rsidR="00000000" w:rsidRPr="00000000">
        <w:rPr>
          <w:rFonts w:ascii="Times New Roman" w:cs="Times New Roman" w:eastAsia="Times New Roman" w:hAnsi="Times New Roman"/>
          <w:b w:val="1"/>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 una capacitación obligatoria que debe impartirse a los empleados nuevos y antiguos, a los contratistas y a los proveedores. Su propósito es el de ilustrar y comunicar acerca de la políticas y normas de la empresa en materia de SST.</w:t>
      </w:r>
    </w:p>
    <w:p w:rsidR="00000000" w:rsidDel="00000000" w:rsidP="00000000" w:rsidRDefault="00000000" w:rsidRPr="00000000" w14:paraId="00000031">
      <w:pPr>
        <w:widowControl w:val="1"/>
        <w:numPr>
          <w:ilvl w:val="0"/>
          <w:numId w:val="6"/>
        </w:numPr>
        <w:shd w:fill="ffffff" w:val="clear"/>
        <w:spacing w:after="280" w:before="0" w:beforeAutospacing="0" w:line="240" w:lineRule="auto"/>
        <w:ind w:left="720" w:hanging="360"/>
        <w:rPr>
          <w:color w:val="000000"/>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Programa de motivación SST</w:t>
      </w:r>
      <w:r w:rsidDel="00000000" w:rsidR="00000000" w:rsidRPr="00000000">
        <w:rPr>
          <w:rFonts w:ascii="Times New Roman" w:cs="Times New Roman" w:eastAsia="Times New Roman" w:hAnsi="Times New Roman"/>
          <w:b w:val="1"/>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Incluye diversas actividades para ilustrar al personal de la empresa sobre medidas específicas de seguridad y prevención de los accidentes y las enfermedades. Básicamente se compone de charlas periódicas en temas de seguridad y salud ocupacional.</w:t>
      </w:r>
    </w:p>
    <w:p w:rsidR="00000000" w:rsidDel="00000000" w:rsidP="00000000" w:rsidRDefault="00000000" w:rsidRPr="00000000" w14:paraId="00000032">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color w:val="0000ff"/>
          <w:sz w:val="24"/>
          <w:szCs w:val="24"/>
        </w:rPr>
      </w:pPr>
      <w:bookmarkStart w:colFirst="0" w:colLast="0" w:name="_heading=h.wu2kj2rdxb5i" w:id="4"/>
      <w:bookmarkEnd w:id="4"/>
      <w:r w:rsidDel="00000000" w:rsidR="00000000" w:rsidRPr="00000000">
        <w:rPr>
          <w:rFonts w:ascii="Times New Roman" w:cs="Times New Roman" w:eastAsia="Times New Roman" w:hAnsi="Times New Roman"/>
          <w:color w:val="0000ff"/>
          <w:sz w:val="24"/>
          <w:szCs w:val="24"/>
          <w:rtl w:val="0"/>
        </w:rPr>
        <w:t xml:space="preserve">Programa de inspecciones</w:t>
      </w:r>
    </w:p>
    <w:p w:rsidR="00000000" w:rsidDel="00000000" w:rsidP="00000000" w:rsidRDefault="00000000" w:rsidRPr="00000000" w14:paraId="00000033">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inspecciones son un elemento determinante para la evaluación y el mejoramiento continuo del Sistema de Gestión de Seguridad y Salud en el Trabajo. Dentro del programa de inspecciones se deben contemplar las siguientes:</w:t>
      </w:r>
    </w:p>
    <w:p w:rsidR="00000000" w:rsidDel="00000000" w:rsidP="00000000" w:rsidRDefault="00000000" w:rsidRPr="00000000" w14:paraId="00000034">
      <w:pPr>
        <w:widowControl w:val="1"/>
        <w:numPr>
          <w:ilvl w:val="0"/>
          <w:numId w:val="7"/>
        </w:numPr>
        <w:shd w:fill="ffffff" w:val="clear"/>
        <w:spacing w:after="0" w:afterAutospacing="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Inspecciones de seguridad locativa</w:t>
      </w:r>
    </w:p>
    <w:p w:rsidR="00000000" w:rsidDel="00000000" w:rsidP="00000000" w:rsidRDefault="00000000" w:rsidRPr="00000000" w14:paraId="00000035">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botiquines</w:t>
      </w:r>
    </w:p>
    <w:p w:rsidR="00000000" w:rsidDel="00000000" w:rsidP="00000000" w:rsidRDefault="00000000" w:rsidRPr="00000000" w14:paraId="00000036">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equipos especializados</w:t>
      </w:r>
    </w:p>
    <w:p w:rsidR="00000000" w:rsidDel="00000000" w:rsidP="00000000" w:rsidRDefault="00000000" w:rsidRPr="00000000" w14:paraId="00000037">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EPPs</w:t>
      </w:r>
    </w:p>
    <w:p w:rsidR="00000000" w:rsidDel="00000000" w:rsidP="00000000" w:rsidRDefault="00000000" w:rsidRPr="00000000" w14:paraId="00000038">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herramientas</w:t>
      </w:r>
    </w:p>
    <w:p w:rsidR="00000000" w:rsidDel="00000000" w:rsidP="00000000" w:rsidRDefault="00000000" w:rsidRPr="00000000" w14:paraId="00000039">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instalaciones eléctricas</w:t>
      </w:r>
    </w:p>
    <w:p w:rsidR="00000000" w:rsidDel="00000000" w:rsidP="00000000" w:rsidRDefault="00000000" w:rsidRPr="00000000" w14:paraId="0000003A">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Inspección de instalaciones sanitarias</w:t>
      </w:r>
    </w:p>
    <w:p w:rsidR="00000000" w:rsidDel="00000000" w:rsidP="00000000" w:rsidRDefault="00000000" w:rsidRPr="00000000" w14:paraId="0000003B">
      <w:pPr>
        <w:widowControl w:val="1"/>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Auditorías internas y externas</w:t>
      </w:r>
    </w:p>
    <w:p w:rsidR="00000000" w:rsidDel="00000000" w:rsidP="00000000" w:rsidRDefault="00000000" w:rsidRPr="00000000" w14:paraId="0000003C">
      <w:pPr>
        <w:widowControl w:val="1"/>
        <w:numPr>
          <w:ilvl w:val="0"/>
          <w:numId w:val="7"/>
        </w:numPr>
        <w:shd w:fill="ffffff" w:val="clear"/>
        <w:spacing w:after="28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Revisión por la alta dirección</w:t>
      </w:r>
    </w:p>
    <w:p w:rsidR="00000000" w:rsidDel="00000000" w:rsidP="00000000" w:rsidRDefault="00000000" w:rsidRPr="00000000" w14:paraId="0000003D">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Regulado por el Decreto 1072 de 2015, artículo 2.2.4.6.12, punto 14; artículo 2.2.4.6.21, punto 6; artículo 2.2.4.6.22, punto 5; artículo 2.2.4.6.24, parágrafo 2.</w:t>
      </w:r>
    </w:p>
    <w:p w:rsidR="00000000" w:rsidDel="00000000" w:rsidP="00000000" w:rsidRDefault="00000000" w:rsidRPr="00000000" w14:paraId="0000003E">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sz w:val="24"/>
          <w:szCs w:val="24"/>
          <w:highlight w:val="cyan"/>
        </w:rPr>
      </w:pPr>
      <w:bookmarkStart w:colFirst="0" w:colLast="0" w:name="_heading=h.x4rj3m8bffel" w:id="5"/>
      <w:bookmarkEnd w:id="5"/>
      <w:r w:rsidDel="00000000" w:rsidR="00000000" w:rsidRPr="00000000">
        <w:rPr>
          <w:rFonts w:ascii="Times New Roman" w:cs="Times New Roman" w:eastAsia="Times New Roman" w:hAnsi="Times New Roman"/>
          <w:sz w:val="24"/>
          <w:szCs w:val="24"/>
          <w:highlight w:val="cyan"/>
          <w:rtl w:val="0"/>
        </w:rPr>
        <w:t xml:space="preserve">Programa de monitoreo de Seguridad y Salud Ocupacional</w:t>
      </w:r>
    </w:p>
    <w:p w:rsidR="00000000" w:rsidDel="00000000" w:rsidP="00000000" w:rsidRDefault="00000000" w:rsidRPr="00000000" w14:paraId="0000003F">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Comprende todas las actividades encaminadas a prevenir y proteger la integridad de los trabajadores, contratistas y visitantes, en el espacio de la empresa. Incluye los siguientes programas:</w:t>
      </w:r>
    </w:p>
    <w:p w:rsidR="00000000" w:rsidDel="00000000" w:rsidP="00000000" w:rsidRDefault="00000000" w:rsidRPr="00000000" w14:paraId="00000040">
      <w:pPr>
        <w:widowControl w:val="1"/>
        <w:numPr>
          <w:ilvl w:val="0"/>
          <w:numId w:val="2"/>
        </w:numPr>
        <w:shd w:fill="ffffff" w:val="clear"/>
        <w:spacing w:after="0" w:afterAutospacing="0" w:before="280" w:line="240" w:lineRule="auto"/>
        <w:ind w:left="720" w:hanging="360"/>
        <w:rPr>
          <w:color w:val="000000"/>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Programa de gestión de riesgos prioritarios</w:t>
      </w:r>
      <w:r w:rsidDel="00000000" w:rsidR="00000000" w:rsidRPr="00000000">
        <w:rPr>
          <w:rFonts w:ascii="Times New Roman" w:cs="Times New Roman" w:eastAsia="Times New Roman" w:hAnsi="Times New Roman"/>
          <w:b w:val="1"/>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Actividades y medidas para prevenir, mitigar o eliminar el riesgo en los siguientes aspectos y componentes: trabajo en alturas, conducción, bloqueo y etiquetado, sustancias químicas, espacios confinados, etc. (Decreto 1072 de 2015, artículo 2.2.4.6.12., punto 16).</w:t>
      </w:r>
    </w:p>
    <w:p w:rsidR="00000000" w:rsidDel="00000000" w:rsidP="00000000" w:rsidRDefault="00000000" w:rsidRPr="00000000" w14:paraId="00000041">
      <w:pPr>
        <w:widowControl w:val="1"/>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Programa de señalización</w:t>
      </w:r>
      <w:r w:rsidDel="00000000" w:rsidR="00000000" w:rsidRPr="00000000">
        <w:rPr>
          <w:rFonts w:ascii="Times New Roman" w:cs="Times New Roman" w:eastAsia="Times New Roman" w:hAnsi="Times New Roman"/>
          <w:b w:val="1"/>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Incluye la definición y puesta en marcha de los elementos comunicativos que se requieran para evitar o prevenir accidentes, y para lograr una eficaz aplicación de las medidas de control en seguridad y salud. (Decreto 1072 de 2015, artículo 2.2.4.6.24., punto 4; artículo 2.2.4.6.25., punto 12).</w:t>
      </w:r>
    </w:p>
    <w:p w:rsidR="00000000" w:rsidDel="00000000" w:rsidP="00000000" w:rsidRDefault="00000000" w:rsidRPr="00000000" w14:paraId="00000042">
      <w:pPr>
        <w:widowControl w:val="1"/>
        <w:numPr>
          <w:ilvl w:val="0"/>
          <w:numId w:val="5"/>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Programa de EPP</w:t>
      </w:r>
      <w:r w:rsidDel="00000000" w:rsidR="00000000" w:rsidRPr="00000000">
        <w:rPr>
          <w:rFonts w:ascii="Times New Roman" w:cs="Times New Roman" w:eastAsia="Times New Roman" w:hAnsi="Times New Roman"/>
          <w:sz w:val="24"/>
          <w:szCs w:val="24"/>
          <w:rtl w:val="0"/>
        </w:rPr>
        <w:t xml:space="preserve">. Es la definición, puesta en marcha y seguimiento de los requerimientos, manejo, uso y control de los elementos de protección personal. (Decreto 1072 de 2015, artículo 2.2.4.6.24., punto 5) .</w:t>
      </w:r>
    </w:p>
    <w:p w:rsidR="00000000" w:rsidDel="00000000" w:rsidP="00000000" w:rsidRDefault="00000000" w:rsidRPr="00000000" w14:paraId="00000043">
      <w:pPr>
        <w:widowControl w:val="1"/>
        <w:numPr>
          <w:ilvl w:val="0"/>
          <w:numId w:val="5"/>
        </w:numPr>
        <w:shd w:fill="ffffff" w:val="clear"/>
        <w:spacing w:after="28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color w:val="1155cc"/>
          <w:sz w:val="24"/>
          <w:szCs w:val="24"/>
          <w:rtl w:val="0"/>
        </w:rPr>
        <w:t xml:space="preserve">Programa de higiene y salud ocupacional</w:t>
      </w:r>
      <w:r w:rsidDel="00000000" w:rsidR="00000000" w:rsidRPr="00000000">
        <w:rPr>
          <w:rFonts w:ascii="Times New Roman" w:cs="Times New Roman" w:eastAsia="Times New Roman" w:hAnsi="Times New Roman"/>
          <w:b w:val="1"/>
          <w:color w:val="1155cc"/>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Incluye la programación, seguimiento, registro y control de los exámenes médicos que debe practicarse el personal. También las acciones de monitoreo sobre factores como: ergonomía, calidad del aire, riesgos microbiológicos y condiciones psicosociales en la organización. (Decreto 1072 de 2015, artículo 2.2.4.6.12., puntos 4 y 13; artículo 2.2.4.6.16., punto 6; artículo 2.2.4.6.21., punto 8; artículo 2.2.4.6.22., punto 6).</w:t>
      </w:r>
    </w:p>
    <w:p w:rsidR="00000000" w:rsidDel="00000000" w:rsidP="00000000" w:rsidRDefault="00000000" w:rsidRPr="00000000" w14:paraId="00000044">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sz w:val="24"/>
          <w:szCs w:val="24"/>
          <w:highlight w:val="cyan"/>
        </w:rPr>
      </w:pPr>
      <w:bookmarkStart w:colFirst="0" w:colLast="0" w:name="_heading=h.4csa1nft3w9u" w:id="6"/>
      <w:bookmarkEnd w:id="6"/>
      <w:r w:rsidDel="00000000" w:rsidR="00000000" w:rsidRPr="00000000">
        <w:rPr>
          <w:rFonts w:ascii="Times New Roman" w:cs="Times New Roman" w:eastAsia="Times New Roman" w:hAnsi="Times New Roman"/>
          <w:sz w:val="24"/>
          <w:szCs w:val="24"/>
          <w:highlight w:val="cyan"/>
          <w:rtl w:val="0"/>
        </w:rPr>
        <w:t xml:space="preserve">Programa de gestión del cambio</w:t>
      </w:r>
    </w:p>
    <w:p w:rsidR="00000000" w:rsidDel="00000000" w:rsidP="00000000" w:rsidRDefault="00000000" w:rsidRPr="00000000" w14:paraId="00000045">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Incluye todas las actividades encaminadas a verificar el cumplimiento de los objetivos del SG-SST, analizar los resultados obtenidos a partir del seguimiento a las enfermedades, accidentes e incidentes laborales, e incorporar las actualizaciones o novedades que puedan presentarse en materia legal. (Decreto 1072 de 2015, artículo 2.2.4.6.26).</w:t>
      </w:r>
    </w:p>
    <w:p w:rsidR="00000000" w:rsidDel="00000000" w:rsidP="00000000" w:rsidRDefault="00000000" w:rsidRPr="00000000" w14:paraId="00000046">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sz w:val="24"/>
          <w:szCs w:val="24"/>
          <w:highlight w:val="cyan"/>
        </w:rPr>
      </w:pPr>
      <w:bookmarkStart w:colFirst="0" w:colLast="0" w:name="_heading=h.xvw3hlam2sh9" w:id="7"/>
      <w:bookmarkEnd w:id="7"/>
      <w:r w:rsidDel="00000000" w:rsidR="00000000" w:rsidRPr="00000000">
        <w:rPr>
          <w:rFonts w:ascii="Times New Roman" w:cs="Times New Roman" w:eastAsia="Times New Roman" w:hAnsi="Times New Roman"/>
          <w:sz w:val="24"/>
          <w:szCs w:val="24"/>
          <w:highlight w:val="cyan"/>
          <w:rtl w:val="0"/>
        </w:rPr>
        <w:t xml:space="preserve">Programa de simulacros</w:t>
      </w:r>
    </w:p>
    <w:p w:rsidR="00000000" w:rsidDel="00000000" w:rsidP="00000000" w:rsidRDefault="00000000" w:rsidRPr="00000000" w14:paraId="00000047">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Comprende la programación de simulacros para evaluar el cumplimiento de las acciones a seguir, en función de lo definido en el Plan de Emergencias. Permite evaluar la eficacia de los procedimientos de respuesta ante situaciones de incendio, sismos, emergencia médica, derrame de sustancias peligrosas y evacuación. (Decreto 1072 de 2015, artículo 2.2.4.6.25., punto 10).</w:t>
      </w:r>
    </w:p>
    <w:p w:rsidR="00000000" w:rsidDel="00000000" w:rsidP="00000000" w:rsidRDefault="00000000" w:rsidRPr="00000000" w14:paraId="00000048">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sz w:val="24"/>
          <w:szCs w:val="24"/>
          <w:highlight w:val="cyan"/>
        </w:rPr>
      </w:pPr>
      <w:bookmarkStart w:colFirst="0" w:colLast="0" w:name="_heading=h.797xkvg0jk34" w:id="8"/>
      <w:bookmarkEnd w:id="8"/>
      <w:r w:rsidDel="00000000" w:rsidR="00000000" w:rsidRPr="00000000">
        <w:rPr>
          <w:rFonts w:ascii="Times New Roman" w:cs="Times New Roman" w:eastAsia="Times New Roman" w:hAnsi="Times New Roman"/>
          <w:sz w:val="24"/>
          <w:szCs w:val="24"/>
          <w:highlight w:val="cyan"/>
          <w:rtl w:val="0"/>
        </w:rPr>
        <w:t xml:space="preserve">Programa anual de monitoreo medioambiental</w:t>
      </w:r>
    </w:p>
    <w:p w:rsidR="00000000" w:rsidDel="00000000" w:rsidP="00000000" w:rsidRDefault="00000000" w:rsidRPr="00000000" w14:paraId="00000049">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Comprende, entre otros aspectos, un seguimiento a:</w:t>
      </w:r>
    </w:p>
    <w:p w:rsidR="00000000" w:rsidDel="00000000" w:rsidP="00000000" w:rsidRDefault="00000000" w:rsidRPr="00000000" w14:paraId="0000004A">
      <w:pPr>
        <w:widowControl w:val="1"/>
        <w:numPr>
          <w:ilvl w:val="0"/>
          <w:numId w:val="9"/>
        </w:numPr>
        <w:shd w:fill="ffffff" w:val="clear"/>
        <w:spacing w:after="0" w:afterAutospacing="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Ruido ambiental</w:t>
      </w:r>
    </w:p>
    <w:p w:rsidR="00000000" w:rsidDel="00000000" w:rsidP="00000000" w:rsidRDefault="00000000" w:rsidRPr="00000000" w14:paraId="0000004B">
      <w:pPr>
        <w:widowControl w:val="1"/>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Condiciones de iluminación</w:t>
      </w:r>
    </w:p>
    <w:p w:rsidR="00000000" w:rsidDel="00000000" w:rsidP="00000000" w:rsidRDefault="00000000" w:rsidRPr="00000000" w14:paraId="0000004C">
      <w:pPr>
        <w:widowControl w:val="1"/>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Radiación electromagnética</w:t>
      </w:r>
    </w:p>
    <w:p w:rsidR="00000000" w:rsidDel="00000000" w:rsidP="00000000" w:rsidRDefault="00000000" w:rsidRPr="00000000" w14:paraId="0000004D">
      <w:pPr>
        <w:widowControl w:val="1"/>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Calidad del aire</w:t>
      </w:r>
    </w:p>
    <w:p w:rsidR="00000000" w:rsidDel="00000000" w:rsidP="00000000" w:rsidRDefault="00000000" w:rsidRPr="00000000" w14:paraId="0000004E">
      <w:pPr>
        <w:widowControl w:val="1"/>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Calidad del agua</w:t>
      </w:r>
    </w:p>
    <w:p w:rsidR="00000000" w:rsidDel="00000000" w:rsidP="00000000" w:rsidRDefault="00000000" w:rsidRPr="00000000" w14:paraId="0000004F">
      <w:pPr>
        <w:widowControl w:val="1"/>
        <w:numPr>
          <w:ilvl w:val="0"/>
          <w:numId w:val="9"/>
        </w:numPr>
        <w:shd w:fill="ffffff" w:val="clear"/>
        <w:spacing w:after="280" w:before="0" w:beforeAutospacing="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Factores meteorológicos</w:t>
      </w:r>
    </w:p>
    <w:p w:rsidR="00000000" w:rsidDel="00000000" w:rsidP="00000000" w:rsidRDefault="00000000" w:rsidRPr="00000000" w14:paraId="00000050">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Regulado en el Decreto 1072 de 2015 en los artículos 2.2.4.6.12., puntos 4 y 13, 2.2.4.6.16., punto 6, 2.2.4.6.21., punto 8 y 2.2.4.6.22., punto 6.</w:t>
      </w:r>
    </w:p>
    <w:p w:rsidR="00000000" w:rsidDel="00000000" w:rsidP="00000000" w:rsidRDefault="00000000" w:rsidRPr="00000000" w14:paraId="00000051">
      <w:pPr>
        <w:pStyle w:val="Heading3"/>
        <w:keepNext w:val="0"/>
        <w:keepLines w:val="0"/>
        <w:widowControl w:val="1"/>
        <w:pBdr>
          <w:top w:color="auto" w:space="11" w:sz="0" w:val="none"/>
        </w:pBdr>
        <w:shd w:fill="ffffff" w:val="clear"/>
        <w:spacing w:after="160" w:before="0" w:line="240" w:lineRule="auto"/>
        <w:rPr>
          <w:rFonts w:ascii="Times New Roman" w:cs="Times New Roman" w:eastAsia="Times New Roman" w:hAnsi="Times New Roman"/>
          <w:sz w:val="24"/>
          <w:szCs w:val="24"/>
          <w:highlight w:val="cyan"/>
        </w:rPr>
      </w:pPr>
      <w:bookmarkStart w:colFirst="0" w:colLast="0" w:name="_heading=h.ylr7rjzf4p2d" w:id="9"/>
      <w:bookmarkEnd w:id="9"/>
      <w:r w:rsidDel="00000000" w:rsidR="00000000" w:rsidRPr="00000000">
        <w:rPr>
          <w:rFonts w:ascii="Times New Roman" w:cs="Times New Roman" w:eastAsia="Times New Roman" w:hAnsi="Times New Roman"/>
          <w:sz w:val="24"/>
          <w:szCs w:val="24"/>
          <w:highlight w:val="cyan"/>
          <w:rtl w:val="0"/>
        </w:rPr>
        <w:t xml:space="preserve">Programa de selección y evaluación de proveedores</w:t>
      </w:r>
    </w:p>
    <w:p w:rsidR="00000000" w:rsidDel="00000000" w:rsidP="00000000" w:rsidRDefault="00000000" w:rsidRPr="00000000" w14:paraId="00000052">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través de este programa se definen y aplican las condiciones que deben cumplir los proveedores, en materia de SST, para que sean seleccionables.</w:t>
      </w:r>
    </w:p>
    <w:p w:rsidR="00000000" w:rsidDel="00000000" w:rsidP="00000000" w:rsidRDefault="00000000" w:rsidRPr="00000000" w14:paraId="00000053">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nombres de los planes y programas en el SG-SST pueden variar dependiendo de la actividad económica de la empresa, la normatividad aplicable y la priorización de riesgos que se realice en la evaluación de peligros.</w:t>
      </w:r>
    </w:p>
    <w:p w:rsidR="00000000" w:rsidDel="00000000" w:rsidP="00000000" w:rsidRDefault="00000000" w:rsidRPr="00000000" w14:paraId="00000054">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Fuente de :</w:t>
      </w:r>
      <w:hyperlink r:id="rId11">
        <w:r w:rsidDel="00000000" w:rsidR="00000000" w:rsidRPr="00000000">
          <w:rPr>
            <w:rFonts w:ascii="Times New Roman" w:cs="Times New Roman" w:eastAsia="Times New Roman" w:hAnsi="Times New Roman"/>
            <w:color w:val="1155cc"/>
            <w:sz w:val="24"/>
            <w:szCs w:val="24"/>
            <w:u w:val="single"/>
            <w:rtl w:val="0"/>
          </w:rPr>
          <w:t xml:space="preserve">https://safetya.co/planes-programas-en-el-sg-sst/</w:t>
        </w:r>
      </w:hyperlink>
      <w:r w:rsidDel="00000000" w:rsidR="00000000" w:rsidRPr="00000000">
        <w:rPr>
          <w:rtl w:val="0"/>
        </w:rPr>
      </w:r>
    </w:p>
    <w:p w:rsidR="00000000" w:rsidDel="00000000" w:rsidP="00000000" w:rsidRDefault="00000000" w:rsidRPr="00000000" w14:paraId="00000055">
      <w:pPr>
        <w:widowControl w:val="1"/>
        <w:shd w:fill="ffffff" w:val="clear"/>
        <w:spacing w:after="160" w:before="3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3</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Indague sobre que es una ARL y registre sus Funciones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shd w:fill="ff9900" w:val="clear"/>
        </w:rPr>
      </w:pPr>
      <w:r w:rsidDel="00000000" w:rsidR="00000000" w:rsidRPr="00000000">
        <w:rPr>
          <w:rFonts w:ascii="Arial" w:cs="Arial" w:eastAsia="Arial" w:hAnsi="Arial"/>
          <w:b w:val="1"/>
          <w:shd w:fill="ff9900" w:val="clear"/>
          <w:rtl w:val="0"/>
        </w:rPr>
        <w:t xml:space="preserve">Que es una ARL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shd w:fill="ff9900" w:val="clear"/>
        </w:rPr>
      </w:pPr>
      <w:r w:rsidDel="00000000" w:rsidR="00000000" w:rsidRPr="00000000">
        <w:rPr>
          <w:rtl w:val="0"/>
        </w:rPr>
      </w:r>
    </w:p>
    <w:p w:rsidR="00000000" w:rsidDel="00000000" w:rsidP="00000000" w:rsidRDefault="00000000" w:rsidRPr="00000000" w14:paraId="0000005E">
      <w:pPr>
        <w:widowControl w:val="1"/>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Administradoras de Riesgos Laborales o más conocidas como ARL, son entidades aseguradoras de vida que desarrollan sus actividades con los seguros laborales; es decir, son aseguradoras que cubren riesgos de tipo laboral, incluidos aquellos que se puedan generar de camino al lugar de trabajo.</w:t>
      </w:r>
    </w:p>
    <w:p w:rsidR="00000000" w:rsidDel="00000000" w:rsidP="00000000" w:rsidRDefault="00000000" w:rsidRPr="00000000" w14:paraId="0000005F">
      <w:pPr>
        <w:widowControl w:val="1"/>
        <w:shd w:fill="ffffff" w:val="clea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general de riesgos laborales es un grupo de entidades encaminadas a proteger y asegurar la vida de los empleados en las empresas, regulado en la ley 1295 de 1994, las ARL pues son las que tienen contacto directo con el empleador. Es de gran importancia resaltar que estas entidades cubren tanto enfermedades así como accidentes. Fuente de 👍</w:t>
      </w:r>
      <w:hyperlink r:id="rId12">
        <w:r w:rsidDel="00000000" w:rsidR="00000000" w:rsidRPr="00000000">
          <w:rPr>
            <w:rFonts w:ascii="Times New Roman" w:cs="Times New Roman" w:eastAsia="Times New Roman" w:hAnsi="Times New Roman"/>
            <w:color w:val="1155cc"/>
            <w:sz w:val="24"/>
            <w:szCs w:val="24"/>
            <w:u w:val="single"/>
            <w:rtl w:val="0"/>
          </w:rPr>
          <w:t xml:space="preserve">https://www.larepublica.co/especiales/especial-salud-agosto-2019/conozca-que-es-una-arl-cuales-con-sus-funciones-y-que-ley-las-regula-en-colombia-2901676</w:t>
        </w:r>
      </w:hyperlink>
      <w:r w:rsidDel="00000000" w:rsidR="00000000" w:rsidRPr="00000000">
        <w:rPr>
          <w:rtl w:val="0"/>
        </w:rPr>
      </w:r>
    </w:p>
    <w:p w:rsidR="00000000" w:rsidDel="00000000" w:rsidP="00000000" w:rsidRDefault="00000000" w:rsidRPr="00000000" w14:paraId="00000060">
      <w:pPr>
        <w:widowControl w:val="1"/>
        <w:shd w:fill="ffffff" w:val="clear"/>
        <w:spacing w:after="240" w:line="360" w:lineRule="auto"/>
        <w:rPr>
          <w:rFonts w:ascii="Times New Roman" w:cs="Times New Roman" w:eastAsia="Times New Roman" w:hAnsi="Times New Roman"/>
          <w:b w:val="1"/>
          <w:sz w:val="24"/>
          <w:szCs w:val="24"/>
          <w:shd w:fill="f6b26b" w:val="clear"/>
        </w:rPr>
      </w:pPr>
      <w:r w:rsidDel="00000000" w:rsidR="00000000" w:rsidRPr="00000000">
        <w:rPr>
          <w:rFonts w:ascii="Times New Roman" w:cs="Times New Roman" w:eastAsia="Times New Roman" w:hAnsi="Times New Roman"/>
          <w:b w:val="1"/>
          <w:sz w:val="24"/>
          <w:szCs w:val="24"/>
          <w:shd w:fill="f6b26b" w:val="clear"/>
          <w:rtl w:val="0"/>
        </w:rPr>
        <w:t xml:space="preserve">Funciones de la ARL</w:t>
      </w:r>
    </w:p>
    <w:p w:rsidR="00000000" w:rsidDel="00000000" w:rsidP="00000000" w:rsidRDefault="00000000" w:rsidRPr="00000000" w14:paraId="00000061">
      <w:pPr>
        <w:widowControl w:val="1"/>
        <w:numPr>
          <w:ilvl w:val="0"/>
          <w:numId w:val="3"/>
        </w:numPr>
        <w:shd w:fill="ffffff" w:val="clear"/>
        <w:spacing w:after="0" w:afterAutospacing="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Llevar a cabo programas, campañas y actividades de educación y prevención, orientadas a que las empresas afiliadas, conozcan y cumplan las normas y reglamentos técnicos en salud ocupacional</w:t>
      </w:r>
    </w:p>
    <w:p w:rsidR="00000000" w:rsidDel="00000000" w:rsidP="00000000" w:rsidRDefault="00000000" w:rsidRPr="00000000" w14:paraId="00000062">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Prestar asesoría básica en el diseño del Sistema de Gestión de Seguridad y Salud en el Trabajo.</w:t>
      </w:r>
    </w:p>
    <w:p w:rsidR="00000000" w:rsidDel="00000000" w:rsidP="00000000" w:rsidRDefault="00000000" w:rsidRPr="00000000" w14:paraId="00000063">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la capacitación básica para el montaje de brigada de emergencias, primeros auxilios y sistema de calidad en SG-SST</w:t>
      </w:r>
    </w:p>
    <w:p w:rsidR="00000000" w:rsidDel="00000000" w:rsidP="00000000" w:rsidRDefault="00000000" w:rsidRPr="00000000" w14:paraId="00000064">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Ofrecer capacitación al Vigía y/o Comité Paritario de Seguridad y Salud en el Trabajo (COPASST) de las empresas afiliadas</w:t>
      </w:r>
    </w:p>
    <w:p w:rsidR="00000000" w:rsidDel="00000000" w:rsidP="00000000" w:rsidRDefault="00000000" w:rsidRPr="00000000" w14:paraId="00000065">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Adelantar acciones para el fomento de estilos de vida y trabajo saludables</w:t>
      </w:r>
    </w:p>
    <w:p w:rsidR="00000000" w:rsidDel="00000000" w:rsidP="00000000" w:rsidRDefault="00000000" w:rsidRPr="00000000" w14:paraId="00000066">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Investigar los accidentes de trabajo y enfermedades laborales que afecten a los trabajadores afiliados</w:t>
      </w:r>
    </w:p>
    <w:p w:rsidR="00000000" w:rsidDel="00000000" w:rsidP="00000000" w:rsidRDefault="00000000" w:rsidRPr="00000000" w14:paraId="00000067">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programas regulares de prevención y control de riesgos laborales y de rehabilitación integral</w:t>
      </w:r>
    </w:p>
    <w:p w:rsidR="00000000" w:rsidDel="00000000" w:rsidP="00000000" w:rsidRDefault="00000000" w:rsidRPr="00000000" w14:paraId="00000068">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Apoyar, asesorar y desarrollar campañas enfocadas al control de los riesgos laborales, el desarrollo de los sistemas de vigilancia epidemiológica y la evaluación y formulación de ajustes al plan de trabajo anual de las empresas</w:t>
      </w:r>
    </w:p>
    <w:p w:rsidR="00000000" w:rsidDel="00000000" w:rsidP="00000000" w:rsidRDefault="00000000" w:rsidRPr="00000000" w14:paraId="00000069">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acciones para prevenir los daños secundarios y secuelas en caso de incapacidad permanente parcial e invalidez, para logar la rehabilitación integral y facilitar los procesos de readaptación y reubicación laboral</w:t>
      </w:r>
    </w:p>
    <w:p w:rsidR="00000000" w:rsidDel="00000000" w:rsidP="00000000" w:rsidRDefault="00000000" w:rsidRPr="00000000" w14:paraId="0000006A">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Asesorar en la implementación de áreas, puestos de trabajo, máquinas, equipos y herramientas para los procesos de reinserción laboral, con el objeto de intervenir y evitar los accidentes de trabajo y enfermedades laborales</w:t>
      </w:r>
    </w:p>
    <w:p w:rsidR="00000000" w:rsidDel="00000000" w:rsidP="00000000" w:rsidRDefault="00000000" w:rsidRPr="00000000" w14:paraId="0000006B">
      <w:pPr>
        <w:widowControl w:val="1"/>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Prestar asesoría técnica para la realización de estudios evaluativos de higiene ocupacional o industrial, diseño e instalación de métodos de control de ingeniería, según el grado de riesgo, para reducir la exposición de los trabajadores a niveles permisibles.</w:t>
      </w:r>
    </w:p>
    <w:p w:rsidR="00000000" w:rsidDel="00000000" w:rsidP="00000000" w:rsidRDefault="00000000" w:rsidRPr="00000000" w14:paraId="0000006C">
      <w:pPr>
        <w:widowControl w:val="1"/>
        <w:numPr>
          <w:ilvl w:val="0"/>
          <w:numId w:val="3"/>
        </w:numPr>
        <w:shd w:fill="ffffff" w:val="clear"/>
        <w:spacing w:after="280" w:before="0" w:beforeAutospacing="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https://safetya.co/obligaciones-arl-colombia/</w:t>
      </w:r>
    </w:p>
    <w:p w:rsidR="00000000" w:rsidDel="00000000" w:rsidP="00000000" w:rsidRDefault="00000000" w:rsidRPr="00000000" w14:paraId="0000006D">
      <w:pPr>
        <w:widowControl w:val="1"/>
        <w:shd w:fill="ffffff" w:val="clea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1"/>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1"/>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Investigue sobre </w:t>
      </w:r>
      <w:r w:rsidDel="00000000" w:rsidR="00000000" w:rsidRPr="00000000">
        <w:rPr>
          <w:rFonts w:ascii="Arial" w:cs="Arial" w:eastAsia="Arial" w:hAnsi="Arial"/>
          <w:b w:val="1"/>
          <w:rtl w:val="0"/>
        </w:rPr>
        <w:t xml:space="preserve">qué</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son los EPP y cuál es su objetivo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78">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suma, el EPP sirve para proporcionar seguridad al profesional durante su trabajo. Esto incluye la protección contra accidentes y enfermedades que puedan derivar de su ocupación.</w:t>
      </w:r>
    </w:p>
    <w:p w:rsidR="00000000" w:rsidDel="00000000" w:rsidP="00000000" w:rsidRDefault="00000000" w:rsidRPr="00000000" w14:paraId="00000079">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las empresas, estos equipamientos también acaban brindando un ahorro de costos. Este es un punto que mucha gente desconoce.</w:t>
      </w:r>
    </w:p>
    <w:p w:rsidR="00000000" w:rsidDel="00000000" w:rsidP="00000000" w:rsidRDefault="00000000" w:rsidRPr="00000000" w14:paraId="0000007A">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organizaciones que realizan tareas insalubres y con un nivel de ruido por encima de los límites permitidos, por ejemplo, deben pagar un extra insalubre.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in embargo, si pone a disposición el EPP apropiado, puede quedar exenta de este pago. El ruido se neutralizará, sin causar más daño esperado a la audición del profesional.</w:t>
      </w:r>
    </w:p>
    <w:p w:rsidR="00000000" w:rsidDel="00000000" w:rsidP="00000000" w:rsidRDefault="00000000" w:rsidRPr="00000000" w14:paraId="0000007B">
      <w:pPr>
        <w:widowControl w:val="1"/>
        <w:shd w:fill="ffffff" w:val="clear"/>
        <w:spacing w:after="220" w:line="240" w:lineRule="auto"/>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Objetivos: </w:t>
      </w:r>
    </w:p>
    <w:p w:rsidR="00000000" w:rsidDel="00000000" w:rsidP="00000000" w:rsidRDefault="00000000" w:rsidRPr="00000000" w14:paraId="0000007C">
      <w:pPr>
        <w:widowControl w:val="1"/>
        <w:shd w:fill="ffffff" w:val="clear"/>
        <w:spacing w:after="220" w:line="24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7D">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EPP es un elemento básico y, al mismo tiempo, imprescindible en las empresas. Aunque, en teoría, su función original es preservar la salud del colaborador, su importancia va mucho más allá de eso.</w:t>
        <w:br w:type="textWrapping"/>
        <w:br w:type="textWrapping"/>
        <w:t xml:space="preserve">Durante el trabajo diario, el empleado enfrenta algunos riesgos para su integridad física. Sin embargo, a diferencia de lo que muchas personas piensan, estos peligros no causan solo accidentes, aunque esto por sí solo ya justifica su uso.</w:t>
      </w:r>
    </w:p>
    <w:p w:rsidR="00000000" w:rsidDel="00000000" w:rsidP="00000000" w:rsidRDefault="00000000" w:rsidRPr="00000000" w14:paraId="0000007E">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exposición regular a ciertas acciones o agentes, el colaborador puede presentar problemas en su salud a largo plazo. Como has visto anteriormente, la audición puede verse afectada por estos impactos.</w:t>
      </w:r>
    </w:p>
    <w:p w:rsidR="00000000" w:rsidDel="00000000" w:rsidP="00000000" w:rsidRDefault="00000000" w:rsidRPr="00000000" w14:paraId="0000007F">
      <w:pPr>
        <w:widowControl w:val="1"/>
        <w:shd w:fill="ffffff" w:val="clear"/>
        <w:spacing w:after="2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estos elementos también tienen como objetivo minimizar las posibilidades de que los colaboradores desarrollen complicaciones o enfermedades ocupacionales que afecten su bienestar.</w:t>
      </w:r>
    </w:p>
    <w:p w:rsidR="00000000" w:rsidDel="00000000" w:rsidP="00000000" w:rsidRDefault="00000000" w:rsidRPr="00000000" w14:paraId="00000080">
      <w:pPr>
        <w:widowControl w:val="1"/>
        <w:shd w:fill="ffffff" w:val="clear"/>
        <w:spacing w:after="220" w:line="240"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Consulte Sobre los 3 tipos de Exámenes Médicos Ocupacionales que se deben realizar en las Empresas.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Estas evaluaciones permiten a las organizaciones conocer las condiciones físicas y médicas de los colaboradores. De ese modo, se optimiza el desempeño de la compañía, el clima laboral y el logro de los objetivos empresariales.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widowControl w:val="1"/>
        <w:shd w:fill="ffffff" w:val="clear"/>
        <w:spacing w:after="180" w:before="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shd w:fill="6d9eeb" w:val="clear"/>
          <w:rtl w:val="0"/>
        </w:rPr>
        <w:t xml:space="preserve"> </w:t>
      </w:r>
      <w:r w:rsidDel="00000000" w:rsidR="00000000" w:rsidRPr="00000000">
        <w:rPr>
          <w:rFonts w:ascii="Times New Roman" w:cs="Times New Roman" w:eastAsia="Times New Roman" w:hAnsi="Times New Roman"/>
          <w:b w:val="1"/>
          <w:sz w:val="24"/>
          <w:szCs w:val="24"/>
          <w:shd w:fill="6d9eeb" w:val="clear"/>
          <w:rtl w:val="0"/>
        </w:rPr>
        <w:t xml:space="preserve">Examen médico preocupacional.</w:t>
      </w:r>
      <w:r w:rsidDel="00000000" w:rsidR="00000000" w:rsidRPr="00000000">
        <w:rPr>
          <w:rFonts w:ascii="Times New Roman" w:cs="Times New Roman" w:eastAsia="Times New Roman" w:hAnsi="Times New Roman"/>
          <w:sz w:val="24"/>
          <w:szCs w:val="24"/>
          <w:shd w:fill="6d9eeb" w:val="clear"/>
          <w:rtl w:val="0"/>
        </w:rPr>
        <w:t xml:space="preserve"> </w:t>
      </w:r>
      <w:r w:rsidDel="00000000" w:rsidR="00000000" w:rsidRPr="00000000">
        <w:rPr>
          <w:rFonts w:ascii="Times New Roman" w:cs="Times New Roman" w:eastAsia="Times New Roman" w:hAnsi="Times New Roman"/>
          <w:sz w:val="24"/>
          <w:szCs w:val="24"/>
          <w:highlight w:val="white"/>
          <w:rtl w:val="0"/>
        </w:rPr>
        <w:t xml:space="preserve">Es realizado al trabajador antes de que comience sus labores. Tiene como objetivo determinar su estado de salud y sus aptitudes para la posición a la que está postulando.</w:t>
      </w:r>
    </w:p>
    <w:p w:rsidR="00000000" w:rsidDel="00000000" w:rsidP="00000000" w:rsidRDefault="00000000" w:rsidRPr="00000000" w14:paraId="0000008C">
      <w:pPr>
        <w:widowControl w:val="1"/>
        <w:shd w:fill="ffffff" w:val="clear"/>
        <w:spacing w:after="180" w:before="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b w:val="1"/>
          <w:sz w:val="24"/>
          <w:szCs w:val="24"/>
          <w:shd w:fill="6d9eeb" w:val="clear"/>
          <w:rtl w:val="0"/>
        </w:rPr>
        <w:t xml:space="preserve"> Examen médico ocupacional periódico</w:t>
      </w:r>
      <w:r w:rsidDel="00000000" w:rsidR="00000000" w:rsidRPr="00000000">
        <w:rPr>
          <w:rFonts w:ascii="Times New Roman" w:cs="Times New Roman" w:eastAsia="Times New Roman" w:hAnsi="Times New Roman"/>
          <w:sz w:val="24"/>
          <w:szCs w:val="24"/>
          <w:highlight w:val="white"/>
          <w:rtl w:val="0"/>
        </w:rPr>
        <w:t xml:space="preserve">. Se lleva a cabo para para detectar posibles problemas de salud en los colaboradores, relacionados a la actividad que realizan. "Se repiten cada dos años en organizaciones que no pertenecen a rubros de alto riesgo. En el caso de estas últimas, se deben llevar a cabo anualmente", detalla Vargas.</w:t>
      </w:r>
    </w:p>
    <w:p w:rsidR="00000000" w:rsidDel="00000000" w:rsidP="00000000" w:rsidRDefault="00000000" w:rsidRPr="00000000" w14:paraId="0000008D">
      <w:pPr>
        <w:widowControl w:val="1"/>
        <w:shd w:fill="ffffff" w:val="clear"/>
        <w:spacing w:after="180" w:before="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w:t>
      </w:r>
      <w:r w:rsidDel="00000000" w:rsidR="00000000" w:rsidRPr="00000000">
        <w:rPr>
          <w:rFonts w:ascii="Times New Roman" w:cs="Times New Roman" w:eastAsia="Times New Roman" w:hAnsi="Times New Roman"/>
          <w:b w:val="1"/>
          <w:sz w:val="24"/>
          <w:szCs w:val="24"/>
          <w:shd w:fill="6d9eeb" w:val="clear"/>
          <w:rtl w:val="0"/>
        </w:rPr>
        <w:t xml:space="preserve"> Examen médico ocupacional de retiro. </w:t>
      </w:r>
      <w:r w:rsidDel="00000000" w:rsidR="00000000" w:rsidRPr="00000000">
        <w:rPr>
          <w:rFonts w:ascii="Times New Roman" w:cs="Times New Roman" w:eastAsia="Times New Roman" w:hAnsi="Times New Roman"/>
          <w:sz w:val="24"/>
          <w:szCs w:val="24"/>
          <w:highlight w:val="white"/>
          <w:rtl w:val="0"/>
        </w:rPr>
        <w:t xml:space="preserve">Es realizado a los trabajadores días previos a su salida de la organización. A través de él, se busca detectar enfermedades relacionadas al trabajo o algunas secuelas propias de la actividad efectuada.</w:t>
      </w:r>
    </w:p>
    <w:p w:rsidR="00000000" w:rsidDel="00000000" w:rsidP="00000000" w:rsidRDefault="00000000" w:rsidRPr="00000000" w14:paraId="0000008E">
      <w:pPr>
        <w:widowControl w:val="1"/>
        <w:shd w:fill="ffffff" w:val="clear"/>
        <w:spacing w:after="180" w:before="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w:t>
      </w:r>
      <w:r w:rsidDel="00000000" w:rsidR="00000000" w:rsidRPr="00000000">
        <w:rPr>
          <w:rFonts w:ascii="Times New Roman" w:cs="Times New Roman" w:eastAsia="Times New Roman" w:hAnsi="Times New Roman"/>
          <w:b w:val="1"/>
          <w:sz w:val="24"/>
          <w:szCs w:val="24"/>
          <w:shd w:fill="6d9eeb" w:val="clear"/>
          <w:rtl w:val="0"/>
        </w:rPr>
        <w:t xml:space="preserve">. Por cambios de ocupación o puesto de trabajo</w:t>
      </w:r>
      <w:r w:rsidDel="00000000" w:rsidR="00000000" w:rsidRPr="00000000">
        <w:rPr>
          <w:rFonts w:ascii="Times New Roman" w:cs="Times New Roman" w:eastAsia="Times New Roman" w:hAnsi="Times New Roman"/>
          <w:sz w:val="24"/>
          <w:szCs w:val="24"/>
          <w:highlight w:val="white"/>
          <w:rtl w:val="0"/>
        </w:rPr>
        <w:t xml:space="preserve">. Se realiza al colaborador cada vez que cambie de puesto de trabajo, funciones, tareas o exposición a nuevos o mayores factores de riesgo.</w:t>
      </w:r>
    </w:p>
    <w:p w:rsidR="00000000" w:rsidDel="00000000" w:rsidP="00000000" w:rsidRDefault="00000000" w:rsidRPr="00000000" w14:paraId="0000008F">
      <w:pPr>
        <w:widowControl w:val="1"/>
        <w:shd w:fill="ffffff" w:val="clear"/>
        <w:spacing w:after="180" w:before="1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Por reincorporación laboral luego de una incapacidad temporal prolongada.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3" w:type="default"/>
      <w:pgSz w:h="15840" w:w="12240" w:orient="portrait"/>
      <w:pgMar w:bottom="1440" w:top="1440" w:left="1080" w:right="1080" w:header="70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vertAlign w:val="baseline"/>
      </w:rPr>
    </w:lvl>
    <w:lvl w:ilvl="1">
      <w:start w:val="0"/>
      <w:numFmt w:val="bullet"/>
      <w:lvlText w:val="o"/>
      <w:lvlJc w:val="left"/>
      <w:pPr>
        <w:ind w:left="1440" w:hanging="360"/>
      </w:pPr>
      <w:rPr>
        <w:rFonts w:ascii="Courier New" w:cs="Courier New" w:eastAsia="Courier New" w:hAnsi="Courier New"/>
        <w:vertAlign w:val="baseline"/>
      </w:rPr>
    </w:lvl>
    <w:lvl w:ilvl="2">
      <w:start w:val="0"/>
      <w:numFmt w:val="bullet"/>
      <w:lvlText w:val="▪"/>
      <w:lvlJc w:val="left"/>
      <w:pPr>
        <w:ind w:left="2160" w:hanging="360"/>
      </w:pPr>
      <w:rPr>
        <w:rFonts w:ascii="Noto Sans Symbols" w:cs="Noto Sans Symbols" w:eastAsia="Noto Sans Symbols" w:hAnsi="Noto Sans Symbols"/>
        <w:vertAlign w:val="baseline"/>
      </w:rPr>
    </w:lvl>
    <w:lvl w:ilvl="3">
      <w:start w:val="0"/>
      <w:numFmt w:val="bullet"/>
      <w:lvlText w:val="●"/>
      <w:lvlJc w:val="left"/>
      <w:pPr>
        <w:ind w:left="2880" w:hanging="360"/>
      </w:pPr>
      <w:rPr>
        <w:rFonts w:ascii="Noto Sans Symbols" w:cs="Noto Sans Symbols" w:eastAsia="Noto Sans Symbols" w:hAnsi="Noto Sans Symbols"/>
        <w:vertAlign w:val="baseline"/>
      </w:rPr>
    </w:lvl>
    <w:lvl w:ilvl="4">
      <w:start w:val="0"/>
      <w:numFmt w:val="bullet"/>
      <w:lvlText w:val="o"/>
      <w:lvlJc w:val="left"/>
      <w:pPr>
        <w:ind w:left="3600" w:hanging="360"/>
      </w:pPr>
      <w:rPr>
        <w:rFonts w:ascii="Courier New" w:cs="Courier New" w:eastAsia="Courier New" w:hAnsi="Courier New"/>
        <w:vertAlign w:val="baseline"/>
      </w:rPr>
    </w:lvl>
    <w:lvl w:ilvl="5">
      <w:start w:val="0"/>
      <w:numFmt w:val="bullet"/>
      <w:lvlText w:val="▪"/>
      <w:lvlJc w:val="left"/>
      <w:pPr>
        <w:ind w:left="4320" w:hanging="360"/>
      </w:pPr>
      <w:rPr>
        <w:rFonts w:ascii="Noto Sans Symbols" w:cs="Noto Sans Symbols" w:eastAsia="Noto Sans Symbols" w:hAnsi="Noto Sans Symbols"/>
        <w:vertAlign w:val="baseline"/>
      </w:rPr>
    </w:lvl>
    <w:lvl w:ilvl="6">
      <w:start w:val="0"/>
      <w:numFmt w:val="bullet"/>
      <w:lvlText w:val="●"/>
      <w:lvlJc w:val="left"/>
      <w:pPr>
        <w:ind w:left="5040" w:hanging="360"/>
      </w:pPr>
      <w:rPr>
        <w:rFonts w:ascii="Noto Sans Symbols" w:cs="Noto Sans Symbols" w:eastAsia="Noto Sans Symbols" w:hAnsi="Noto Sans Symbols"/>
        <w:vertAlign w:val="baseline"/>
      </w:rPr>
    </w:lvl>
    <w:lvl w:ilvl="7">
      <w:start w:val="0"/>
      <w:numFmt w:val="bullet"/>
      <w:lvlText w:val="o"/>
      <w:lvlJc w:val="left"/>
      <w:pPr>
        <w:ind w:left="5760" w:hanging="360"/>
      </w:pPr>
      <w:rPr>
        <w:rFonts w:ascii="Courier New" w:cs="Courier New" w:eastAsia="Courier New" w:hAnsi="Courier New"/>
        <w:vertAlign w:val="baseline"/>
      </w:rPr>
    </w:lvl>
    <w:lvl w:ilvl="8">
      <w:start w:val="0"/>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Arial" w:cs="Arial" w:eastAsia="Arial" w:hAnsi="Arial"/>
        <w:color w:val="46464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ff000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644" w:hanging="359.99999999999994"/>
      </w:pPr>
      <w:rPr>
        <w:vertAlign w:val="baseline"/>
      </w:rPr>
    </w:lvl>
    <w:lvl w:ilvl="1">
      <w:start w:val="1"/>
      <w:numFmt w:val="lowerLetter"/>
      <w:lvlText w:val="%2."/>
      <w:lvlJc w:val="left"/>
      <w:pPr>
        <w:ind w:left="1440" w:hanging="360"/>
      </w:pPr>
      <w:rPr>
        <w:vertAlign w:val="baseline"/>
      </w:rPr>
    </w:lvl>
    <w:lvl w:ilvl="2">
      <w:start w:val="1"/>
      <w:numFmt w:val="lowerRoman"/>
      <w:lvlText w:val="%1.%2.%3."/>
      <w:lvlJc w:val="right"/>
      <w:pPr>
        <w:ind w:left="2160" w:hanging="180"/>
      </w:pPr>
      <w:rPr>
        <w:vertAlign w:val="baseline"/>
      </w:rPr>
    </w:lvl>
    <w:lvl w:ilvl="3">
      <w:start w:val="1"/>
      <w:numFmt w:val="decimal"/>
      <w:lvlText w:val="%1.%2.%3.%4."/>
      <w:lvlJc w:val="left"/>
      <w:pPr>
        <w:ind w:left="2880" w:hanging="360"/>
      </w:pPr>
      <w:rPr>
        <w:vertAlign w:val="baseline"/>
      </w:rPr>
    </w:lvl>
    <w:lvl w:ilvl="4">
      <w:start w:val="1"/>
      <w:numFmt w:val="lowerLetter"/>
      <w:lvlText w:val="%1.%2.%3.%4.%5."/>
      <w:lvlJc w:val="left"/>
      <w:pPr>
        <w:ind w:left="3600" w:hanging="360"/>
      </w:pPr>
      <w:rPr>
        <w:vertAlign w:val="baseline"/>
      </w:rPr>
    </w:lvl>
    <w:lvl w:ilvl="5">
      <w:start w:val="1"/>
      <w:numFmt w:val="lowerRoman"/>
      <w:lvlText w:val="%1.%2.%3.%4.%5.%6."/>
      <w:lvlJc w:val="right"/>
      <w:pPr>
        <w:ind w:left="4320" w:hanging="180"/>
      </w:pPr>
      <w:rPr>
        <w:vertAlign w:val="baseline"/>
      </w:rPr>
    </w:lvl>
    <w:lvl w:ilvl="6">
      <w:start w:val="1"/>
      <w:numFmt w:val="decimal"/>
      <w:lvlText w:val="%1.%2.%3.%4.%5.%6.%7."/>
      <w:lvlJc w:val="left"/>
      <w:pPr>
        <w:ind w:left="5040" w:hanging="360"/>
      </w:pPr>
      <w:rPr>
        <w:vertAlign w:val="baseline"/>
      </w:rPr>
    </w:lvl>
    <w:lvl w:ilvl="7">
      <w:start w:val="1"/>
      <w:numFmt w:val="lowerLetter"/>
      <w:lvlText w:val="%1.%2.%3.%4.%5.%6.%7.%8."/>
      <w:lvlJc w:val="left"/>
      <w:pPr>
        <w:ind w:left="5760" w:hanging="360"/>
      </w:pPr>
      <w:rPr>
        <w:vertAlign w:val="baseline"/>
      </w:rPr>
    </w:lvl>
    <w:lvl w:ilvl="8">
      <w:start w:val="1"/>
      <w:numFmt w:val="lowerRoman"/>
      <w:lvlText w:val="%1.%2.%3.%4.%5.%6.%7.%8.%9."/>
      <w:lvlJc w:val="right"/>
      <w:pPr>
        <w:ind w:left="6480" w:hanging="180"/>
      </w:pPr>
      <w:rPr>
        <w:vertAlign w:val="baseline"/>
      </w:rPr>
    </w:lvl>
  </w:abstractNum>
  <w:abstractNum w:abstractNumId="5">
    <w:lvl w:ilvl="0">
      <w:start w:val="1"/>
      <w:numFmt w:val="bullet"/>
      <w:lvlText w:val="●"/>
      <w:lvlJc w:val="left"/>
      <w:pPr>
        <w:ind w:left="720" w:hanging="360"/>
      </w:pPr>
      <w:rPr>
        <w:rFonts w:ascii="Arial" w:cs="Arial" w:eastAsia="Arial" w:hAnsi="Arial"/>
        <w:color w:val="46464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6464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6464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b w:val="1"/>
        <w:color w:val="1155cc"/>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46464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0"/>
      <w:autoSpaceDN w:val="0"/>
      <w:spacing w:after="200" w:line="276"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CO"/>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Standard">
    <w:name w:val="Standard"/>
    <w:next w:val="Standard"/>
    <w:autoRedefine w:val="0"/>
    <w:hidden w:val="0"/>
    <w:qFormat w:val="0"/>
    <w:pPr>
      <w:suppressAutoHyphens w:val="0"/>
      <w:autoSpaceDN w:val="0"/>
      <w:spacing w:after="200" w:line="276"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Heading">
    <w:name w:val="Heading"/>
    <w:basedOn w:val="Standard"/>
    <w:next w:val="Textbody"/>
    <w:autoRedefine w:val="0"/>
    <w:hidden w:val="0"/>
    <w:qFormat w:val="0"/>
    <w:pPr>
      <w:keepNext w:val="1"/>
      <w:suppressAutoHyphens w:val="0"/>
      <w:autoSpaceDN w:val="0"/>
      <w:spacing w:after="120" w:before="240" w:line="276" w:lineRule="auto"/>
      <w:ind w:leftChars="-1" w:rightChars="0" w:firstLineChars="-1"/>
      <w:textDirection w:val="btLr"/>
      <w:textAlignment w:val="baseline"/>
      <w:outlineLvl w:val="0"/>
    </w:pPr>
    <w:rPr>
      <w:rFonts w:ascii="Arial" w:cs="Lucida Sans" w:eastAsia="Microsoft YaHei" w:hAnsi="Arial"/>
      <w:w w:val="100"/>
      <w:kern w:val="3"/>
      <w:position w:val="-1"/>
      <w:sz w:val="28"/>
      <w:szCs w:val="28"/>
      <w:effect w:val="none"/>
      <w:vertAlign w:val="baseline"/>
      <w:cs w:val="0"/>
      <w:em w:val="none"/>
      <w:lang w:bidi="ar-SA" w:eastAsia="en-US" w:val="es-ES"/>
    </w:rPr>
  </w:style>
  <w:style w:type="paragraph" w:styleId="Textbody">
    <w:name w:val="Text body"/>
    <w:basedOn w:val="Standard"/>
    <w:next w:val="Textbody"/>
    <w:autoRedefine w:val="0"/>
    <w:hidden w:val="0"/>
    <w:qFormat w:val="0"/>
    <w:pPr>
      <w:suppressAutoHyphens w:val="0"/>
      <w:autoSpaceDN w:val="0"/>
      <w:spacing w:after="120" w:line="276"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Lista">
    <w:name w:val="Lista"/>
    <w:basedOn w:val="Textbody"/>
    <w:next w:val="Lista"/>
    <w:autoRedefine w:val="0"/>
    <w:hidden w:val="0"/>
    <w:qFormat w:val="0"/>
    <w:pPr>
      <w:suppressAutoHyphens w:val="0"/>
      <w:autoSpaceDN w:val="0"/>
      <w:spacing w:after="120" w:line="276"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Descripción">
    <w:name w:val="Descripción"/>
    <w:basedOn w:val="Standard"/>
    <w:next w:val="Descripción"/>
    <w:autoRedefine w:val="0"/>
    <w:hidden w:val="0"/>
    <w:qFormat w:val="0"/>
    <w:pPr>
      <w:suppressLineNumbers w:val="1"/>
      <w:suppressAutoHyphens w:val="0"/>
      <w:autoSpaceDN w:val="0"/>
      <w:spacing w:after="120" w:before="120" w:line="276" w:lineRule="auto"/>
      <w:ind w:leftChars="-1" w:rightChars="0" w:firstLineChars="-1"/>
      <w:textDirection w:val="btLr"/>
      <w:textAlignment w:val="baseline"/>
      <w:outlineLvl w:val="0"/>
    </w:pPr>
    <w:rPr>
      <w:i w:val="1"/>
      <w:iCs w:val="1"/>
      <w:w w:val="100"/>
      <w:kern w:val="3"/>
      <w:position w:val="-1"/>
      <w:sz w:val="24"/>
      <w:szCs w:val="24"/>
      <w:effect w:val="none"/>
      <w:vertAlign w:val="baseline"/>
      <w:cs w:val="0"/>
      <w:em w:val="none"/>
      <w:lang w:bidi="ar-SA" w:eastAsia="en-US" w:val="es-ES"/>
    </w:rPr>
  </w:style>
  <w:style w:type="paragraph" w:styleId="Index">
    <w:name w:val="Index"/>
    <w:basedOn w:val="Standard"/>
    <w:next w:val="Index"/>
    <w:autoRedefine w:val="0"/>
    <w:hidden w:val="0"/>
    <w:qFormat w:val="0"/>
    <w:pPr>
      <w:suppressLineNumbers w:val="1"/>
      <w:suppressAutoHyphens w:val="0"/>
      <w:autoSpaceDN w:val="0"/>
      <w:spacing w:after="200" w:line="276"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Normal(Web)">
    <w:name w:val="Normal (Web)"/>
    <w:basedOn w:val="Standard"/>
    <w:next w:val="Normal(Web)"/>
    <w:autoRedefine w:val="0"/>
    <w:hidden w:val="0"/>
    <w:qFormat w:val="0"/>
    <w:pPr>
      <w:suppressAutoHyphens w:val="0"/>
      <w:autoSpaceDN w:val="0"/>
      <w:spacing w:after="100" w:before="100" w:line="240" w:lineRule="auto"/>
      <w:ind w:leftChars="-1" w:rightChars="0" w:firstLineChars="-1"/>
      <w:textDirection w:val="btLr"/>
      <w:textAlignment w:val="baseline"/>
      <w:outlineLvl w:val="0"/>
    </w:pPr>
    <w:rPr>
      <w:rFonts w:ascii="Times New Roman" w:cs="Times New Roman" w:eastAsia="SimSun" w:hAnsi="Times New Roman"/>
      <w:w w:val="100"/>
      <w:kern w:val="3"/>
      <w:position w:val="-1"/>
      <w:sz w:val="24"/>
      <w:szCs w:val="24"/>
      <w:effect w:val="none"/>
      <w:vertAlign w:val="baseline"/>
      <w:cs w:val="0"/>
      <w:em w:val="none"/>
      <w:lang w:bidi="ar-SA" w:eastAsia="zh-CN" w:val="es-CO"/>
    </w:rPr>
  </w:style>
  <w:style w:type="paragraph" w:styleId="Párrafodelista">
    <w:name w:val="Párrafo de lista"/>
    <w:basedOn w:val="Standard"/>
    <w:next w:val="Párrafodelista"/>
    <w:autoRedefine w:val="0"/>
    <w:hidden w:val="0"/>
    <w:qFormat w:val="0"/>
    <w:pPr>
      <w:suppressAutoHyphens w:val="0"/>
      <w:autoSpaceDN w:val="0"/>
      <w:spacing w:after="200" w:line="276" w:lineRule="auto"/>
      <w:ind w:left="720"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Sinespaciado">
    <w:name w:val="Sin espaciado"/>
    <w:next w:val="Sinespaciado"/>
    <w:autoRedefine w:val="0"/>
    <w:hidden w:val="0"/>
    <w:qFormat w:val="0"/>
    <w:pPr>
      <w:suppressAutoHyphens w:val="0"/>
      <w:autoSpaceDN w:val="0"/>
      <w:spacing w:line="1" w:lineRule="atLeast"/>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Encabezado">
    <w:name w:val="Encabezado"/>
    <w:basedOn w:val="Standard"/>
    <w:next w:val="Encabezado"/>
    <w:autoRedefine w:val="0"/>
    <w:hidden w:val="0"/>
    <w:qFormat w:val="0"/>
    <w:pPr>
      <w:suppressLineNumbers w:val="1"/>
      <w:suppressAutoHyphens w:val="0"/>
      <w:autoSpaceDN w:val="0"/>
      <w:spacing w:after="0" w:line="240"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paragraph" w:styleId="Piedepágina">
    <w:name w:val="Pie de página"/>
    <w:basedOn w:val="Standard"/>
    <w:next w:val="Piedepágina"/>
    <w:autoRedefine w:val="0"/>
    <w:hidden w:val="0"/>
    <w:qFormat w:val="0"/>
    <w:pPr>
      <w:suppressLineNumbers w:val="1"/>
      <w:suppressAutoHyphens w:val="0"/>
      <w:autoSpaceDN w:val="0"/>
      <w:spacing w:after="0" w:line="240" w:lineRule="auto"/>
      <w:ind w:leftChars="-1" w:rightChars="0" w:firstLineChars="-1"/>
      <w:textDirection w:val="btLr"/>
      <w:textAlignment w:val="baseline"/>
      <w:outlineLvl w:val="0"/>
    </w:pPr>
    <w:rPr>
      <w:w w:val="100"/>
      <w:kern w:val="3"/>
      <w:position w:val="-1"/>
      <w:sz w:val="22"/>
      <w:szCs w:val="22"/>
      <w:effect w:val="none"/>
      <w:vertAlign w:val="baseline"/>
      <w:cs w:val="0"/>
      <w:em w:val="none"/>
      <w:lang w:bidi="ar-SA" w:eastAsia="en-US" w:val="es-ES"/>
    </w:rPr>
  </w:style>
  <w:style w:type="character" w:styleId="StrongEmphasis">
    <w:name w:val="Strong Emphasis"/>
    <w:next w:val="StrongEmphasis"/>
    <w:autoRedefine w:val="0"/>
    <w:hidden w:val="0"/>
    <w:qFormat w:val="0"/>
    <w:rPr>
      <w:b w:val="1"/>
      <w:bCs w:val="1"/>
      <w:w w:val="100"/>
      <w:position w:val="-1"/>
      <w:effect w:val="none"/>
      <w:vertAlign w:val="baseline"/>
      <w:cs w:val="0"/>
      <w:em w:val="none"/>
      <w:lang/>
    </w:rPr>
  </w:style>
  <w:style w:type="character" w:styleId="Internetlink">
    <w:name w:val="Internet link"/>
    <w:next w:val="Internetlink"/>
    <w:autoRedefine w:val="0"/>
    <w:hidden w:val="0"/>
    <w:qFormat w:val="0"/>
    <w:rPr>
      <w:color w:val="0000ff"/>
      <w:w w:val="100"/>
      <w:position w:val="-1"/>
      <w:u w:color="auto" w:val="single"/>
      <w:effect w:val="none"/>
      <w:vertAlign w:val="baseline"/>
      <w:cs w:val="0"/>
      <w:em w:val="none"/>
      <w:lang/>
    </w:rPr>
  </w:style>
  <w:style w:type="character" w:styleId="EncabezadoCar">
    <w:name w:val="Encabezado Car"/>
    <w:next w:val="EncabezadoCar"/>
    <w:autoRedefine w:val="0"/>
    <w:hidden w:val="0"/>
    <w:qFormat w:val="0"/>
    <w:rPr>
      <w:rFonts w:ascii="Calibri" w:cs="Times New Roman" w:eastAsia="Calibri" w:hAnsi="Calibri"/>
      <w:w w:val="100"/>
      <w:position w:val="-1"/>
      <w:effect w:val="none"/>
      <w:vertAlign w:val="baseline"/>
      <w:cs w:val="0"/>
      <w:em w:val="none"/>
      <w:lang w:val="es-ES"/>
    </w:rPr>
  </w:style>
  <w:style w:type="character" w:styleId="PiedepáginaCar">
    <w:name w:val="Pie de página Car"/>
    <w:next w:val="PiedepáginaCar"/>
    <w:autoRedefine w:val="0"/>
    <w:hidden w:val="0"/>
    <w:qFormat w:val="0"/>
    <w:rPr>
      <w:rFonts w:ascii="Calibri" w:cs="Times New Roman" w:eastAsia="Calibri" w:hAnsi="Calibri"/>
      <w:w w:val="100"/>
      <w:position w:val="-1"/>
      <w:effect w:val="none"/>
      <w:vertAlign w:val="baseline"/>
      <w:cs w:val="0"/>
      <w:em w:val="none"/>
      <w:lang w:val="es-ES"/>
    </w:rPr>
  </w:style>
  <w:style w:type="character" w:styleId="ListLabel1">
    <w:name w:val="ListLabel 1"/>
    <w:next w:val="ListLabel1"/>
    <w:autoRedefine w:val="0"/>
    <w:hidden w:val="0"/>
    <w:qFormat w:val="0"/>
    <w:rPr>
      <w:w w:val="100"/>
      <w:position w:val="-1"/>
      <w:effect w:val="none"/>
      <w:vertAlign w:val="baseline"/>
      <w:cs w:val="0"/>
      <w:em w:val="none"/>
      <w:lang/>
    </w:rPr>
  </w:style>
  <w:style w:type="character" w:styleId="ListLabel2">
    <w:name w:val="ListLabel 2"/>
    <w:next w:val="ListLabel2"/>
    <w:autoRedefine w:val="0"/>
    <w:hidden w:val="0"/>
    <w:qFormat w:val="0"/>
    <w:rPr>
      <w:w w:val="100"/>
      <w:position w:val="-1"/>
      <w:effect w:val="none"/>
      <w:vertAlign w:val="baseline"/>
      <w:cs w:val="0"/>
      <w:em w:val="none"/>
      <w:lang/>
    </w:rPr>
  </w:style>
  <w:style w:type="character" w:styleId="ListLabel3">
    <w:name w:val="ListLabel 3"/>
    <w:next w:val="ListLabel3"/>
    <w:autoRedefine w:val="0"/>
    <w:hidden w:val="0"/>
    <w:qFormat w:val="0"/>
    <w:rPr>
      <w:w w:val="100"/>
      <w:position w:val="-1"/>
      <w:effect w:val="none"/>
      <w:vertAlign w:val="baseline"/>
      <w:cs w:val="0"/>
      <w:em w:val="none"/>
      <w:lang/>
    </w:rPr>
  </w:style>
  <w:style w:type="character" w:styleId="ListLabel4">
    <w:name w:val="ListLabel 4"/>
    <w:next w:val="ListLabel4"/>
    <w:autoRedefine w:val="0"/>
    <w:hidden w:val="0"/>
    <w:qFormat w:val="0"/>
    <w:rPr>
      <w:color w:val="4b4b4b"/>
      <w:w w:val="100"/>
      <w:position w:val="-1"/>
      <w:effect w:val="none"/>
      <w:vertAlign w:val="baseline"/>
      <w:cs w:val="0"/>
      <w:em w:val="none"/>
      <w:lang/>
    </w:rPr>
  </w:style>
  <w:style w:type="character" w:styleId="ListLabel5">
    <w:name w:val="ListLabel 5"/>
    <w:next w:val="ListLabel5"/>
    <w:autoRedefine w:val="0"/>
    <w:hidden w:val="0"/>
    <w:qFormat w:val="0"/>
    <w:rPr>
      <w:w w:val="100"/>
      <w:position w:val="-1"/>
      <w:sz w:val="20"/>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WWNum1">
    <w:name w:val="WWNum1"/>
    <w:basedOn w:val="Sinlista"/>
    <w:next w:val="WWNum1"/>
    <w:autoRedefine w:val="0"/>
    <w:hidden w:val="0"/>
    <w:qFormat w:val="0"/>
    <w:pPr>
      <w:numPr>
        <w:ilvl w:val="0"/>
        <w:numId w:val="1"/>
      </w:numPr>
      <w:suppressAutoHyphens w:val="1"/>
      <w:spacing w:line="1" w:lineRule="atLeast"/>
      <w:ind w:leftChars="-1" w:rightChars="0" w:firstLineChars="-1"/>
      <w:textDirection w:val="btLr"/>
      <w:textAlignment w:val="top"/>
      <w:outlineLvl w:val="0"/>
    </w:pPr>
  </w:style>
  <w:style w:type="numbering" w:styleId="WWNum2">
    <w:name w:val="WWNum2"/>
    <w:basedOn w:val="Sinlista"/>
    <w:next w:val="WWNum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numbering" w:styleId="WWNum3">
    <w:name w:val="WWNum3"/>
    <w:basedOn w:val="Sinlista"/>
    <w:next w:val="WWNum3"/>
    <w:autoRedefine w:val="0"/>
    <w:hidden w:val="0"/>
    <w:qFormat w:val="0"/>
    <w:pPr>
      <w:numPr>
        <w:ilvl w:val="0"/>
        <w:numId w:val="3"/>
      </w:numPr>
      <w:suppressAutoHyphens w:val="1"/>
      <w:spacing w:line="1" w:lineRule="atLeast"/>
      <w:ind w:leftChars="-1" w:rightChars="0" w:firstLineChars="-1"/>
      <w:textDirection w:val="btLr"/>
      <w:textAlignment w:val="top"/>
      <w:outlineLvl w:val="0"/>
    </w:pPr>
  </w:style>
  <w:style w:type="numbering" w:styleId="WWNum4">
    <w:name w:val="WWNum4"/>
    <w:basedOn w:val="Sinlista"/>
    <w:next w:val="WWNum4"/>
    <w:autoRedefine w:val="0"/>
    <w:hidden w:val="0"/>
    <w:qFormat w:val="0"/>
    <w:pPr>
      <w:numPr>
        <w:ilvl w:val="0"/>
        <w:numId w:val="4"/>
      </w:numPr>
      <w:suppressAutoHyphens w:val="1"/>
      <w:spacing w:line="1" w:lineRule="atLeast"/>
      <w:ind w:leftChars="-1" w:rightChars="0" w:firstLineChars="-1"/>
      <w:textDirection w:val="btLr"/>
      <w:textAlignment w:val="top"/>
      <w:outlineLvl w:val="0"/>
    </w:pPr>
  </w:style>
  <w:style w:type="numbering" w:styleId="WWNum5">
    <w:name w:val="WWNum5"/>
    <w:basedOn w:val="Sinlista"/>
    <w:next w:val="WWNum5"/>
    <w:autoRedefine w:val="0"/>
    <w:hidden w:val="0"/>
    <w:qFormat w:val="0"/>
    <w:pPr>
      <w:numPr>
        <w:ilvl w:val="0"/>
        <w:numId w:val="5"/>
      </w:numPr>
      <w:suppressAutoHyphens w:val="1"/>
      <w:spacing w:line="1" w:lineRule="atLeast"/>
      <w:ind w:leftChars="-1" w:rightChars="0" w:firstLineChars="-1"/>
      <w:textDirection w:val="btLr"/>
      <w:textAlignment w:val="top"/>
      <w:outlineLvl w:val="0"/>
    </w:pPr>
  </w:style>
  <w:style w:type="numbering" w:styleId="WWNum6">
    <w:name w:val="WWNum6"/>
    <w:basedOn w:val="Sinlista"/>
    <w:next w:val="WWNum6"/>
    <w:autoRedefine w:val="0"/>
    <w:hidden w:val="0"/>
    <w:qFormat w:val="0"/>
    <w:pPr>
      <w:numPr>
        <w:ilvl w:val="0"/>
        <w:numId w:val="6"/>
      </w:numPr>
      <w:suppressAutoHyphens w:val="1"/>
      <w:spacing w:line="1" w:lineRule="atLeast"/>
      <w:ind w:leftChars="-1" w:rightChars="0" w:firstLineChars="-1"/>
      <w:textDirection w:val="btLr"/>
      <w:textAlignment w:val="top"/>
      <w:outlineLvl w:val="0"/>
    </w:pPr>
  </w:style>
  <w:style w:type="numbering" w:styleId="WWNum7">
    <w:name w:val="WWNum7"/>
    <w:basedOn w:val="Sinlista"/>
    <w:next w:val="WWNum7"/>
    <w:autoRedefine w:val="0"/>
    <w:hidden w:val="0"/>
    <w:qFormat w:val="0"/>
    <w:pPr>
      <w:numPr>
        <w:ilvl w:val="0"/>
        <w:numId w:val="7"/>
      </w:numPr>
      <w:suppressAutoHyphens w:val="1"/>
      <w:spacing w:line="1" w:lineRule="atLeast"/>
      <w:ind w:leftChars="-1" w:rightChars="0" w:firstLineChars="-1"/>
      <w:textDirection w:val="btLr"/>
      <w:textAlignment w:val="top"/>
      <w:outlineLvl w:val="0"/>
    </w:pPr>
  </w:style>
  <w:style w:type="numbering" w:styleId="WWNum8">
    <w:name w:val="WWNum8"/>
    <w:basedOn w:val="Sinlista"/>
    <w:next w:val="WWNum8"/>
    <w:autoRedefine w:val="0"/>
    <w:hidden w:val="0"/>
    <w:qFormat w:val="0"/>
    <w:pPr>
      <w:numPr>
        <w:ilvl w:val="0"/>
        <w:numId w:val="8"/>
      </w:numPr>
      <w:suppressAutoHyphens w:val="1"/>
      <w:spacing w:line="1" w:lineRule="atLeast"/>
      <w:ind w:leftChars="-1" w:rightChars="0" w:firstLineChars="-1"/>
      <w:textDirection w:val="btLr"/>
      <w:textAlignment w:val="top"/>
      <w:outlineLvl w:val="0"/>
    </w:pPr>
  </w:style>
  <w:style w:type="numbering" w:styleId="WWNum9">
    <w:name w:val="WWNum9"/>
    <w:basedOn w:val="Sinlista"/>
    <w:next w:val="WWNum9"/>
    <w:autoRedefine w:val="0"/>
    <w:hidden w:val="0"/>
    <w:qFormat w:val="0"/>
    <w:pPr>
      <w:numPr>
        <w:ilvl w:val="0"/>
        <w:numId w:val="9"/>
      </w:numPr>
      <w:suppressAutoHyphens w:val="1"/>
      <w:spacing w:line="1" w:lineRule="atLeast"/>
      <w:ind w:leftChars="-1" w:rightChars="0" w:firstLineChars="-1"/>
      <w:textDirection w:val="btLr"/>
      <w:textAlignment w:val="top"/>
      <w:outlineLvl w:val="0"/>
    </w:pPr>
  </w:style>
  <w:style w:type="numbering" w:styleId="WWNum10">
    <w:name w:val="WWNum10"/>
    <w:basedOn w:val="Sinlista"/>
    <w:next w:val="WWNum10"/>
    <w:autoRedefine w:val="0"/>
    <w:hidden w:val="0"/>
    <w:qFormat w:val="0"/>
    <w:pPr>
      <w:numPr>
        <w:ilvl w:val="0"/>
        <w:numId w:val="10"/>
      </w:num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safetya.co/planes-programas-en-el-sg-sst/" TargetMode="External"/><Relationship Id="rId10" Type="http://schemas.openxmlformats.org/officeDocument/2006/relationships/hyperlink" Target="https://safetya.co/el-plan-de-emergencias-una-herramienta-invaluable/" TargetMode="External"/><Relationship Id="rId13" Type="http://schemas.openxmlformats.org/officeDocument/2006/relationships/header" Target="header1.xml"/><Relationship Id="rId12" Type="http://schemas.openxmlformats.org/officeDocument/2006/relationships/hyperlink" Target="https://www.larepublica.co/especiales/especial-salud-agosto-2019/conozca-que-es-una-arl-cuales-con-sus-funciones-y-que-ley-las-regula-en-colombia-290167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afetya.co/plan-de-trabajo-anual-sg-ss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mintrabajo.gov.co/relaciones-laborales/riesgos-laborales/sistema-de-gestion-de-seguridad-y-salud-en-el-trabajo/implementacion-de-los-sistemas-de-gestion-de-seguridad-y-salud-en-el-trabajo-al-ano-2020"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Z+K4HU39pWPgoZ4sbcuThQ6Tuw==">CgMxLjAyDmguM3E3Y21rbjgweWV1Mg5oLmYwMW44aWxteDZjaDIOaC54dnY5Njg1YWFkbHoyDmguNDZsMXNwN2htZTRlMg5oLnd1MmtqMnJkeGI1aTIOaC54NHJqM204YmZmZWwyDmguNGNzYTFuZnQzdzl1Mg5oLnh2dzNobGFtMnNoOTIOaC43OTd4a3ZnMGprMzQyDmgueWxyN3JqemY0cDJkOAByITFOS0YwanBMT2s4ckpGZDlNajB6UnVRSWw0N1JPaEw4aw==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2020-12-02T14:05:00Z</dcterms:created>
  <dc:creator>Tatiana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 Company</vt:lpwstr>
  </property>
  <property fmtid="{D5CDD505-2E9C-101B-9397-08002B2CF9AE}" pid="4" name="DocSecurity">
    <vt:lpwstr>0.0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caleCrop">
    <vt:lpwstr>false</vt:lpwstr>
  </property>
  <property fmtid="{D5CDD505-2E9C-101B-9397-08002B2CF9AE}" pid="8" name="ShareDoc">
    <vt:lpwstr>false</vt:lpwstr>
  </property>
</Properties>
</file>