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681E" w14:textId="77777777" w:rsidR="00D5544D" w:rsidRPr="005A0E13" w:rsidRDefault="00000000">
      <w:pPr>
        <w:pStyle w:val="Title"/>
        <w:jc w:val="center"/>
        <w:rPr>
          <w:rFonts w:ascii="Arial" w:hAnsi="Arial" w:cs="Arial"/>
        </w:rPr>
      </w:pPr>
      <w:r w:rsidRPr="005A0E13">
        <w:rPr>
          <w:rFonts w:ascii="Arial" w:hAnsi="Arial" w:cs="Arial"/>
        </w:rPr>
        <w:t>Cyclistic: Behavioral Mirroring Model</w:t>
      </w:r>
    </w:p>
    <w:p w14:paraId="28E520AA" w14:textId="77777777" w:rsidR="00D5544D" w:rsidRPr="005A0E13" w:rsidRDefault="00000000">
      <w:pPr>
        <w:jc w:val="center"/>
        <w:rPr>
          <w:rFonts w:ascii="Arial" w:hAnsi="Arial" w:cs="Arial"/>
        </w:rPr>
      </w:pPr>
      <w:r w:rsidRPr="005A0E13">
        <w:rPr>
          <w:rFonts w:ascii="Arial" w:hAnsi="Arial" w:cs="Arial"/>
          <w:i/>
        </w:rPr>
        <w:t>Strategic Member Conversion via Behavioral DNA</w:t>
      </w:r>
    </w:p>
    <w:p w14:paraId="7922E475" w14:textId="77777777" w:rsidR="00D5544D" w:rsidRDefault="00D5544D"/>
    <w:p w14:paraId="4AA36061" w14:textId="77777777" w:rsidR="00D5544D" w:rsidRDefault="00000000">
      <w:pPr>
        <w:pStyle w:val="Heading1"/>
      </w:pPr>
      <w:r>
        <w:t>1. Executive Summary</w:t>
      </w:r>
    </w:p>
    <w:p w14:paraId="78B53716" w14:textId="77777777" w:rsidR="00D5544D" w:rsidRDefault="00000000">
      <w:r>
        <w:t>This report outlines the development and findings of the Behavioral Mirroring Model, a data-driven framework designed to optimize Cyclistic's member conversion strategy. Traditional marketing efforts often rely on high-traffic volume, which can be inefficient. Our model shifts the focus to 'velocity of habit'—identifying stations where casual riders already exhibit the 'Twin Peaks' commuting patterns characteristic of annual members.</w:t>
      </w:r>
    </w:p>
    <w:p w14:paraId="5B0F3CA1" w14:textId="77777777" w:rsidR="00D5544D" w:rsidRDefault="00000000">
      <w:pPr>
        <w:pStyle w:val="Heading1"/>
      </w:pPr>
      <w:r>
        <w:t>2. Business Background &amp; Goal</w:t>
      </w:r>
    </w:p>
    <w:p w14:paraId="7295CD38" w14:textId="77777777" w:rsidR="00D5544D" w:rsidRDefault="00000000">
      <w:r>
        <w:t>Cyclistic, a bike-share program in Chicago, seeks to maximize the number of annual memberships. Annual members are more profitable than casual riders. The core business question addressed is:</w:t>
      </w:r>
    </w:p>
    <w:p w14:paraId="77EECA49" w14:textId="77777777" w:rsidR="00D5544D" w:rsidRDefault="00000000">
      <w:pPr>
        <w:pStyle w:val="Quote"/>
      </w:pPr>
      <w:r>
        <w:t>"How do annual members and casual riders use Cyclistic bikes differently, and how can we design a marketing strategy to convert casual riders into annual members?"</w:t>
      </w:r>
    </w:p>
    <w:p w14:paraId="1ED356EC" w14:textId="77777777" w:rsidR="00D5544D" w:rsidRDefault="00000000">
      <w:pPr>
        <w:pStyle w:val="Heading1"/>
      </w:pPr>
      <w:r>
        <w:t>3. Methodology: The Behavioral Mirroring Model</w:t>
      </w:r>
    </w:p>
    <w:p w14:paraId="2CBA4DB7" w14:textId="77777777" w:rsidR="00D5544D" w:rsidRDefault="00000000">
      <w:r>
        <w:t>The model analyzes hourly ridership 'DNA' for every station in the network. Key indicators include:</w:t>
      </w:r>
    </w:p>
    <w:p w14:paraId="02441EE1" w14:textId="77777777" w:rsidR="00D5544D" w:rsidRDefault="00000000">
      <w:pPr>
        <w:pStyle w:val="ListBullet"/>
      </w:pPr>
      <w:r>
        <w:t>Twin Peaks Signal: Identifying rush-hour spikes at 8 AM and 5 PM.</w:t>
      </w:r>
    </w:p>
    <w:p w14:paraId="0A615676" w14:textId="77777777" w:rsidR="00D5544D" w:rsidRDefault="00000000">
      <w:pPr>
        <w:pStyle w:val="ListBullet"/>
      </w:pPr>
      <w:r>
        <w:t>Behavioral Mirroring: Comparing casual rider behavior against established member patterns.</w:t>
      </w:r>
    </w:p>
    <w:p w14:paraId="533EB39A" w14:textId="77777777" w:rsidR="00D5544D" w:rsidRDefault="00000000">
      <w:pPr>
        <w:pStyle w:val="ListBullet"/>
      </w:pPr>
      <w:r>
        <w:t>Pearson Correlation: Statistically validating behavioral similarity at potential 'Anchor' stations.</w:t>
      </w:r>
    </w:p>
    <w:p w14:paraId="277CF766" w14:textId="77777777" w:rsidR="00D5544D" w:rsidRDefault="00000000">
      <w:pPr>
        <w:pStyle w:val="Heading1"/>
      </w:pPr>
      <w:r>
        <w:t>4. Technical Pipeline Overview</w:t>
      </w:r>
    </w:p>
    <w:p w14:paraId="002BD428" w14:textId="77777777" w:rsidR="00D5544D" w:rsidRDefault="00000000">
      <w:r>
        <w:t>The analysis follows a modular 6-stage Jupyter Notebook pipeline ensuring data integrity and deep insight: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544D" w14:paraId="0F61CD1A" w14:textId="77777777">
        <w:tc>
          <w:tcPr>
            <w:tcW w:w="4320" w:type="dxa"/>
          </w:tcPr>
          <w:p w14:paraId="2C76BCAD" w14:textId="77777777" w:rsidR="00D5544D" w:rsidRDefault="00000000">
            <w:r>
              <w:t>Stage</w:t>
            </w:r>
          </w:p>
        </w:tc>
        <w:tc>
          <w:tcPr>
            <w:tcW w:w="4320" w:type="dxa"/>
          </w:tcPr>
          <w:p w14:paraId="623110E3" w14:textId="77777777" w:rsidR="00D5544D" w:rsidRDefault="00000000">
            <w:r>
              <w:t>Purpose</w:t>
            </w:r>
          </w:p>
        </w:tc>
      </w:tr>
      <w:tr w:rsidR="00D5544D" w14:paraId="11115677" w14:textId="77777777">
        <w:tc>
          <w:tcPr>
            <w:tcW w:w="4320" w:type="dxa"/>
          </w:tcPr>
          <w:p w14:paraId="360622DB" w14:textId="77777777" w:rsidR="00D5544D" w:rsidRDefault="00000000">
            <w:r>
              <w:t>1. Data Pipeline</w:t>
            </w:r>
          </w:p>
        </w:tc>
        <w:tc>
          <w:tcPr>
            <w:tcW w:w="4320" w:type="dxa"/>
          </w:tcPr>
          <w:p w14:paraId="2473FF2E" w14:textId="77777777" w:rsidR="00D5544D" w:rsidRDefault="00000000">
            <w:r>
              <w:t>Ingestion, cleaning, and schema normalization.</w:t>
            </w:r>
          </w:p>
        </w:tc>
      </w:tr>
      <w:tr w:rsidR="00D5544D" w14:paraId="5AD2ED58" w14:textId="77777777">
        <w:tc>
          <w:tcPr>
            <w:tcW w:w="4320" w:type="dxa"/>
          </w:tcPr>
          <w:p w14:paraId="612EC308" w14:textId="77777777" w:rsidR="00D5544D" w:rsidRDefault="00000000">
            <w:r>
              <w:t>2. Habitual Analysis</w:t>
            </w:r>
          </w:p>
        </w:tc>
        <w:tc>
          <w:tcPr>
            <w:tcW w:w="4320" w:type="dxa"/>
          </w:tcPr>
          <w:p w14:paraId="59FD05C3" w14:textId="77777777" w:rsidR="00D5544D" w:rsidRDefault="00000000">
            <w:r>
              <w:t>Calculation of station-level 'Routine Scores'.</w:t>
            </w:r>
          </w:p>
        </w:tc>
      </w:tr>
      <w:tr w:rsidR="00D5544D" w14:paraId="580A0828" w14:textId="77777777">
        <w:tc>
          <w:tcPr>
            <w:tcW w:w="4320" w:type="dxa"/>
          </w:tcPr>
          <w:p w14:paraId="68E82B33" w14:textId="77777777" w:rsidR="00D5544D" w:rsidRDefault="00000000">
            <w:r>
              <w:t>3. Behavioral Refinement</w:t>
            </w:r>
          </w:p>
        </w:tc>
        <w:tc>
          <w:tcPr>
            <w:tcW w:w="4320" w:type="dxa"/>
          </w:tcPr>
          <w:p w14:paraId="2DCE2263" w14:textId="77777777" w:rsidR="00D5544D" w:rsidRDefault="00000000">
            <w:r>
              <w:t xml:space="preserve">Classification into mirror-verdict </w:t>
            </w:r>
            <w:r>
              <w:lastRenderedPageBreak/>
              <w:t>categories.</w:t>
            </w:r>
          </w:p>
        </w:tc>
      </w:tr>
      <w:tr w:rsidR="00D5544D" w14:paraId="5A437829" w14:textId="77777777">
        <w:tc>
          <w:tcPr>
            <w:tcW w:w="4320" w:type="dxa"/>
          </w:tcPr>
          <w:p w14:paraId="13E7B85B" w14:textId="77777777" w:rsidR="00D5544D" w:rsidRDefault="00000000">
            <w:r>
              <w:lastRenderedPageBreak/>
              <w:t>4. Station Segmentation</w:t>
            </w:r>
          </w:p>
        </w:tc>
        <w:tc>
          <w:tcPr>
            <w:tcW w:w="4320" w:type="dxa"/>
          </w:tcPr>
          <w:p w14:paraId="3B983C06" w14:textId="77777777" w:rsidR="00D5544D" w:rsidRDefault="00000000">
            <w:r>
              <w:t>Final portfolio categorization (Anchors, Emerging, Noise).</w:t>
            </w:r>
          </w:p>
        </w:tc>
      </w:tr>
      <w:tr w:rsidR="00D5544D" w14:paraId="1902D9F8" w14:textId="77777777">
        <w:tc>
          <w:tcPr>
            <w:tcW w:w="4320" w:type="dxa"/>
          </w:tcPr>
          <w:p w14:paraId="6965AFC2" w14:textId="77777777" w:rsidR="00D5544D" w:rsidRDefault="00000000">
            <w:r>
              <w:t>5. Mirror Correlation</w:t>
            </w:r>
          </w:p>
        </w:tc>
        <w:tc>
          <w:tcPr>
            <w:tcW w:w="4320" w:type="dxa"/>
          </w:tcPr>
          <w:p w14:paraId="7D1490C5" w14:textId="77777777" w:rsidR="00D5544D" w:rsidRDefault="00000000">
            <w:r>
              <w:t>Pearson correlation validation of high-value targets.</w:t>
            </w:r>
          </w:p>
        </w:tc>
      </w:tr>
      <w:tr w:rsidR="00D5544D" w14:paraId="1E9445B2" w14:textId="77777777">
        <w:tc>
          <w:tcPr>
            <w:tcW w:w="4320" w:type="dxa"/>
          </w:tcPr>
          <w:p w14:paraId="1D70B113" w14:textId="77777777" w:rsidR="00D5544D" w:rsidRDefault="00000000">
            <w:r>
              <w:t>6. Visual Generation</w:t>
            </w:r>
          </w:p>
        </w:tc>
        <w:tc>
          <w:tcPr>
            <w:tcW w:w="4320" w:type="dxa"/>
          </w:tcPr>
          <w:p w14:paraId="0745DF4D" w14:textId="77777777" w:rsidR="00D5544D" w:rsidRDefault="00000000">
            <w:r>
              <w:t>Production-ready charts and stakeholder visuals.</w:t>
            </w:r>
          </w:p>
        </w:tc>
      </w:tr>
    </w:tbl>
    <w:p w14:paraId="39428466" w14:textId="77777777" w:rsidR="00D5544D" w:rsidRDefault="00000000">
      <w:pPr>
        <w:pStyle w:val="Heading1"/>
      </w:pPr>
      <w:r>
        <w:t>5. Key Insights &amp; Results</w:t>
      </w:r>
    </w:p>
    <w:p w14:paraId="47DE0283" w14:textId="77777777" w:rsidR="00D5544D" w:rsidRDefault="00000000">
      <w:r>
        <w:t>The analysis segmented over 1,500 bike stations into three actionable categories:</w:t>
      </w:r>
    </w:p>
    <w:p w14:paraId="2B13440B" w14:textId="77777777" w:rsidR="00D5544D" w:rsidRDefault="00000000">
      <w:pPr>
        <w:pStyle w:val="ListBullet"/>
      </w:pPr>
      <w:r>
        <w:t>Confirmed Anchors: Primary conversion targets with 67% member share during peaks.</w:t>
      </w:r>
    </w:p>
    <w:p w14:paraId="1D26156B" w14:textId="77777777" w:rsidR="00D5544D" w:rsidRDefault="00000000">
      <w:pPr>
        <w:pStyle w:val="ListBullet"/>
      </w:pPr>
      <w:r>
        <w:t>High-Potential Emerging: Stations showing intermittent mirroring signals.</w:t>
      </w:r>
    </w:p>
    <w:p w14:paraId="59105EEB" w14:textId="77777777" w:rsidR="00D5544D" w:rsidRDefault="00000000">
      <w:pPr>
        <w:pStyle w:val="ListBullet"/>
      </w:pPr>
      <w:r>
        <w:t>Inconsistent / Noise: Tourist-heavy stations with low commuting signals.</w:t>
      </w:r>
    </w:p>
    <w:p w14:paraId="64164E49" w14:textId="77777777" w:rsidR="00D5544D" w:rsidRDefault="00000000">
      <w:r>
        <w:t>The 'Twin Peaks Signal' was validated across 13 months of trip data (Dec 2024 – Dec 2025).</w:t>
      </w:r>
    </w:p>
    <w:p w14:paraId="46C63C75" w14:textId="77777777" w:rsidR="00D5544D" w:rsidRDefault="00000000">
      <w:pPr>
        <w:pStyle w:val="Heading1"/>
      </w:pPr>
      <w:r>
        <w:t>6. Strategic Recommendations</w:t>
      </w:r>
    </w:p>
    <w:p w14:paraId="3E0A2A99" w14:textId="77777777" w:rsidR="00D5544D" w:rsidRDefault="00000000">
      <w:r>
        <w:t>To maximize ROI, Cyclistic should focus marketing efforts on Behavioral Anchor stations. Recommendations include:</w:t>
      </w:r>
    </w:p>
    <w:p w14:paraId="2710FE1C" w14:textId="77777777" w:rsidR="00D5544D" w:rsidRDefault="00000000">
      <w:pPr>
        <w:pStyle w:val="ListBullet"/>
      </w:pPr>
      <w:r>
        <w:t>Targeted On-Site Activation: Launch campaigns at Anchor stations during 7–9 AM and 4–6 PM windows.</w:t>
      </w:r>
    </w:p>
    <w:p w14:paraId="51F1396F" w14:textId="77777777" w:rsidR="00D5544D" w:rsidRDefault="00000000">
      <w:pPr>
        <w:pStyle w:val="ListBullet"/>
      </w:pPr>
      <w:r>
        <w:t>Digital Precision: Use station-level data to trigger localized digital ads for casual riders in Anchor clusters.</w:t>
      </w:r>
    </w:p>
    <w:p w14:paraId="2E35392F" w14:textId="77777777" w:rsidR="00D5544D" w:rsidRDefault="00000000">
      <w:pPr>
        <w:pStyle w:val="ListBullet"/>
      </w:pPr>
      <w:r>
        <w:t>Dynamic Pricing: Trial 'Member-Beta' passes at Anchor stations to bridge the gap between casual and member behavior.</w:t>
      </w:r>
    </w:p>
    <w:p w14:paraId="4ADF7C17" w14:textId="77777777" w:rsidR="00D5544D" w:rsidRDefault="00000000">
      <w:pPr>
        <w:pStyle w:val="Heading1"/>
      </w:pPr>
      <w:r>
        <w:t>7. Conclusion</w:t>
      </w:r>
    </w:p>
    <w:p w14:paraId="7AA86B26" w14:textId="77777777" w:rsidR="00D5544D" w:rsidRDefault="00000000">
      <w:r>
        <w:t>By moving from volume-based targeting to behavioral mirroring, Cyclistic can achieve higher conversion rates with lower marketing spend. The Behavioral Mirroring Model provides the technical foundation for this data-driven shift in strategy.</w:t>
      </w:r>
    </w:p>
    <w:sectPr w:rsidR="00D554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972913">
    <w:abstractNumId w:val="8"/>
  </w:num>
  <w:num w:numId="2" w16cid:durableId="1601328841">
    <w:abstractNumId w:val="6"/>
  </w:num>
  <w:num w:numId="3" w16cid:durableId="637610273">
    <w:abstractNumId w:val="5"/>
  </w:num>
  <w:num w:numId="4" w16cid:durableId="1808280737">
    <w:abstractNumId w:val="4"/>
  </w:num>
  <w:num w:numId="5" w16cid:durableId="643389077">
    <w:abstractNumId w:val="7"/>
  </w:num>
  <w:num w:numId="6" w16cid:durableId="1057779264">
    <w:abstractNumId w:val="3"/>
  </w:num>
  <w:num w:numId="7" w16cid:durableId="1494106468">
    <w:abstractNumId w:val="2"/>
  </w:num>
  <w:num w:numId="8" w16cid:durableId="990016240">
    <w:abstractNumId w:val="1"/>
  </w:num>
  <w:num w:numId="9" w16cid:durableId="108206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E13"/>
    <w:rsid w:val="00AA1D8D"/>
    <w:rsid w:val="00B47730"/>
    <w:rsid w:val="00C27ECE"/>
    <w:rsid w:val="00CB0664"/>
    <w:rsid w:val="00D5544D"/>
    <w:rsid w:val="00E03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BAFC4"/>
  <w14:defaultImageDpi w14:val="300"/>
  <w15:docId w15:val="{0F3CF00A-74D5-427A-A230-96645D53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rsiddharth499@outlook.com</cp:lastModifiedBy>
  <cp:revision>2</cp:revision>
  <dcterms:created xsi:type="dcterms:W3CDTF">2013-12-23T23:15:00Z</dcterms:created>
  <dcterms:modified xsi:type="dcterms:W3CDTF">2026-02-21T17:09:00Z</dcterms:modified>
  <cp:category/>
</cp:coreProperties>
</file>