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71.png" ContentType="image/png"/>
  <Override PartName="/word/media/rId27.png" ContentType="image/png"/>
  <Override PartName="/word/media/rId52.png" ContentType="image/png"/>
  <Override PartName="/word/media/rId44.png" ContentType="image/png"/>
  <Override PartName="/word/media/rId62.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CommonSpec Language Specification</w:t>
      </w:r>
    </w:p>
    <w:bookmarkEnd w:id="20"/>
    <w:p>
      <w:pPr>
        <w:pStyle w:val="TOCHeading"/>
      </w:pPr>
      <w:r>
        <w:rPr>
          <w:color w:val="000000"/>
        </w:rPr>
        <w:t xml:space="preserve">INDEX</w:t>
      </w:r>
    </w:p>
    <w:p>
      <w:r>
        <w:fldChar w:fldCharType="begin"/>
      </w:r>
      <w:r>
        <w:instrText xml:space="preserve"> TOC \o "1-3" </w:instrText>
      </w:r>
      <w:r>
        <w:fldChar w:fldCharType="separate"/>
      </w:r>
    </w:p>
    <w:p>
      <w:r>
        <w:fldChar w:fldCharType="end"/>
      </w:r>
    </w:p>
    <w:p>
      <w:r>
        <w:br w:type="page"/>
      </w:r>
    </w:p>
    <w:bookmarkStart w:id="24" w:name="introduction"/>
    <w:p>
      <w:pPr>
        <w:pStyle w:val="Heading1"/>
        <w:numPr>
          <w:ilvl w:val="0"/>
          <w:numId w:val="100"/>
        </w:numPr>
      </w:pPr>
      <w:r>
        <w:t xml:space="preserve">Introduction</w:t>
      </w:r>
    </w:p>
    <w:bookmarkStart w:id="21" w:name="what-is-commonspec"/>
    <w:p>
      <w:pPr>
        <w:pStyle w:val="Heading2"/>
        <w:numPr>
          <w:ilvl w:val="1"/>
          <w:numId w:val="100"/>
        </w:numPr>
      </w:pPr>
      <w:r>
        <w:t xml:space="preserve">What is CommonSpec?</w:t>
      </w:r>
    </w:p>
    <w:p>
      <w:pPr>
        <w:pStyle w:val="FirstParagraph"/>
      </w:pPr>
      <w:r>
        <w:rPr>
          <w:bCs/>
          <w:b/>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21"/>
    <w:bookmarkStart w:id="22" w:name="design-principles"/>
    <w:p>
      <w:pPr>
        <w:pStyle w:val="Heading2"/>
        <w:numPr>
          <w:ilvl w:val="1"/>
          <w:numId w:val="100"/>
        </w:numPr>
      </w:pPr>
      <w:r>
        <w:t xml:space="preserve">Design Principles</w:t>
      </w:r>
    </w:p>
    <w:p>
      <w:pPr>
        <w:pStyle w:val="FirstParagraph"/>
      </w:pPr>
      <w:r>
        <w:rPr>
          <w:bCs/>
          <w:b/>
        </w:rPr>
        <w:t xml:space="preserve">Markdown superset.</w:t>
      </w:r>
      <w:r>
        <w:t xml:space="preserve"> </w:t>
      </w:r>
      <w:r>
        <w:t xml:space="preserve">Every valid CommonSpec document is valid Markdown. Editors, diff tools, and version control work unchanged.</w:t>
      </w:r>
    </w:p>
    <w:p>
      <w:pPr>
        <w:pStyle w:val="BodyText"/>
      </w:pPr>
      <w:r>
        <w:rPr>
          <w:bCs/>
          <w:b/>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Cs/>
          <w:b/>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Cs/>
          <w:b/>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22"/>
    <w:bookmarkStart w:id="23" w:name="notation"/>
    <w:p>
      <w:pPr>
        <w:pStyle w:val="Heading2"/>
        <w:numPr>
          <w:ilvl w:val="1"/>
          <w:numId w:val="100"/>
        </w:numPr>
      </w:pPr>
      <w:r>
        <w:t xml:space="preserve">Notation</w:t>
      </w:r>
    </w:p>
    <w:p>
      <w:pPr>
        <w:pStyle w:val="FirstParagraph"/>
      </w:pPr>
      <w:r>
        <w:t xml:space="preserve">This specification uses the following notation in formal definitions:</w:t>
      </w:r>
    </w:p>
    <w:p>
      <w:pPr>
        <w:numPr>
          <w:ilvl w:val="0"/>
          <w:numId w:val="1001"/>
        </w:numPr>
        <w:pStyle w:val="Compact"/>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numPr>
          <w:ilvl w:val="0"/>
          <w:numId w:val="1001"/>
        </w:numPr>
        <w:pStyle w:val="Compact"/>
      </w:pPr>
      <m:oMath>
        <m:r>
          <m:t>Γ</m:t>
        </m:r>
      </m:oMath>
      <w:r>
        <w:t xml:space="preserve"> </w:t>
      </w:r>
      <w:r>
        <w:t xml:space="preserve">— the model’s type environment.</w:t>
      </w:r>
    </w:p>
    <w:p>
      <w:pPr>
        <w:numPr>
          <w:ilvl w:val="0"/>
          <w:numId w:val="1001"/>
        </w:numPr>
        <w:pStyle w:val="Compact"/>
      </w:pPr>
      <m:oMath>
        <m: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numPr>
          <w:ilvl w:val="0"/>
          <w:numId w:val="1001"/>
        </w:numPr>
        <w:pStyle w:val="Compact"/>
      </w:pPr>
      <m:oMath>
        <m:r>
          <m:rPr>
            <m:sty m:val="p"/>
            <m:scr m:val="script"/>
          </m:rPr>
          <m:t>X</m:t>
        </m:r>
      </m:oMath>
      <w:r>
        <w:t xml:space="preserve"> </w:t>
      </w:r>
      <w:r>
        <w:t xml:space="preserve">— calligraphic letter denoting a set (e.g.,</w:t>
      </w:r>
      <w:r>
        <w:t xml:space="preserve"> </w:t>
      </w:r>
      <m:oMath>
        <m:r>
          <m:rPr>
            <m:sty m:val="p"/>
            <m:scr m:val="script"/>
          </m:rPr>
          <m:t>A</m:t>
        </m:r>
      </m:oMath>
      <w:r>
        <w:t xml:space="preserve"> </w:t>
      </w:r>
      <w:r>
        <w:t xml:space="preserve">for a set of attributes).</w:t>
      </w:r>
    </w:p>
    <w:p>
      <w:pPr>
        <w:numPr>
          <w:ilvl w:val="0"/>
          <w:numId w:val="1001"/>
        </w:numPr>
        <w:pStyle w:val="Compact"/>
      </w:pPr>
      <m:oMath>
        <m:r>
          <m:rPr>
            <m:sty m:val="p"/>
          </m:rPr>
          <m:t>⊆</m:t>
        </m:r>
      </m:oMath>
      <w:r>
        <w:t xml:space="preserve"> </w:t>
      </w:r>
      <w:r>
        <w:t xml:space="preserve">— subset-or-equal relation.</w:t>
      </w:r>
    </w:p>
    <w:p>
      <w:pPr>
        <w:numPr>
          <w:ilvl w:val="0"/>
          <w:numId w:val="1001"/>
        </w:numPr>
        <w:pStyle w:val="Compact"/>
      </w:pPr>
      <m:oMath>
        <m:r>
          <m:rPr>
            <m:sty m:val="p"/>
          </m:rPr>
          <m:t>∪</m:t>
        </m:r>
      </m:oMath>
      <w:r>
        <w:t xml:space="preserve"> </w:t>
      </w:r>
      <w:r>
        <w:t xml:space="preserve">— set union.</w:t>
      </w:r>
    </w:p>
    <w:p>
      <w:pPr>
        <w:numPr>
          <w:ilvl w:val="0"/>
          <w:numId w:val="1001"/>
        </w:numPr>
        <w:pStyle w:val="Compact"/>
      </w:pPr>
      <m:oMath>
        <m:r>
          <m:rPr>
            <m:sty m:val="p"/>
          </m:rPr>
          <m:t>⊥</m:t>
        </m:r>
      </m:oMath>
      <w:r>
        <w:t xml:space="preserve"> </w:t>
      </w:r>
      <w:r>
        <w:t xml:space="preserve">— absence of a value (null / not applicable).</w:t>
      </w:r>
    </w:p>
    <w:p>
      <w:pPr>
        <w:numPr>
          <w:ilvl w:val="0"/>
          <w:numId w:val="1001"/>
        </w:numPr>
        <w:pStyle w:val="Compact"/>
      </w:pPr>
      <m:oMath>
        <m:r>
          <m:rPr>
            <m:nor/>
            <m:sty m:val="p"/>
          </m:rPr>
          <m:t>infer</m:t>
        </m:r>
        <m:d>
          <m:dPr>
            <m:begChr m:val="("/>
            <m:endChr m:val=")"/>
            <m:sepChr m:val=""/>
            <m:grow/>
          </m:dPr>
          <m:e>
            <m:r>
              <m:rPr>
                <m:sty m:val="p"/>
              </m:rPr>
              <m:t>…</m:t>
            </m:r>
          </m:e>
        </m:d>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23"/>
    <w:bookmarkEnd w:id="24"/>
    <w:bookmarkStart w:id="79" w:name="language-constructs"/>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25" w:name="lexical-rules"/>
    <w:p>
      <w:pPr>
        <w:pStyle w:val="Heading2"/>
        <w:numPr>
          <w:ilvl w:val="1"/>
          <w:numId w:val="100"/>
        </w:numPr>
      </w:pPr>
      <w:r>
        <w:t xml:space="preserve">Lexical Rules</w:t>
      </w:r>
    </w:p>
    <w:p>
      <w:pPr>
        <w:pStyle w:val="FirstParagraph"/>
      </w:pPr>
      <w:r>
        <w:t xml:space="preserve">The following terminals are used throughout the grammar productions:</w:t>
      </w:r>
    </w:p>
    <w:p>
      <w:pPr>
        <w:numPr>
          <w:ilvl w:val="0"/>
          <w:numId w:val="1002"/>
        </w:numPr>
        <w:pStyle w:val="Compact"/>
      </w:pPr>
      <w:r>
        <w:rPr>
          <w:bCs/>
          <w:b/>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numPr>
          <w:ilvl w:val="0"/>
          <w:numId w:val="1002"/>
        </w:numPr>
        <w:pStyle w:val="Compact"/>
      </w:pPr>
      <w:r>
        <w:rPr>
          <w:bCs/>
          <w:b/>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numPr>
          <w:ilvl w:val="0"/>
          <w:numId w:val="1002"/>
        </w:numPr>
        <w:pStyle w:val="Compact"/>
      </w:pPr>
      <w:r>
        <w:rPr>
          <w:bCs/>
          <w:b/>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numPr>
          <w:ilvl w:val="0"/>
          <w:numId w:val="1002"/>
        </w:numPr>
        <w:pStyle w:val="Compact"/>
      </w:pPr>
      <w:r>
        <w:rPr>
          <w:bCs/>
          <w:b/>
        </w:rPr>
        <w:t xml:space="preserve">Title</w:t>
      </w:r>
      <w:r>
        <w:t xml:space="preserve"> </w:t>
      </w:r>
      <w:r>
        <w:t xml:space="preserve">/</w:t>
      </w:r>
      <w:r>
        <w:t xml:space="preserve"> </w:t>
      </w:r>
      <w:r>
        <w:rPr>
          <w:bCs/>
          <w:b/>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numPr>
          <w:ilvl w:val="0"/>
          <w:numId w:val="1002"/>
        </w:numPr>
        <w:pStyle w:val="Compact"/>
      </w:pPr>
      <w:r>
        <w:rPr>
          <w:bCs/>
          <w:b/>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numPr>
          <w:ilvl w:val="0"/>
          <w:numId w:val="1002"/>
        </w:numPr>
        <w:pStyle w:val="Compact"/>
      </w:pPr>
      <w:r>
        <w:rPr>
          <w:bCs/>
          <w:b/>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numPr>
          <w:ilvl w:val="0"/>
          <w:numId w:val="1002"/>
        </w:numPr>
        <w:pStyle w:val="Compact"/>
      </w:pPr>
      <w:r>
        <w:rPr>
          <w:bCs/>
          <w:b/>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numPr>
          <w:ilvl w:val="0"/>
          <w:numId w:val="1002"/>
        </w:numPr>
        <w:pStyle w:val="Compact"/>
      </w:pPr>
      <w:r>
        <w:rPr>
          <w:bCs/>
          <w:b/>
        </w:rPr>
        <w:t xml:space="preserve">Content</w:t>
      </w:r>
      <w:r>
        <w:t xml:space="preserve"> </w:t>
      </w:r>
      <w:r>
        <w:t xml:space="preserve">— the raw body of a fenced code block, from the line after the opening fence to the line before the closing fence.</w:t>
      </w:r>
    </w:p>
    <w:p>
      <w:pPr>
        <w:numPr>
          <w:ilvl w:val="0"/>
          <w:numId w:val="1002"/>
        </w:numPr>
        <w:pStyle w:val="Compact"/>
      </w:pPr>
      <w:r>
        <w:rPr>
          <w:bCs/>
          <w:b/>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numPr>
          <w:ilvl w:val="0"/>
          <w:numId w:val="1002"/>
        </w:numPr>
        <w:pStyle w:val="Compact"/>
      </w:pPr>
      <w:r>
        <w:rPr>
          <w:bCs/>
          <w:b/>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numPr>
          <w:ilvl w:val="0"/>
          <w:numId w:val="1002"/>
        </w:numPr>
        <w:pStyle w:val="Compact"/>
      </w:pPr>
      <w:r>
        <w:rPr>
          <w:bCs/>
          <w:b/>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numPr>
          <w:ilvl w:val="0"/>
          <w:numId w:val="1002"/>
        </w:numPr>
        <w:pStyle w:val="Compact"/>
      </w:pPr>
      <w:r>
        <w:rPr>
          <w:bCs/>
          <w:b/>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numPr>
          <w:ilvl w:val="0"/>
          <w:numId w:val="1002"/>
        </w:numPr>
        <w:pStyle w:val="Compact"/>
      </w:pPr>
      <w:r>
        <w:rPr>
          <w:bCs/>
          <w:b/>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25"/>
    <w:bookmarkStart w:id="32" w:name="specification"/>
    <w:p>
      <w:pPr>
        <w:pStyle w:val="Heading2"/>
        <w:numPr>
          <w:ilvl w:val="1"/>
          <w:numId w:val="100"/>
        </w:numPr>
      </w:pPr>
      <w:r>
        <w:t xml:space="preserve">Specification</w:t>
      </w:r>
    </w:p>
    <w:p>
      <w:pPr>
        <w:pStyle w:val="FirstParagraph"/>
      </w:pPr>
      <w:r>
        <w:t xml:space="preserve">A</w:t>
      </w:r>
      <w:r>
        <w:t xml:space="preserve"> </w:t>
      </w:r>
      <w:r>
        <w:rPr>
          <w:bCs/>
          <w:b/>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26" w:name="formal-definition"/>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where:</w:t>
      </w:r>
    </w:p>
    <w:p>
      <w:pPr>
        <w:numPr>
          <w:ilvl w:val="0"/>
          <w:numId w:val="1003"/>
        </w:numPr>
        <w:pStyle w:val="Compact"/>
      </w:pPr>
      <m:oMath>
        <m:r>
          <m:t>τ</m:t>
        </m:r>
        <m:r>
          <m:rPr>
            <m:sty m:val="p"/>
          </m:rPr>
          <m:t>∈</m:t>
        </m:r>
        <m:r>
          <m:t>Γ</m:t>
        </m:r>
        <m:r>
          <m:rPr>
            <m:sty m:val="p"/>
          </m:rPr>
          <m:t>.</m:t>
        </m:r>
        <m:sSub>
          <m:e>
            <m:r>
              <m:rPr>
                <m:sty m:val="p"/>
              </m:rPr>
              <m:t>⊤</m:t>
            </m:r>
          </m:e>
          <m:sub>
            <m:r>
              <m:t>S</m:t>
            </m:r>
          </m:sub>
        </m:sSub>
      </m:oMath>
      <w:r>
        <w:t xml:space="preserve"> </w:t>
      </w:r>
      <w:r>
        <w:t xml:space="preserve">is the specification type (e.g. SRS, SDD, SVC, TRR), defined by the model.</w:t>
      </w:r>
    </w:p>
    <w:p>
      <w:pPr>
        <w:numPr>
          <w:ilvl w:val="0"/>
          <w:numId w:val="1003"/>
        </w:numPr>
        <w:pStyle w:val="Compact"/>
      </w:pPr>
      <m:oMath>
        <m:r>
          <m:t>n</m:t>
        </m:r>
        <m:r>
          <m:rPr>
            <m:sty m:val="p"/>
          </m:rPr>
          <m:t>∈</m:t>
        </m:r>
        <m:r>
          <m:rPr>
            <m:nor/>
            <m:sty m:val="p"/>
          </m:rPr>
          <m:t>String</m:t>
        </m:r>
      </m:oMath>
      <w:r>
        <w:t xml:space="preserve"> </w:t>
      </w:r>
      <w:r>
        <w:t xml:space="preserve">is the document title from the H1 header.</w:t>
      </w:r>
    </w:p>
    <w:p>
      <w:pPr>
        <w:numPr>
          <w:ilvl w:val="0"/>
          <w:numId w:val="1003"/>
        </w:numPr>
        <w:pStyle w:val="Compact"/>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numPr>
          <w:ilvl w:val="0"/>
          <w:numId w:val="1003"/>
        </w:numPr>
        <w:pStyle w:val="Compact"/>
      </w:pPr>
      <m:oMath>
        <m:r>
          <m:rPr>
            <m:sty m:val="p"/>
            <m:scr m:val="script"/>
          </m:rPr>
          <m:t>A</m:t>
        </m:r>
        <m:r>
          <m:rPr>
            <m:sty m:val="p"/>
          </m:rPr>
          <m:t>⊆</m:t>
        </m:r>
        <m:r>
          <m:rPr>
            <m:nor/>
            <m:sty m:val="p"/>
          </m:rPr>
          <m:t>SpecAttribute</m:t>
        </m:r>
      </m:oMath>
      <w:r>
        <w:t xml:space="preserve"> </w:t>
      </w:r>
      <w:r>
        <w:t xml:space="preserve">is the set of typed attributes (version, status, date, etc.).</w:t>
      </w:r>
    </w:p>
    <w:p>
      <w:pPr>
        <w:numPr>
          <w:ilvl w:val="0"/>
          <w:numId w:val="1003"/>
        </w:numPr>
        <w:pStyle w:val="Compact"/>
      </w:pPr>
      <m:oMath>
        <m:r>
          <m:rPr>
            <m:sty m:val="p"/>
            <m:scr m:val="script"/>
          </m:rPr>
          <m:t>O</m:t>
        </m:r>
        <m:r>
          <m:rPr>
            <m:sty m:val="p"/>
          </m:rPr>
          <m:t>⊆</m:t>
        </m:r>
        <m:r>
          <m:rPr>
            <m:nor/>
            <m:sty m:val="p"/>
          </m:rPr>
          <m:t>SpecObject</m:t>
        </m:r>
      </m:oMath>
      <w:r>
        <w:t xml:space="preserve"> </w:t>
      </w:r>
      <w:r>
        <w:t xml:space="preserve">is the set of child spec objects.</w:t>
      </w:r>
    </w:p>
    <w:bookmarkEnd w:id="26"/>
    <w:bookmarkStart w:id="30" w:name="grammar"/>
    <w:p>
      <w:pPr>
        <w:pStyle w:val="Heading3"/>
        <w:numPr>
          <w:ilvl w:val="2"/>
          <w:numId w:val="100"/>
        </w:numPr>
      </w:pPr>
      <w:r>
        <w:t xml:space="preserve">Grammar</w:t>
      </w:r>
    </w:p>
    <w:p>
      <w:pPr>
        <w:spacing w:lineRule="exact" w:line="20" w:before="0" w:after="0"/>
        <w:rPr>
          <w:sz w:val="2"/>
        </w:rPr>
      </w:pPr>
      <w:bookmarkStart w:name="puml-grammar-spec" w:id="36907"/>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517009"/>
            <wp:effectExtent b="0" l="0" r="0" t="0"/>
            <wp:docPr descr="" title="" id="28" name="Picture"/>
            <a:graphic>
              <a:graphicData uri="http://schemas.openxmlformats.org/drawingml/2006/picture">
                <pic:pic>
                  <pic:nvPicPr>
                    <pic:cNvPr descr="diagrams/914a205f97052d55a70a59d729d8a4c4ec421903.png" id="29" name="Picture"/>
                    <pic:cNvPicPr>
                      <a:picLocks noChangeArrowheads="1" noChangeAspect="1"/>
                    </pic:cNvPicPr>
                  </pic:nvPicPr>
                  <pic:blipFill>
                    <a:blip r:embed="rId27"/>
                    <a:stretch>
                      <a:fillRect/>
                    </a:stretch>
                  </pic:blipFill>
                  <pic:spPr bwMode="auto">
                    <a:xfrm>
                      <a:off x="0" y="0"/>
                      <a:ext cx="5334000" cy="1517009"/>
                    </a:xfrm>
                    <a:prstGeom prst="rect">
                      <a:avLst/>
                    </a:prstGeom>
                    <a:noFill/>
                    <a:ln w="9525">
                      <a:noFill/>
                      <a:headEnd/>
                      <a:tailEnd/>
                    </a:ln>
                  </pic:spPr>
                </pic:pic>
              </a:graphicData>
            </a:graphic>
          </wp:inline>
        </w:drawing>
      </w:r>
    </w:p>
    <w:bookmarkEnd w:id="30"/>
    <w:bookmarkStart w:id="31" w:name="examples"/>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31"/>
    <w:bookmarkEnd w:id="32"/>
    <w:bookmarkStart w:id="42" w:name="spec-object"/>
    <w:p>
      <w:pPr>
        <w:pStyle w:val="Heading2"/>
        <w:numPr>
          <w:ilvl w:val="1"/>
          <w:numId w:val="100"/>
        </w:numPr>
      </w:pPr>
      <w:r>
        <w:t xml:space="preserve">Spec Object</w:t>
      </w:r>
    </w:p>
    <w:p>
      <w:pPr>
        <w:pStyle w:val="FirstParagraph"/>
      </w:pPr>
      <w:r>
        <w:t xml:space="preserve">A</w:t>
      </w:r>
      <w:r>
        <w:t xml:space="preserve"> </w:t>
      </w:r>
      <w:r>
        <w:rPr>
          <w:bCs/>
          <w:b/>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33" w:name="formal-definition-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where:</w:t>
      </w:r>
    </w:p>
    <w:p>
      <w:pPr>
        <w:numPr>
          <w:ilvl w:val="0"/>
          <w:numId w:val="1004"/>
        </w:numPr>
        <w:pStyle w:val="Compact"/>
      </w:pPr>
      <m:oMath>
        <m:r>
          <m:t>τ</m:t>
        </m:r>
        <m:r>
          <m:rPr>
            <m:sty m:val="p"/>
          </m:rPr>
          <m:t>∈</m:t>
        </m:r>
        <m:r>
          <m:t>Γ</m:t>
        </m:r>
        <m:r>
          <m:rPr>
            <m:sty m:val="p"/>
          </m:rPr>
          <m:t>.</m:t>
        </m:r>
        <m:sSub>
          <m:e>
            <m:r>
              <m:rPr>
                <m:sty m:val="p"/>
              </m:rPr>
              <m:t>⊤</m:t>
            </m:r>
          </m:e>
          <m:sub>
            <m:r>
              <m:t>O</m:t>
            </m:r>
          </m:sub>
        </m:sSub>
      </m:oMath>
      <w:r>
        <w:t xml:space="preserve"> </w:t>
      </w:r>
      <w:r>
        <w:t xml:space="preserve">is the object type (e.g. HLR, LLR, VC, SECTION).</w:t>
      </w:r>
    </w:p>
    <w:p>
      <w:pPr>
        <w:numPr>
          <w:ilvl w:val="0"/>
          <w:numId w:val="1004"/>
        </w:numPr>
        <w:pStyle w:val="Compact"/>
      </w:pPr>
      <m:oMath>
        <m:r>
          <m:rPr>
            <m:nor/>
            <m:sty m:val="p"/>
          </m:rPr>
          <m:t>title</m:t>
        </m:r>
        <m:r>
          <m:rPr>
            <m:sty m:val="p"/>
          </m:rPr>
          <m:t>∈</m:t>
        </m:r>
        <m:r>
          <m:rPr>
            <m:nor/>
            <m:sty m:val="p"/>
          </m:rPr>
          <m:t>String</m:t>
        </m:r>
      </m:oMath>
      <w:r>
        <w:t xml:space="preserve"> </w:t>
      </w:r>
      <w:r>
        <w:t xml:space="preserve">is the plain-text title from the header.</w:t>
      </w:r>
    </w:p>
    <w:p>
      <w:pPr>
        <w:numPr>
          <w:ilvl w:val="0"/>
          <w:numId w:val="1004"/>
        </w:numPr>
        <w:pStyle w:val="Compact"/>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numPr>
          <w:ilvl w:val="0"/>
          <w:numId w:val="1004"/>
        </w:numPr>
        <w:pStyle w:val="Compact"/>
      </w:pPr>
      <m:oMath>
        <m:r>
          <m:t>β</m:t>
        </m:r>
      </m:oMath>
      <w:r>
        <w:t xml:space="preserve"> </w:t>
      </w:r>
      <w:r>
        <w:t xml:space="preserve">is the accumulated body content (block and inline elements).</w:t>
      </w:r>
    </w:p>
    <w:p>
      <w:pPr>
        <w:numPr>
          <w:ilvl w:val="0"/>
          <w:numId w:val="1004"/>
        </w:numPr>
        <w:pStyle w:val="Compact"/>
      </w:pPr>
      <m:oMath>
        <m:r>
          <m:rPr>
            <m:sty m:val="p"/>
            <m:scr m:val="script"/>
          </m:rPr>
          <m:t>A</m:t>
        </m:r>
        <m:r>
          <m:rPr>
            <m:sty m:val="p"/>
          </m:rPr>
          <m:t>⊆</m:t>
        </m:r>
        <m:r>
          <m:rPr>
            <m:nor/>
            <m:sty m:val="p"/>
          </m:rPr>
          <m:t>SpecAttribute</m:t>
        </m:r>
      </m:oMath>
      <w:r>
        <w:t xml:space="preserve"> </w:t>
      </w:r>
      <w:r>
        <w:t xml:space="preserve">is the set of typed attributes.</w:t>
      </w:r>
    </w:p>
    <w:p>
      <w:pPr>
        <w:numPr>
          <w:ilvl w:val="0"/>
          <w:numId w:val="1004"/>
        </w:numPr>
        <w:pStyle w:val="Compact"/>
      </w:pPr>
      <m:oMath>
        <m:r>
          <m:rPr>
            <m:sty m:val="p"/>
            <m:scr m:val="script"/>
          </m:rPr>
          <m:t>F</m:t>
        </m:r>
        <m:r>
          <m:rPr>
            <m:sty m:val="p"/>
          </m:rPr>
          <m:t>⊆</m:t>
        </m:r>
        <m:r>
          <m:rPr>
            <m:nor/>
            <m:sty m:val="p"/>
          </m:rPr>
          <m:t>SpecFloat</m:t>
        </m:r>
      </m:oMath>
      <w:r>
        <w:t xml:space="preserve"> </w:t>
      </w:r>
      <w:r>
        <w:t xml:space="preserve">is the set of child floats.</w:t>
      </w:r>
    </w:p>
    <w:p>
      <w:pPr>
        <w:numPr>
          <w:ilvl w:val="0"/>
          <w:numId w:val="1004"/>
        </w:numPr>
        <w:pStyle w:val="Compact"/>
      </w:pPr>
      <m:oMath>
        <m:r>
          <m:rPr>
            <m:sty m:val="p"/>
            <m:scr m:val="script"/>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numPr>
          <w:ilvl w:val="0"/>
          <w:numId w:val="1004"/>
        </w:numPr>
        <w:pStyle w:val="Compact"/>
      </w:pPr>
      <m:oMath>
        <m:r>
          <m:rPr>
            <m:sty m:val="p"/>
            <m:scr m:val="script"/>
          </m:rPr>
          <m:t>V</m:t>
        </m:r>
        <m:r>
          <m:rPr>
            <m:sty m:val="p"/>
          </m:rPr>
          <m:t>⊆</m:t>
        </m:r>
        <m:r>
          <m:rPr>
            <m:nor/>
            <m:sty m:val="p"/>
          </m:rPr>
          <m:t>SpecView</m:t>
        </m:r>
      </m:oMath>
      <w:r>
        <w:t xml:space="preserve"> </w:t>
      </w:r>
      <w:r>
        <w:t xml:space="preserve">is the set of child views.</w:t>
      </w:r>
    </w:p>
    <w:p>
      <w:pPr>
        <w:numPr>
          <w:ilvl w:val="0"/>
          <w:numId w:val="1004"/>
        </w:numPr>
        <w:pStyle w:val="Compact"/>
      </w:pPr>
      <m:oMath>
        <m:r>
          <m:rPr>
            <m:sty m:val="p"/>
            <m:scr m:val="script"/>
          </m:rPr>
          <m:t>O</m:t>
        </m:r>
        <m:r>
          <m:rPr>
            <m:sty m:val="p"/>
          </m:rPr>
          <m:t>⊆</m:t>
        </m:r>
        <m:r>
          <m:rPr>
            <m:nor/>
            <m:sty m:val="p"/>
          </m:rPr>
          <m:t>SpecObject</m:t>
        </m:r>
      </m:oMath>
      <w:r>
        <w:t xml:space="preserve"> </w:t>
      </w:r>
      <w:r>
        <w:t xml:space="preserve">is the set of child objects (exactly one heading level deeper).</w:t>
      </w:r>
    </w:p>
    <w:bookmarkEnd w:id="33"/>
    <w:bookmarkStart w:id="37" w:name="grammar-1"/>
    <w:p>
      <w:pPr>
        <w:pStyle w:val="Heading3"/>
        <w:numPr>
          <w:ilvl w:val="2"/>
          <w:numId w:val="100"/>
        </w:numPr>
      </w:pPr>
      <w:r>
        <w:t xml:space="preserve">Grammar</w:t>
      </w:r>
    </w:p>
    <w:p>
      <w:pPr>
        <w:spacing w:lineRule="exact" w:line="20" w:before="0" w:after="0"/>
        <w:rPr>
          <w:sz w:val="2"/>
        </w:rPr>
      </w:pPr>
      <w:bookmarkStart w:name="puml-grammar-spec-object" w:id="45123"/>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747375"/>
            <wp:effectExtent b="0" l="0" r="0" t="0"/>
            <wp:docPr descr="" title="" id="35" name="Picture"/>
            <a:graphic>
              <a:graphicData uri="http://schemas.openxmlformats.org/drawingml/2006/picture">
                <pic:pic>
                  <pic:nvPicPr>
                    <pic:cNvPr descr="diagrams/0b4b16c17baff5b520ae303f0938c1a333742fc6.png" id="36" name="Picture"/>
                    <pic:cNvPicPr>
                      <a:picLocks noChangeArrowheads="1" noChangeAspect="1"/>
                    </pic:cNvPicPr>
                  </pic:nvPicPr>
                  <pic:blipFill>
                    <a:blip r:embed="rId34"/>
                    <a:stretch>
                      <a:fillRect/>
                    </a:stretch>
                  </pic:blipFill>
                  <pic:spPr bwMode="auto">
                    <a:xfrm>
                      <a:off x="0" y="0"/>
                      <a:ext cx="5334000" cy="2747375"/>
                    </a:xfrm>
                    <a:prstGeom prst="rect">
                      <a:avLst/>
                    </a:prstGeom>
                    <a:noFill/>
                    <a:ln w="9525">
                      <a:noFill/>
                      <a:headEnd/>
                      <a:tailEnd/>
                    </a:ln>
                  </pic:spPr>
                </pic:pic>
              </a:graphicData>
            </a:graphic>
          </wp:inline>
        </w:drawing>
      </w:r>
    </w:p>
    <w:bookmarkEnd w:id="37"/>
    <w:bookmarkStart w:id="38" w:name="type-inference"/>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numPr>
          <w:ilvl w:val="0"/>
          <w:numId w:val="1005"/>
        </w:numPr>
        <w:pStyle w:val="Compact"/>
      </w:pPr>
      <w:r>
        <w:rPr>
          <w:bCs/>
          <w:b/>
        </w:rPr>
        <w:t xml:space="preserve">Implicit type aliases.</w:t>
      </w:r>
      <w:r>
        <w:t xml:space="preserve"> </w:t>
      </w:r>
      <w:r>
        <w:t xml:space="preserve">The title is matched against the model’s implicit type aliases (case-insensitive). For example, a model may map</w:t>
      </w:r>
      <w:r>
        <w:t xml:space="preserve"> </w:t>
      </w:r>
      <w:r>
        <w:t xml:space="preserve">“</w:t>
      </w:r>
      <w:r>
        <w:t xml:space="preserve">Introduction</w:t>
      </w:r>
      <w:r>
        <w:t xml:space="preserve">”</w:t>
      </w:r>
      <w:r>
        <w:t xml:space="preserve"> </w:t>
      </w:r>
      <w:r>
        <w:t xml:space="preserve">to SECTION.</w:t>
      </w:r>
    </w:p>
    <w:p>
      <w:pPr>
        <w:numPr>
          <w:ilvl w:val="0"/>
          <w:numId w:val="1005"/>
        </w:numPr>
        <w:pStyle w:val="Compact"/>
      </w:pPr>
      <w:r>
        <w:rPr>
          <w:bCs/>
          <w:b/>
        </w:rPr>
        <w:t xml:space="preserve">Default type.</w:t>
      </w:r>
      <w:r>
        <w:t xml:space="preserve"> </w:t>
      </w:r>
      <w:r>
        <w:t xml:space="preserve">If no alias matches, the model’s default object type is used (typically SECTION).</w:t>
      </w:r>
    </w:p>
    <w:bookmarkEnd w:id="38"/>
    <w:bookmarkStart w:id="39" w:name="pid-auto-generation"/>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bookmarkEnd w:id="39"/>
    <w:bookmarkStart w:id="40" w:name="examples-1"/>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40"/>
    <w:bookmarkStart w:id="41" w:name="scope-and-section-close"/>
    <w:p>
      <w:pPr>
        <w:pStyle w:val="Heading3"/>
        <w:numPr>
          <w:ilvl w:val="2"/>
          <w:numId w:val="100"/>
        </w:numPr>
      </w:pPr>
      <w:r>
        <w:t xml:space="preserve">Scope and Section Close</w:t>
      </w:r>
    </w:p>
    <w:p>
      <w:pPr>
        <w:pStyle w:val="FirstParagraph"/>
      </w:pPr>
      <w:r>
        <w:t xml:space="preserve">A spec object’s</w:t>
      </w:r>
      <w:r>
        <w:t xml:space="preserve"> </w:t>
      </w:r>
      <w:r>
        <w:rPr>
          <w:bCs/>
          <w:b/>
        </w:rPr>
        <w:t xml:space="preserve">scope</w:t>
      </w:r>
      <w:r>
        <w:t xml:space="preserve"> </w:t>
      </w:r>
      <w:r>
        <w:t xml:space="preserve">— the body content and floats it contains — runs from its header until the section is closed. A section closes in one of two ways:</w:t>
      </w:r>
    </w:p>
    <w:p>
      <w:pPr>
        <w:numPr>
          <w:ilvl w:val="0"/>
          <w:numId w:val="1006"/>
        </w:numPr>
        <w:pStyle w:val="Compact"/>
      </w:pPr>
      <w:r>
        <w:rPr>
          <w:bCs/>
          <w:b/>
        </w:rPr>
        <w:t xml:space="preserve">Automatically</w:t>
      </w:r>
      <w:r>
        <w:t xml:space="preserve">, at the next header of equal or shallower level (the usual case). A child object must be exactly one heading level deeper than its parent; skipping a level (for example</w:t>
      </w:r>
      <w:r>
        <w:t xml:space="preserve"> </w:t>
      </w:r>
      <w:r>
        <w:rPr>
          <w:rStyle w:val="VerbatimChar"/>
        </w:rPr>
        <w:t xml:space="preserve">##</w:t>
      </w:r>
      <w:r>
        <w:t xml:space="preserve"> </w:t>
      </w:r>
      <w:r>
        <w:t xml:space="preserve">directly to</w:t>
      </w:r>
      <w:r>
        <w:t xml:space="preserve"> </w:t>
      </w:r>
      <w:r>
        <w:rPr>
          <w:rStyle w:val="VerbatimChar"/>
        </w:rPr>
        <w:t xml:space="preserve">####</w:t>
      </w:r>
      <w:r>
        <w:t xml:space="preserve">) is rejected as a broken hierarchy.</w:t>
      </w:r>
    </w:p>
    <w:p>
      <w:pPr>
        <w:numPr>
          <w:ilvl w:val="0"/>
          <w:numId w:val="1006"/>
        </w:numPr>
        <w:pStyle w:val="Compact"/>
      </w:pPr>
      <w:r>
        <w:rPr>
          <w:bCs/>
          <w:b/>
        </w:rPr>
        <w:t xml:space="preserve">Manually</w:t>
      </w:r>
      <w:r>
        <w:t xml:space="preserve">, at a</w:t>
      </w:r>
      <w:r>
        <w:t xml:space="preserve"> </w:t>
      </w:r>
      <w:r>
        <w:rPr>
          <w:rStyle w:val="VerbatimChar"/>
        </w:rPr>
        <w:t xml:space="preserve">----</w:t>
      </w:r>
      <w:r>
        <w:t xml:space="preserve"> </w:t>
      </w:r>
      <w:r>
        <w:t xml:space="preserve">thematic break. The marker closes the current section so that following content belongs to the parent scope, and it is</w:t>
      </w:r>
      <w:r>
        <w:t xml:space="preserve"> </w:t>
      </w:r>
      <w:r>
        <w:rPr>
          <w:bCs/>
          <w:b/>
        </w:rPr>
        <w:t xml:space="preserve">consumed</w:t>
      </w:r>
      <w:r>
        <w:t xml:space="preserve"> </w:t>
      </w:r>
      <w:r>
        <w:t xml:space="preserve">— it produces no horizontal rule in the output.</w:t>
      </w:r>
    </w:p>
    <w:p>
      <w:pPr>
        <w:pStyle w:val="FirstParagraph"/>
      </w:pPr>
      <w:r>
        <w:t xml:space="preserve">A</w:t>
      </w:r>
      <w:r>
        <w:t xml:space="preserve"> </w:t>
      </w:r>
      <w:r>
        <w:rPr>
          <w:rStyle w:val="VerbatimChar"/>
        </w:rPr>
        <w:t xml:space="preserve">----</w:t>
      </w:r>
      <w:r>
        <w:t xml:space="preserve"> </w:t>
      </w:r>
      <w:r>
        <w:t xml:space="preserve">is the correct way to end a section without opening a new heading. It replaces the anti-pattern of an empty</w:t>
      </w:r>
      <w:r>
        <w:t xml:space="preserve"> </w:t>
      </w:r>
      <w:r>
        <w:rPr>
          <w:rStyle w:val="VerbatimChar"/>
        </w:rPr>
        <w:t xml:space="preserve">##</w:t>
      </w:r>
      <w:r>
        <w:t xml:space="preserve"> </w:t>
      </w:r>
      <w:r>
        <w:t xml:space="preserve">used as a</w:t>
      </w:r>
      <w:r>
        <w:t xml:space="preserve"> </w:t>
      </w:r>
      <w:r>
        <w:t xml:space="preserve">“</w:t>
      </w:r>
      <w:r>
        <w:t xml:space="preserve">section reset</w:t>
      </w:r>
      <w:r>
        <w:t xml:space="preserve">”</w:t>
      </w:r>
      <w:r>
        <w:t xml:space="preserve">: an</w:t>
      </w:r>
      <w:r>
        <w:t xml:space="preserve"> </w:t>
      </w:r>
      <w:r>
        <w:rPr>
          <w:bCs/>
          <w:b/>
        </w:rPr>
        <w:t xml:space="preserve">empty heading</w:t>
      </w:r>
      <w:r>
        <w:t xml:space="preserve"> </w:t>
      </w:r>
      <w:r>
        <w:t xml:space="preserve">(a header with no title) is rejected, because it would render as a blank numbered heading and corrupt downstream numbering.</w:t>
      </w:r>
    </w:p>
    <w:p>
      <w:pPr>
        <w:pStyle w:val="SourceCode"/>
      </w:pPr>
      <w:r>
        <w:rPr>
          <w:rStyle w:val="VerbatimChar"/>
        </w:rPr>
        <w:t xml:space="preserve">## Pesquisa-Ação @SEC-PA</w:t>
      </w:r>
      <w:r>
        <w:br/>
      </w:r>
      <w:r>
        <w:br/>
      </w:r>
      <w:r>
        <w:rPr>
          <w:rStyle w:val="VerbatimChar"/>
        </w:rPr>
        <w:t xml:space="preserve">### Considerações Iniciais</w:t>
      </w:r>
      <w:r>
        <w:br/>
      </w:r>
      <w:r>
        <w:br/>
      </w:r>
      <w:r>
        <w:rPr>
          <w:rStyle w:val="VerbatimChar"/>
        </w:rPr>
        <w:t xml:space="preserve">Intro body that belongs to "Considerações Iniciais".</w:t>
      </w:r>
      <w:r>
        <w:br/>
      </w:r>
      <w:r>
        <w:br/>
      </w:r>
      <w:r>
        <w:rPr>
          <w:rStyle w:val="VerbatimChar"/>
        </w:rPr>
        <w:t xml:space="preserve">----</w:t>
      </w:r>
      <w:r>
        <w:br/>
      </w:r>
      <w:r>
        <w:br/>
      </w:r>
      <w:r>
        <w:rPr>
          <w:rStyle w:val="VerbatimChar"/>
        </w:rPr>
        <w:t xml:space="preserve">This trailing paragraph belongs to the chapter, not to the section above.</w:t>
      </w:r>
    </w:p>
    <w:bookmarkEnd w:id="41"/>
    <w:bookmarkEnd w:id="42"/>
    <w:bookmarkStart w:id="50" w:name="spec-float"/>
    <w:p>
      <w:pPr>
        <w:pStyle w:val="Heading2"/>
        <w:numPr>
          <w:ilvl w:val="1"/>
          <w:numId w:val="100"/>
        </w:numPr>
      </w:pPr>
      <w:r>
        <w:t xml:space="preserve">Spec Float</w:t>
      </w:r>
    </w:p>
    <w:p>
      <w:pPr>
        <w:pStyle w:val="FirstParagraph"/>
      </w:pPr>
      <w:r>
        <w:t xml:space="preserve">A</w:t>
      </w:r>
      <w:r>
        <w:t xml:space="preserve"> </w:t>
      </w:r>
      <w:r>
        <w:rPr>
          <w:bCs/>
          <w:b/>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43" w:name="formal-definition-2"/>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numPr>
          <w:ilvl w:val="0"/>
          <w:numId w:val="1007"/>
        </w:numPr>
        <w:pStyle w:val="Compact"/>
      </w:pPr>
      <m:oMath>
        <m:r>
          <m:t>τ</m:t>
        </m:r>
        <m:r>
          <m:rPr>
            <m:sty m:val="p"/>
          </m:rPr>
          <m:t>∈</m:t>
        </m:r>
        <m:r>
          <m:t>Γ</m:t>
        </m:r>
        <m:r>
          <m:rPr>
            <m:sty m:val="p"/>
          </m:rPr>
          <m:t>.</m:t>
        </m:r>
        <m:sSub>
          <m:e>
            <m:r>
              <m:rPr>
                <m:sty m:val="p"/>
              </m:rPr>
              <m:t>⊤</m:t>
            </m:r>
          </m:e>
          <m:sub>
            <m:r>
              <m:t>F</m:t>
            </m:r>
          </m:sub>
        </m:sSub>
      </m:oMath>
      <w:r>
        <w:t xml:space="preserve"> </w:t>
      </w:r>
      <w:r>
        <w:t xml:space="preserve">is the float type (e.g. FIGURE, TABLE, PLANTUML, MATH, CODE).</w:t>
      </w:r>
    </w:p>
    <w:p>
      <w:pPr>
        <w:numPr>
          <w:ilvl w:val="0"/>
          <w:numId w:val="1007"/>
        </w:numPr>
        <w:pStyle w:val="Compact"/>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numPr>
          <w:ilvl w:val="0"/>
          <w:numId w:val="1007"/>
        </w:numPr>
        <w:pStyle w:val="Compact"/>
      </w:pPr>
      <m:oMath>
        <m:r>
          <m:rPr>
            <m:nor/>
            <m:sty m:val="p"/>
          </m:rPr>
          <m:t>kv</m:t>
        </m:r>
        <m:r>
          <m:rPr>
            <m:sty m:val="p"/>
          </m:rPr>
          <m:t>⊆</m:t>
        </m:r>
        <m:r>
          <m:rPr>
            <m:nor/>
            <m:sty m:val="p"/>
          </m:rPr>
          <m:t>FloatAttribute</m:t>
        </m:r>
      </m:oMath>
      <w:r>
        <w:t xml:space="preserve"> </w:t>
      </w:r>
      <w:r>
        <w:t xml:space="preserve">is the set of untyped metadata (key-value pairs).</w:t>
      </w:r>
    </w:p>
    <w:p>
      <w:pPr>
        <w:numPr>
          <w:ilvl w:val="0"/>
          <w:numId w:val="1007"/>
        </w:numPr>
        <w:pStyle w:val="Compact"/>
      </w:pPr>
      <m:oMath>
        <m:r>
          <m:rPr>
            <m:nor/>
            <m:sty m:val="p"/>
          </m:rPr>
          <m:t>content</m:t>
        </m:r>
      </m:oMath>
      <w:r>
        <w:t xml:space="preserve"> </w:t>
      </w:r>
      <w:r>
        <w:t xml:space="preserve">is the raw payload of the fenced code block.</w:t>
      </w:r>
    </w:p>
    <w:bookmarkEnd w:id="43"/>
    <w:bookmarkStart w:id="47" w:name="grammar-2"/>
    <w:p>
      <w:pPr>
        <w:pStyle w:val="Heading3"/>
        <w:numPr>
          <w:ilvl w:val="2"/>
          <w:numId w:val="100"/>
        </w:numPr>
      </w:pPr>
      <w:r>
        <w:t xml:space="preserve">Grammar</w:t>
      </w:r>
    </w:p>
    <w:p>
      <w:pPr>
        <w:spacing w:lineRule="exact" w:line="20" w:before="0" w:after="0"/>
        <w:rPr>
          <w:sz w:val="2"/>
        </w:rPr>
      </w:pPr>
      <w:bookmarkStart w:name="puml-grammar-spec-float" w:id="89146"/>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29415"/>
            <wp:effectExtent b="0" l="0" r="0" t="0"/>
            <wp:docPr descr="" title="" id="45" name="Picture"/>
            <a:graphic>
              <a:graphicData uri="http://schemas.openxmlformats.org/drawingml/2006/picture">
                <pic:pic>
                  <pic:nvPicPr>
                    <pic:cNvPr descr="diagrams/cbabee19ae66429ec6eda82dec8ea5357efaceb9.png" id="46" name="Picture"/>
                    <pic:cNvPicPr>
                      <a:picLocks noChangeArrowheads="1" noChangeAspect="1"/>
                    </pic:cNvPicPr>
                  </pic:nvPicPr>
                  <pic:blipFill>
                    <a:blip r:embed="rId44"/>
                    <a:stretch>
                      <a:fillRect/>
                    </a:stretch>
                  </pic:blipFill>
                  <pic:spPr bwMode="auto">
                    <a:xfrm>
                      <a:off x="0" y="0"/>
                      <a:ext cx="5334000" cy="829415"/>
                    </a:xfrm>
                    <a:prstGeom prst="rect">
                      <a:avLst/>
                    </a:prstGeom>
                    <a:noFill/>
                    <a:ln w="9525">
                      <a:noFill/>
                      <a:headEnd/>
                      <a:tailEnd/>
                    </a:ln>
                  </pic:spPr>
                </pic:pic>
              </a:graphicData>
            </a:graphic>
          </wp:inline>
        </w:drawing>
      </w:r>
    </w:p>
    <w:bookmarkEnd w:id="47"/>
    <w:bookmarkStart w:id="48" w:name="float-types-and-aliases"/>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numPr>
          <w:ilvl w:val="0"/>
          <w:numId w:val="1008"/>
        </w:numPr>
        <w:pStyle w:val="Compact"/>
      </w:pPr>
      <w:r>
        <w:rPr>
          <w:bCs/>
          <w:b/>
        </w:rPr>
        <w:t xml:space="preserve">FIGURE</w:t>
      </w:r>
      <w:r>
        <w:t xml:space="preserve"> </w:t>
      </w:r>
      <w:r>
        <w:t xml:space="preserve">(aliases:</w:t>
      </w:r>
      <w:r>
        <w:t xml:space="preserve"> </w:t>
      </w:r>
      <w:r>
        <w:rPr>
          <w:rStyle w:val="VerbatimChar"/>
        </w:rPr>
        <w:t xml:space="preserve">fig</w:t>
      </w:r>
      <w:r>
        <w:t xml:space="preserve">) — image references.</w:t>
      </w:r>
    </w:p>
    <w:p>
      <w:pPr>
        <w:numPr>
          <w:ilvl w:val="0"/>
          <w:numId w:val="1008"/>
        </w:numPr>
        <w:pStyle w:val="Compact"/>
      </w:pPr>
      <w:r>
        <w:rPr>
          <w:bCs/>
          <w:b/>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numPr>
          <w:ilvl w:val="0"/>
          <w:numId w:val="1008"/>
        </w:numPr>
        <w:pStyle w:val="Compact"/>
      </w:pPr>
      <w:r>
        <w:rPr>
          <w:bCs/>
          <w:b/>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numPr>
          <w:ilvl w:val="0"/>
          <w:numId w:val="1008"/>
        </w:numPr>
        <w:pStyle w:val="Compact"/>
      </w:pPr>
      <w:r>
        <w:rPr>
          <w:bCs/>
          <w:b/>
        </w:rPr>
        <w:t xml:space="preserve">MATH</w:t>
      </w:r>
      <w:r>
        <w:t xml:space="preserve"> </w:t>
      </w:r>
      <w:r>
        <w:t xml:space="preserve">(aliases:</w:t>
      </w:r>
      <w:r>
        <w:t xml:space="preserve"> </w:t>
      </w:r>
      <w:r>
        <w:rPr>
          <w:rStyle w:val="VerbatimChar"/>
        </w:rPr>
        <w:t xml:space="preserve">math</w:t>
      </w:r>
      <w:r>
        <w:t xml:space="preserve">) — mathematical expressions.</w:t>
      </w:r>
    </w:p>
    <w:p>
      <w:pPr>
        <w:numPr>
          <w:ilvl w:val="0"/>
          <w:numId w:val="1008"/>
        </w:numPr>
        <w:pStyle w:val="Compact"/>
      </w:pPr>
      <w:r>
        <w:rPr>
          <w:bCs/>
          <w:b/>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numPr>
          <w:ilvl w:val="0"/>
          <w:numId w:val="1008"/>
        </w:numPr>
        <w:pStyle w:val="Compact"/>
      </w:pPr>
      <w:r>
        <w:rPr>
          <w:bCs/>
          <w:b/>
        </w:rPr>
        <w:t xml:space="preserve">CHART</w:t>
      </w:r>
      <w:r>
        <w:t xml:space="preserve"> </w:t>
      </w:r>
      <w:r>
        <w:t xml:space="preserve">(aliases:</w:t>
      </w:r>
      <w:r>
        <w:t xml:space="preserve"> </w:t>
      </w:r>
      <w:r>
        <w:rPr>
          <w:rStyle w:val="VerbatimChar"/>
        </w:rPr>
        <w:t xml:space="preserve">chart</w:t>
      </w:r>
      <w:r>
        <w:t xml:space="preserve">) — data-driven charts.</w:t>
      </w:r>
    </w:p>
    <w:p>
      <w:pPr>
        <w:numPr>
          <w:ilvl w:val="0"/>
          <w:numId w:val="1008"/>
        </w:numPr>
        <w:pStyle w:val="Compact"/>
      </w:pPr>
      <w:r>
        <w:rPr>
          <w:bCs/>
          <w:b/>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48"/>
    <w:bookmarkStart w:id="49" w:name="examples-2"/>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49"/>
    <w:bookmarkEnd w:id="50"/>
    <w:bookmarkStart w:id="60" w:name="attribute"/>
    <w:p>
      <w:pPr>
        <w:pStyle w:val="Heading2"/>
        <w:numPr>
          <w:ilvl w:val="1"/>
          <w:numId w:val="100"/>
        </w:numPr>
      </w:pPr>
      <w:r>
        <w:t xml:space="preserve">Attribute</w:t>
      </w:r>
    </w:p>
    <w:p>
      <w:pPr>
        <w:pStyle w:val="FirstParagraph"/>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51" w:name="formal-definition-3"/>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where:</w:t>
      </w:r>
    </w:p>
    <w:p>
      <w:pPr>
        <w:numPr>
          <w:ilvl w:val="0"/>
          <w:numId w:val="1009"/>
        </w:numPr>
        <w:pStyle w:val="Compact"/>
      </w:pPr>
      <m:oMath>
        <m:r>
          <m:t>τ</m:t>
        </m:r>
        <m:r>
          <m:rPr>
            <m:sty m:val="p"/>
          </m:rPr>
          <m:t>∈</m:t>
        </m:r>
        <m:r>
          <m:t>Γ</m:t>
        </m:r>
        <m:r>
          <m:rPr>
            <m:sty m:val="p"/>
          </m:rPr>
          <m:t>.</m:t>
        </m:r>
        <m:sSub>
          <m:e>
            <m:r>
              <m:rPr>
                <m:sty m:val="p"/>
              </m:rPr>
              <m:t>⊤</m:t>
            </m:r>
          </m:e>
          <m:sub>
            <m:r>
              <m:t>A</m:t>
            </m:r>
          </m:sub>
        </m:sSub>
      </m:oMath>
      <w:r>
        <w:t xml:space="preserve"> </w:t>
      </w:r>
      <w:r>
        <w:t xml:space="preserve">is the attribute type (e.g.</w:t>
      </w:r>
      <w:r>
        <w:t xml:space="preserve"> </w:t>
      </w:r>
      <w:r>
        <w:t xml:space="preserve">“</w:t>
      </w:r>
      <w:r>
        <w:t xml:space="preserve">status</w:t>
      </w:r>
      <w:r>
        <w:t xml:space="preserve">”</w:t>
      </w:r>
      <w:r>
        <w:t xml:space="preserve">,</w:t>
      </w:r>
      <w:r>
        <w:t xml:space="preserve"> </w:t>
      </w:r>
      <w:r>
        <w:t xml:space="preserve">“</w:t>
      </w:r>
      <w:r>
        <w:t xml:space="preserve">priority</w:t>
      </w:r>
      <w:r>
        <w:t xml:space="preserve">”</w:t>
      </w:r>
      <w:r>
        <w:t xml:space="preserve">,</w:t>
      </w:r>
      <w:r>
        <w:t xml:space="preserve"> </w:t>
      </w:r>
      <w:r>
        <w:t xml:space="preserve">“</w:t>
      </w:r>
      <w:r>
        <w:t xml:space="preserve">rationale</w:t>
      </w:r>
      <w:r>
        <w:t xml:space="preserve">”</w:t>
      </w:r>
      <w:r>
        <w:t xml:space="preserve">).</w:t>
      </w:r>
    </w:p>
    <w:p>
      <w:pPr>
        <w:numPr>
          <w:ilvl w:val="0"/>
          <w:numId w:val="1009"/>
        </w:numPr>
        <w:pStyle w:val="Compact"/>
      </w:pPr>
      <m:oMath>
        <m:r>
          <m:t>β</m:t>
        </m:r>
      </m:oMath>
      <w:r>
        <w:t xml:space="preserve"> </w:t>
      </w:r>
      <w:r>
        <w:t xml:space="preserve">is the nested blockquote content (block and inline elements).</w:t>
      </w:r>
    </w:p>
    <w:p>
      <w:pPr>
        <w:numPr>
          <w:ilvl w:val="0"/>
          <w:numId w:val="1009"/>
        </w:numPr>
        <w:pStyle w:val="Compact"/>
      </w:pPr>
      <m:oMath>
        <m:r>
          <m:rPr>
            <m:sty m:val="p"/>
            <m:scr m:val="script"/>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51"/>
    <w:bookmarkStart w:id="55" w:name="grammar-3"/>
    <w:p>
      <w:pPr>
        <w:pStyle w:val="Heading3"/>
        <w:numPr>
          <w:ilvl w:val="2"/>
          <w:numId w:val="100"/>
        </w:numPr>
      </w:pPr>
      <w:r>
        <w:t xml:space="preserve">Grammar</w:t>
      </w:r>
    </w:p>
    <w:p>
      <w:pPr>
        <w:spacing w:lineRule="exact" w:line="20" w:before="0" w:after="0"/>
        <w:rPr>
          <w:sz w:val="2"/>
        </w:rPr>
      </w:pPr>
      <w:bookmarkStart w:name="puml-grammar-attribute" w:id="27150"/>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38491"/>
            <wp:effectExtent b="0" l="0" r="0" t="0"/>
            <wp:docPr descr="" title="" id="53" name="Picture"/>
            <a:graphic>
              <a:graphicData uri="http://schemas.openxmlformats.org/drawingml/2006/picture">
                <pic:pic>
                  <pic:nvPicPr>
                    <pic:cNvPr descr="diagrams/a87faeacf04f59cdc7bd06bbdac3768412b277cd.png" id="54" name="Picture"/>
                    <pic:cNvPicPr>
                      <a:picLocks noChangeArrowheads="1" noChangeAspect="1"/>
                    </pic:cNvPicPr>
                  </pic:nvPicPr>
                  <pic:blipFill>
                    <a:blip r:embed="rId52"/>
                    <a:stretch>
                      <a:fillRect/>
                    </a:stretch>
                  </pic:blipFill>
                  <pic:spPr bwMode="auto">
                    <a:xfrm>
                      <a:off x="0" y="0"/>
                      <a:ext cx="5334000" cy="1538491"/>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55"/>
    <w:bookmarkStart w:id="56" w:name="datatypes"/>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numPr>
          <w:ilvl w:val="0"/>
          <w:numId w:val="1010"/>
        </w:numPr>
        <w:pStyle w:val="Compact"/>
      </w:pPr>
      <w:r>
        <w:rPr>
          <w:bCs/>
          <w:b/>
        </w:rPr>
        <w:t xml:space="preserve">STRING</w:t>
      </w:r>
      <w:r>
        <w:t xml:space="preserve"> </w:t>
      </w:r>
      <w:r>
        <w:t xml:space="preserve">— plain text.</w:t>
      </w:r>
    </w:p>
    <w:p>
      <w:pPr>
        <w:numPr>
          <w:ilvl w:val="0"/>
          <w:numId w:val="1010"/>
        </w:numPr>
        <w:pStyle w:val="Compact"/>
      </w:pPr>
      <w:r>
        <w:rPr>
          <w:bCs/>
          <w:b/>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numPr>
          <w:ilvl w:val="0"/>
          <w:numId w:val="1010"/>
        </w:numPr>
        <w:pStyle w:val="Compact"/>
      </w:pPr>
      <w:r>
        <w:rPr>
          <w:bCs/>
          <w:b/>
        </w:rPr>
        <w:t xml:space="preserve">DATE</w:t>
      </w:r>
      <w:r>
        <w:t xml:space="preserve"> </w:t>
      </w:r>
      <w:r>
        <w:t xml:space="preserve">— ISO 8601 date (</w:t>
      </w:r>
      <w:r>
        <w:rPr>
          <w:rStyle w:val="VerbatimChar"/>
        </w:rPr>
        <w:t xml:space="preserve">YYYY-MM-DD</w:t>
      </w:r>
      <w:r>
        <w:t xml:space="preserve">).</w:t>
      </w:r>
    </w:p>
    <w:p>
      <w:pPr>
        <w:numPr>
          <w:ilvl w:val="0"/>
          <w:numId w:val="1010"/>
        </w:numPr>
        <w:pStyle w:val="Compact"/>
      </w:pPr>
      <w:r>
        <w:rPr>
          <w:bCs/>
          <w:b/>
        </w:rPr>
        <w:t xml:space="preserve">ENUM</w:t>
      </w:r>
      <w:r>
        <w:t xml:space="preserve"> </w:t>
      </w:r>
      <w:r>
        <w:t xml:space="preserve">— restricted set of values. Valid values defined in the model.</w:t>
      </w:r>
    </w:p>
    <w:p>
      <w:pPr>
        <w:numPr>
          <w:ilvl w:val="0"/>
          <w:numId w:val="1010"/>
        </w:numPr>
        <w:pStyle w:val="Compact"/>
      </w:pPr>
      <w:r>
        <w:rPr>
          <w:bCs/>
          <w:b/>
        </w:rPr>
        <w:t xml:space="preserve">XHTML</w:t>
      </w:r>
      <w:r>
        <w:t xml:space="preserve"> </w:t>
      </w:r>
      <w:r>
        <w:t xml:space="preserve">— rich text. Supports full Markdown formatting including links, bold, italic, and lists.</w:t>
      </w:r>
    </w:p>
    <w:bookmarkEnd w:id="56"/>
    <w:bookmarkStart w:id="57" w:name="attribute-constraints"/>
    <w:p>
      <w:pPr>
        <w:pStyle w:val="Heading3"/>
        <w:numPr>
          <w:ilvl w:val="2"/>
          <w:numId w:val="100"/>
        </w:numPr>
      </w:pPr>
      <w:r>
        <w:t xml:space="preserve">Attribute Constraints</w:t>
      </w:r>
    </w:p>
    <w:p>
      <w:pPr>
        <w:pStyle w:val="FirstParagraph"/>
      </w:pPr>
      <w:r>
        <w:t xml:space="preserve">Models declare attribute schemas with the following constraints:</w:t>
      </w:r>
    </w:p>
    <w:p>
      <w:pPr>
        <w:numPr>
          <w:ilvl w:val="0"/>
          <w:numId w:val="1011"/>
        </w:numPr>
        <w:pStyle w:val="Compact"/>
      </w:pPr>
      <w:r>
        <w:rPr>
          <w:rStyle w:val="VerbatimChar"/>
        </w:rPr>
        <w:t xml:space="preserve">min_occurs</w:t>
      </w:r>
      <w:r>
        <w:t xml:space="preserve"> </w:t>
      </w:r>
      <w:r>
        <w:t xml:space="preserve">— minimum number of values (0 = optional, 1+ = required).</w:t>
      </w:r>
    </w:p>
    <w:p>
      <w:pPr>
        <w:numPr>
          <w:ilvl w:val="0"/>
          <w:numId w:val="1011"/>
        </w:numPr>
        <w:pStyle w:val="Compact"/>
      </w:pPr>
      <w:r>
        <w:rPr>
          <w:rStyle w:val="VerbatimChar"/>
        </w:rPr>
        <w:t xml:space="preserve">max_occurs</w:t>
      </w:r>
      <w:r>
        <w:t xml:space="preserve"> </w:t>
      </w:r>
      <w:r>
        <w:t xml:space="preserve">— maximum number of values (1 = single value, &gt;1 = multi-value).</w:t>
      </w:r>
    </w:p>
    <w:p>
      <w:pPr>
        <w:numPr>
          <w:ilvl w:val="0"/>
          <w:numId w:val="1011"/>
        </w:numPr>
        <w:pStyle w:val="Compact"/>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57"/>
    <w:bookmarkStart w:id="58" w:name="multi-value-attributes"/>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58"/>
    <w:bookmarkStart w:id="59" w:name="examples-3"/>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59"/>
    <w:bookmarkEnd w:id="60"/>
    <w:bookmarkStart w:id="69" w:name="spec-relation"/>
    <w:p>
      <w:pPr>
        <w:pStyle w:val="Heading2"/>
        <w:numPr>
          <w:ilvl w:val="1"/>
          <w:numId w:val="100"/>
        </w:numPr>
      </w:pPr>
      <w:r>
        <w:t xml:space="preserve">Spec Relation</w:t>
      </w:r>
    </w:p>
    <w:p>
      <w:pPr>
        <w:pStyle w:val="FirstParagraph"/>
      </w:pPr>
      <w:r>
        <w:t xml:space="preserve">A</w:t>
      </w:r>
      <w:r>
        <w:t xml:space="preserve"> </w:t>
      </w:r>
      <w:r>
        <w:rPr>
          <w:bCs/>
          <w:b/>
        </w:rPr>
        <w:t xml:space="preserve">Spec Relation</w:t>
      </w:r>
      <w:r>
        <w:t xml:space="preserve"> </w:t>
      </w:r>
      <w:r>
        <w:t xml:space="preserve">is a traceability link between specification elements. Relations are created from Markdown links where the URL acts as a</w:t>
      </w:r>
      <w:r>
        <w:t xml:space="preserve"> </w:t>
      </w:r>
      <w:r>
        <w:rPr>
          <w:bCs/>
          <w:b/>
        </w:rPr>
        <w:t xml:space="preserve">selector</w:t>
      </w:r>
      <w:r>
        <w:t xml:space="preserve"> </w:t>
      </w:r>
      <w:r>
        <w:t xml:space="preserve">that drives type inference. The relation type is not authored explicitly — it is inferred from the selector, the source context, and the resolved target.</w:t>
      </w:r>
    </w:p>
    <w:bookmarkStart w:id="61" w:name="formal-definition-4"/>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where:</w:t>
      </w:r>
    </w:p>
    <w:p>
      <w:pPr>
        <w:numPr>
          <w:ilvl w:val="0"/>
          <w:numId w:val="1012"/>
        </w:numPr>
        <w:pStyle w:val="Compact"/>
      </w:pPr>
      <m:oMath>
        <m:r>
          <m:t>s</m:t>
        </m:r>
        <m:r>
          <m:rPr>
            <m:sty m:val="p"/>
          </m:rPr>
          <m:t>∈</m:t>
        </m:r>
        <m:r>
          <m:rPr>
            <m:sty m:val="p"/>
            <m:scr m:val="script"/>
          </m:rPr>
          <m:t>O</m:t>
        </m:r>
      </m:oMath>
      <w:r>
        <w:t xml:space="preserve"> </w:t>
      </w:r>
      <w:r>
        <w:t xml:space="preserve">is the source object.</w:t>
      </w:r>
    </w:p>
    <w:p>
      <w:pPr>
        <w:numPr>
          <w:ilvl w:val="0"/>
          <w:numId w:val="1012"/>
        </w:numPr>
        <w:pStyle w:val="Compact"/>
      </w:pPr>
      <m:oMath>
        <m:r>
          <m:t>t</m:t>
        </m:r>
        <m:r>
          <m:rPr>
            <m:sty m:val="p"/>
          </m:rPr>
          <m:t>∈</m:t>
        </m:r>
        <m:d>
          <m:dPr>
            <m:begChr m:val="("/>
            <m:endChr m:val=")"/>
            <m:sepChr m:val=""/>
            <m:grow/>
          </m:dPr>
          <m:e>
            <m:r>
              <m:rPr>
                <m:sty m:val="p"/>
                <m:scr m:val="script"/>
              </m:rPr>
              <m:t>O</m:t>
            </m:r>
            <m:r>
              <m:rPr>
                <m:sty m:val="p"/>
              </m:rPr>
              <m:t>∪</m:t>
            </m:r>
            <m:r>
              <m:rPr>
                <m:sty m:val="p"/>
                <m:scr m:val="script"/>
              </m:rPr>
              <m:t>F</m:t>
            </m:r>
          </m:e>
        </m:d>
      </m:oMath>
      <w:r>
        <w:t xml:space="preserve"> </w:t>
      </w:r>
      <w:r>
        <w:t xml:space="preserve">is the target element (object or float).</w:t>
      </w:r>
    </w:p>
    <w:p>
      <w:pPr>
        <w:numPr>
          <w:ilvl w:val="0"/>
          <w:numId w:val="1012"/>
        </w:numPr>
        <w:pStyle w:val="Compact"/>
      </w:pPr>
      <m:oMath>
        <m:r>
          <m:t>σ</m:t>
        </m:r>
        <m:r>
          <m:rPr>
            <m:sty m:val="p"/>
          </m:rPr>
          <m:t>∈</m:t>
        </m:r>
        <m:r>
          <m:rPr>
            <m:nor/>
            <m:sty m:val="p"/>
          </m:rPr>
          <m:t>String</m:t>
        </m:r>
      </m:oMath>
      <w:r>
        <w:t xml:space="preserve"> </w:t>
      </w:r>
      <w:r>
        <w:t xml:space="preserve">is the link selector (the URL portion of the Markdown link).</w:t>
      </w:r>
    </w:p>
    <w:p>
      <w:pPr>
        <w:numPr>
          <w:ilvl w:val="0"/>
          <w:numId w:val="1012"/>
        </w:numPr>
        <w:pStyle w:val="Compact"/>
      </w:pPr>
      <m:oMath>
        <m:r>
          <m:t>α</m:t>
        </m:r>
        <m:r>
          <m:rPr>
            <m:sty m:val="p"/>
          </m:rPr>
          <m:t>∈</m:t>
        </m:r>
        <m:r>
          <m:rPr>
            <m:nor/>
            <m:sty m:val="p"/>
          </m:rPr>
          <m:t>String</m:t>
        </m:r>
        <m:r>
          <m:rPr>
            <m:sty m:val="p"/>
          </m:rPr>
          <m:t>∪</m:t>
        </m:r>
        <m:d>
          <m:dPr>
            <m:begChr m:val="{"/>
            <m:endChr m:val="}"/>
            <m:sep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t>Γ</m:t>
        </m:r>
        <m:r>
          <m:rPr>
            <m:sty m:val="p"/>
          </m:rPr>
          <m:t>.</m:t>
        </m:r>
        <m:sSub>
          <m:e>
            <m:r>
              <m:rPr>
                <m:sty m:val="p"/>
              </m:rPr>
              <m:t>⊤</m:t>
            </m:r>
          </m:e>
          <m:sub>
            <m:r>
              <m:t>R</m:t>
            </m:r>
          </m:sub>
        </m:sSub>
      </m:oMath>
      <w:r>
        <w:t xml:space="preserve"> </w:t>
      </w:r>
      <w:r>
        <w:t xml:space="preserve">is</w:t>
      </w:r>
      <w:r>
        <w:t xml:space="preserve"> </w:t>
      </w:r>
      <w:r>
        <w:rPr>
          <w:bCs/>
          <w:b/>
        </w:rPr>
        <w:t xml:space="preserve">inferred</w:t>
      </w:r>
      <w:r>
        <w:t xml:space="preserv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61"/>
    <w:bookmarkStart w:id="65" w:name="grammar-4"/>
    <w:p>
      <w:pPr>
        <w:pStyle w:val="Heading3"/>
        <w:numPr>
          <w:ilvl w:val="2"/>
          <w:numId w:val="100"/>
        </w:numPr>
      </w:pPr>
      <w:r>
        <w:t xml:space="preserve">Grammar</w:t>
      </w:r>
    </w:p>
    <w:p>
      <w:pPr>
        <w:spacing w:lineRule="exact" w:line="20" w:before="0" w:after="0"/>
        <w:rPr>
          <w:sz w:val="2"/>
        </w:rPr>
      </w:pPr>
      <w:bookmarkStart w:name="puml-grammar-spec-relation" w:id="79264"/>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851400" cy="1689100"/>
            <wp:effectExtent b="0" l="0" r="0" t="0"/>
            <wp:docPr descr="" title="" id="63" name="Picture"/>
            <a:graphic>
              <a:graphicData uri="http://schemas.openxmlformats.org/drawingml/2006/picture">
                <pic:pic>
                  <pic:nvPicPr>
                    <pic:cNvPr descr="diagrams/e81fdc30ba9988a4c689ff034107d1c6b1b73337.png" id="64" name="Picture"/>
                    <pic:cNvPicPr>
                      <a:picLocks noChangeArrowheads="1" noChangeAspect="1"/>
                    </pic:cNvPicPr>
                  </pic:nvPicPr>
                  <pic:blipFill>
                    <a:blip r:embed="rId62"/>
                    <a:stretch>
                      <a:fillRect/>
                    </a:stretch>
                  </pic:blipFill>
                  <pic:spPr bwMode="auto">
                    <a:xfrm>
                      <a:off x="0" y="0"/>
                      <a:ext cx="4851400" cy="1689100"/>
                    </a:xfrm>
                    <a:prstGeom prst="rect">
                      <a:avLst/>
                    </a:prstGeom>
                    <a:noFill/>
                    <a:ln w="9525">
                      <a:noFill/>
                      <a:headEnd/>
                      <a:tailEnd/>
                    </a:ln>
                  </pic:spPr>
                </pic:pic>
              </a:graphicData>
            </a:graphic>
          </wp:inline>
        </w:drawing>
      </w:r>
    </w:p>
    <w:bookmarkEnd w:id="65"/>
    <w:bookmarkStart w:id="66" w:name="link-selectors"/>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Cs/>
          <w:b/>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numPr>
          <w:ilvl w:val="0"/>
          <w:numId w:val="1013"/>
        </w:numPr>
        <w:pStyle w:val="Compact"/>
      </w:pPr>
      <w:r>
        <w:rPr>
          <w:rStyle w:val="VerbatimChar"/>
          <w:bCs/>
          <w:b/>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numPr>
          <w:ilvl w:val="0"/>
          <w:numId w:val="1013"/>
        </w:numPr>
        <w:pStyle w:val="Compact"/>
      </w:pPr>
      <w:r>
        <w:rPr>
          <w:rStyle w:val="VerbatimChar"/>
          <w:bCs/>
          <w:b/>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numPr>
          <w:ilvl w:val="0"/>
          <w:numId w:val="1013"/>
        </w:numPr>
        <w:pStyle w:val="Compact"/>
      </w:pPr>
      <w:r>
        <w:rPr>
          <w:rStyle w:val="VerbatimChar"/>
          <w:bCs/>
          <w:b/>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66"/>
    <w:bookmarkStart w:id="67" w:name="type-inference-1"/>
    <w:p>
      <w:pPr>
        <w:pStyle w:val="Heading3"/>
        <w:numPr>
          <w:ilvl w:val="2"/>
          <w:numId w:val="100"/>
        </w:numPr>
      </w:pPr>
      <w:r>
        <w:t xml:space="preserve">Type Inference</w:t>
      </w:r>
    </w:p>
    <w:p>
      <w:pPr>
        <w:pStyle w:val="FirstParagraph"/>
      </w:pPr>
      <w:r>
        <w:t xml:space="preserve">Relation types are inferred by</w:t>
      </w:r>
      <w:r>
        <w:t xml:space="preserve"> </w:t>
      </w:r>
      <w:r>
        <w:rPr>
          <w:bCs/>
          <w:b/>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numPr>
          <w:ilvl w:val="0"/>
          <w:numId w:val="1014"/>
        </w:numPr>
        <w:pStyle w:val="Compact"/>
      </w:pPr>
      <w:r>
        <w:rPr>
          <w:bCs/>
          <w:b/>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numPr>
          <w:ilvl w:val="0"/>
          <w:numId w:val="1014"/>
        </w:numPr>
        <w:pStyle w:val="Compact"/>
      </w:pPr>
      <w:r>
        <w:rPr>
          <w:bCs/>
          <w:b/>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numPr>
          <w:ilvl w:val="0"/>
          <w:numId w:val="1014"/>
        </w:numPr>
        <w:pStyle w:val="Compact"/>
      </w:pPr>
      <w:r>
        <w:rPr>
          <w:bCs/>
          <w:b/>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numPr>
          <w:ilvl w:val="0"/>
          <w:numId w:val="1014"/>
        </w:numPr>
        <w:pStyle w:val="Compact"/>
      </w:pPr>
      <w:r>
        <w:rPr>
          <w:bCs/>
          <w:b/>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type="dxa" w:w="57"/>
          <w:left w:type="dxa" w:w="108"/>
          <w:bottom w:type="dxa" w:w="57"/>
          <w:right w:type="dxa" w:w="108"/>
        </w:tblCellMar>
      </w:tblPr>
      <w:tblGrid>
        <w:gridCol w:w="1320"/>
        <w:gridCol w:w="1320"/>
        <w:gridCol w:w="1320"/>
        <w:gridCol w:w="1320"/>
        <w:gridCol w:w="1320"/>
        <w:gridCol w:w="1320"/>
      </w:tblGrid>
      <w:tr>
        <w:trPr>
          <w:tblHeader w:val="true"/>
        </w:trPr>
        <w:tc>
          <w:tcPr>
            <w:shd w:color="auto" w:fill="E8E8E8" w:val="clear"/>
          </w:tcPr>
          <w:p>
            <w:pPr>
              <w:pStyle w:val="Compact"/>
              <w:jc w:val="left"/>
              <w:ind w:right="0" w:left="0" w:firstLine="0"/>
              <w:spacing w:lineRule="auto" w:after="40" w:before="40" w:line="240"/>
            </w:pPr>
            <w:r>
              <w:rPr>
                <w:b/>
              </w:rPr>
              <w:t xml:space="preserve">Type</w:t>
            </w:r>
          </w:p>
        </w:tc>
        <w:tc>
          <w:tcPr>
            <w:shd w:color="auto" w:fill="E8E8E8" w:val="clear"/>
          </w:tcPr>
          <w:p>
            <w:pPr>
              <w:pStyle w:val="Compact"/>
              <w:jc w:val="left"/>
              <w:ind w:right="0" w:left="0" w:firstLine="0"/>
              <w:spacing w:lineRule="auto" w:after="40" w:before="40" w:line="240"/>
            </w:pPr>
            <w:r>
              <w:rPr>
                <w:b/>
              </w:rPr>
              <w:t xml:space="preserve">selector</w:t>
            </w:r>
          </w:p>
        </w:tc>
        <w:tc>
          <w:tcPr>
            <w:shd w:color="auto" w:fill="E8E8E8" w:val="clear"/>
          </w:tcPr>
          <w:p>
            <w:pPr>
              <w:pStyle w:val="Compact"/>
              <w:jc w:val="left"/>
              <w:ind w:right="0" w:left="0" w:firstLine="0"/>
              <w:spacing w:lineRule="auto" w:after="40" w:before="40" w:line="240"/>
            </w:pPr>
            <w:r>
              <w:rPr>
                <w:b/>
              </w:rPr>
              <w:t xml:space="preserve">source_attr</w:t>
            </w:r>
          </w:p>
        </w:tc>
        <w:tc>
          <w:tcPr>
            <w:shd w:color="auto" w:fill="E8E8E8" w:val="clear"/>
          </w:tcPr>
          <w:p>
            <w:pPr>
              <w:pStyle w:val="Compact"/>
              <w:jc w:val="left"/>
              <w:ind w:right="0" w:left="0" w:firstLine="0"/>
              <w:spacing w:lineRule="auto" w:after="40" w:before="40" w:line="240"/>
            </w:pPr>
            <w:r>
              <w:rPr>
                <w:b/>
              </w:rPr>
              <w:t xml:space="preserve">source_type</w:t>
            </w:r>
          </w:p>
        </w:tc>
        <w:tc>
          <w:tcPr>
            <w:shd w:color="auto" w:fill="E8E8E8" w:val="clear"/>
          </w:tcPr>
          <w:p>
            <w:pPr>
              <w:pStyle w:val="Compact"/>
              <w:jc w:val="left"/>
              <w:ind w:right="0" w:left="0" w:firstLine="0"/>
              <w:spacing w:lineRule="auto" w:after="40" w:before="40" w:line="240"/>
            </w:pPr>
            <w:r>
              <w:rPr>
                <w:b/>
              </w:rPr>
              <w:t xml:space="preserve">target_type</w:t>
            </w:r>
          </w:p>
        </w:tc>
        <w:tc>
          <w:tcPr>
            <w:shd w:color="auto" w:fill="E8E8E8" w:val="clear"/>
          </w:tcPr>
          <w:p>
            <w:pPr>
              <w:pStyle w:val="Compact"/>
              <w:jc w:val="left"/>
              <w:ind w:right="0" w:left="0" w:firstLine="0"/>
              <w:spacing w:lineRule="auto" w:after="40" w:before="40" w:line="240"/>
            </w:pPr>
            <w:r>
              <w:rPr>
                <w:b/>
              </w:rPr>
              <w:t xml:space="preserve">Score</w:t>
            </w:r>
          </w:p>
        </w:tc>
      </w:tr>
      <w:tr>
        <w:tc>
          <w:tcPr/>
          <w:p>
            <w:pPr>
              <w:pStyle w:val="Compact"/>
              <w:jc w:val="left"/>
              <w:ind w:right="0" w:left="0" w:firstLine="0"/>
              <w:spacing w:lineRule="auto" w:after="40" w:before="40" w:line="240"/>
            </w:pPr>
            <w:r>
              <w:t xml:space="preserve">VERIFIES</w:t>
            </w:r>
          </w:p>
        </w:tc>
        <w:tc>
          <w:tcPr/>
          <w:p>
            <w:pPr>
              <w:pStyle w:val="Compact"/>
              <w:jc w:val="left"/>
              <w:ind w:right="0" w:left="0" w:firstLine="0"/>
              <w:spacing w:lineRule="auto" w:after="40" w:before="40" w:line="240"/>
            </w:pPr>
            <w:r>
              <w:rPr>
                <w:rStyle w:val="VerbatimChar"/>
              </w:rPr>
              <w:t xml:space="preserve">@</w:t>
            </w:r>
          </w:p>
        </w:tc>
        <w:tc>
          <w:tcPr/>
          <w:p>
            <w:pPr>
              <w:pStyle w:val="Compact"/>
              <w:jc w:val="left"/>
              <w:ind w:right="0" w:left="0" w:firstLine="0"/>
              <w:spacing w:lineRule="auto" w:after="40" w:before="40" w:line="240"/>
            </w:pPr>
            <w:r>
              <w:rPr>
                <w:rStyle w:val="VerbatimChar"/>
              </w:rPr>
              <w:t xml:space="preserve">traceability</w:t>
            </w:r>
          </w:p>
        </w:tc>
        <w:tc>
          <w:tcPr/>
          <w:p>
            <w:pPr>
              <w:pStyle w:val="Compact"/>
              <w:jc w:val="left"/>
              <w:ind w:right="0" w:left="0" w:firstLine="0"/>
              <w:spacing w:lineRule="auto" w:after="40" w:before="40" w:line="240"/>
            </w:pPr>
            <w:r>
              <w:rPr>
                <w:rStyle w:val="VerbatimChar"/>
              </w:rPr>
              <w:t xml:space="preserve">VC</w:t>
            </w:r>
          </w:p>
        </w:tc>
        <w:tc>
          <w:tcPr/>
          <w:p>
            <w:pPr>
              <w:pStyle w:val="Compact"/>
              <w:jc w:val="left"/>
              <w:ind w:right="0" w:left="0" w:firstLine="0"/>
              <w:spacing w:lineRule="auto" w:after="40" w:before="40" w:line="240"/>
            </w:pPr>
            <w:r>
              <w:rPr>
                <w:rStyle w:val="VerbatimChar"/>
              </w:rPr>
              <w:t xml:space="preserve">HLR</w:t>
            </w:r>
          </w:p>
        </w:tc>
        <w:tc>
          <w:tcPr/>
          <w:p>
            <w:pPr>
              <w:pStyle w:val="Compact"/>
              <w:jc w:val="left"/>
              <w:ind w:right="0" w:left="0" w:firstLine="0"/>
              <w:spacing w:lineRule="auto" w:after="40" w:before="40" w:line="240"/>
            </w:pPr>
            <w:r>
              <w:rPr>
                <w:bCs/>
                <w:b/>
              </w:rPr>
              <w:t xml:space="preserve">4</w:t>
            </w:r>
          </w:p>
        </w:tc>
      </w:tr>
      <w:tr>
        <w:tc>
          <w:tcPr/>
          <w:p>
            <w:pPr>
              <w:pStyle w:val="Compact"/>
              <w:jc w:val="left"/>
              <w:ind w:right="0" w:left="0" w:firstLine="0"/>
              <w:spacing w:lineRule="auto" w:after="40" w:before="40" w:line="240"/>
            </w:pPr>
            <w:r>
              <w:t xml:space="preserve">TRACES_TO</w:t>
            </w:r>
          </w:p>
        </w:tc>
        <w:tc>
          <w:tcPr/>
          <w:p>
            <w:pPr>
              <w:pStyle w:val="Compact"/>
              <w:jc w:val="left"/>
              <w:ind w:right="0" w:left="0" w:firstLine="0"/>
              <w:spacing w:lineRule="auto" w:after="40" w:before="40" w:line="240"/>
            </w:pPr>
            <w:r>
              <w:rPr>
                <w:rStyle w:val="VerbatimChar"/>
              </w:rPr>
              <w:t xml:space="preserve">@</w:t>
            </w:r>
          </w:p>
        </w:tc>
        <w:tc>
          <w:tcPr/>
          <w:p>
            <w:pPr>
              <w:pStyle w:val="Compact"/>
              <w:jc w:val="left"/>
              <w:ind w:right="0" w:left="0" w:firstLine="0"/>
              <w:spacing w:lineRule="auto" w:after="40" w:before="40" w:line="240"/>
            </w:pPr>
            <w:r>
              <w:t xml:space="preserve">—</w:t>
            </w:r>
          </w:p>
        </w:tc>
        <w:tc>
          <w:tcPr/>
          <w:p>
            <w:pPr>
              <w:pStyle w:val="Compact"/>
              <w:jc w:val="left"/>
              <w:ind w:right="0" w:left="0" w:firstLine="0"/>
              <w:spacing w:lineRule="auto" w:after="40" w:before="40" w:line="240"/>
            </w:pPr>
            <w:r>
              <w:t xml:space="preserve">—</w:t>
            </w:r>
          </w:p>
        </w:tc>
        <w:tc>
          <w:tcPr/>
          <w:p>
            <w:pPr>
              <w:pStyle w:val="Compact"/>
              <w:jc w:val="left"/>
              <w:ind w:right="0" w:left="0" w:firstLine="0"/>
              <w:spacing w:lineRule="auto" w:after="40" w:before="40" w:line="240"/>
            </w:pPr>
            <w:r>
              <w:t xml:space="preserve">—</w:t>
            </w:r>
          </w:p>
        </w:tc>
        <w:tc>
          <w:tcPr/>
          <w:p>
            <w:pPr>
              <w:pStyle w:val="Compact"/>
              <w:jc w:val="left"/>
              <w:ind w:right="0" w:left="0" w:firstLine="0"/>
              <w:spacing w:lineRule="auto" w:after="40" w:before="40" w:line="240"/>
            </w:pPr>
            <w:r>
              <w:t xml:space="preserve">1</w:t>
            </w:r>
          </w:p>
        </w:tc>
      </w:tr>
      <w:tr>
        <w:tc>
          <w:tcPr/>
          <w:p>
            <w:pPr>
              <w:pStyle w:val="Compact"/>
              <w:jc w:val="left"/>
              <w:ind w:right="0" w:left="0" w:firstLine="0"/>
              <w:spacing w:lineRule="auto" w:after="40" w:before="40" w:line="240"/>
            </w:pPr>
            <w:r>
              <w:t xml:space="preserve">XREF_SEC</w:t>
            </w:r>
          </w:p>
        </w:tc>
        <w:tc>
          <w:tcPr/>
          <w:p>
            <w:pPr>
              <w:pStyle w:val="Compact"/>
              <w:jc w:val="left"/>
              <w:ind w:right="0" w:left="0" w:firstLine="0"/>
              <w:spacing w:lineRule="auto" w:after="40" w:before="40" w:line="240"/>
            </w:pPr>
            <w:r>
              <w:rPr>
                <w:rStyle w:val="VerbatimChar"/>
              </w:rPr>
              <w:t xml:space="preserve">@</w:t>
            </w:r>
          </w:p>
        </w:tc>
        <w:tc>
          <w:tcPr/>
          <w:p>
            <w:pPr>
              <w:pStyle w:val="Compact"/>
              <w:jc w:val="left"/>
              <w:ind w:right="0" w:left="0" w:firstLine="0"/>
              <w:spacing w:lineRule="auto" w:after="40" w:before="40" w:line="240"/>
            </w:pPr>
            <w:r>
              <w:t xml:space="preserve">—</w:t>
            </w:r>
          </w:p>
        </w:tc>
        <w:tc>
          <w:tcPr/>
          <w:p>
            <w:pPr>
              <w:pStyle w:val="Compact"/>
              <w:jc w:val="left"/>
              <w:ind w:right="0" w:left="0" w:firstLine="0"/>
              <w:spacing w:lineRule="auto" w:after="40" w:before="40" w:line="240"/>
            </w:pPr>
            <w:r>
              <w:t xml:space="preserve">—</w:t>
            </w:r>
          </w:p>
        </w:tc>
        <w:tc>
          <w:tcPr/>
          <w:p>
            <w:pPr>
              <w:pStyle w:val="Compact"/>
              <w:jc w:val="left"/>
              <w:ind w:right="0" w:left="0" w:firstLine="0"/>
              <w:spacing w:lineRule="auto" w:after="40" w:before="40" w:line="240"/>
            </w:pPr>
            <w:r>
              <w:rPr>
                <w:rStyle w:val="VerbatimChar"/>
                <w:strike/>
              </w:rPr>
              <w:t xml:space="preserve">SECTION</w:t>
            </w:r>
          </w:p>
        </w:tc>
        <w:tc>
          <w:tcPr/>
          <w:p>
            <w:pPr>
              <w:pStyle w:val="Compact"/>
              <w:jc w:val="left"/>
              <w:ind w:right="0" w:left="0" w:firstLine="0"/>
              <w:spacing w:lineRule="auto" w:after="40" w:before="40" w:line="240"/>
            </w:pPr>
            <w:r>
              <w:t xml:space="preserve">eliminated</w:t>
            </w:r>
          </w:p>
        </w:tc>
      </w:tr>
    </w:tbl>
    <w:p>
      <w:pPr>
        <w:pStyle w:val="BodyText"/>
      </w:pPr>
      <w:r>
        <w:t xml:space="preserve">VERIFIES wins with the highest specificity (4 non-NULL constraints matched).</w:t>
      </w:r>
    </w:p>
    <w:bookmarkEnd w:id="67"/>
    <w:bookmarkStart w:id="68" w:name="examples-4"/>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68"/>
    <w:bookmarkEnd w:id="69"/>
    <w:bookmarkStart w:id="77" w:name="spec-view"/>
    <w:p>
      <w:pPr>
        <w:pStyle w:val="Heading2"/>
        <w:numPr>
          <w:ilvl w:val="1"/>
          <w:numId w:val="100"/>
        </w:numPr>
      </w:pPr>
      <w:r>
        <w:t xml:space="preserve">Spec View</w:t>
      </w:r>
    </w:p>
    <w:p>
      <w:pPr>
        <w:pStyle w:val="FirstParagraph"/>
      </w:pPr>
      <w:r>
        <w:t xml:space="preserve">A</w:t>
      </w:r>
      <w:r>
        <w:t xml:space="preserve"> </w:t>
      </w:r>
      <w:r>
        <w:rPr>
          <w:bCs/>
          <w:b/>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70" w:name="formal-definition-5"/>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d>
          <m:dPr>
            <m:begChr m:val="("/>
            <m:endChr m:val=")"/>
            <m:sepChr m:val=""/>
            <m:grow/>
          </m:dPr>
          <m:e>
            <m:r>
              <m:t>τ</m:t>
            </m:r>
            <m:r>
              <m:rPr>
                <m:sty m:val="p"/>
              </m:rPr>
              <m:t>,</m:t>
            </m:r>
            <m:r>
              <m:t>ω</m:t>
            </m:r>
          </m:e>
        </m:d>
      </m:oMath>
      <w:r>
        <w:t xml:space="preserve"> </w:t>
      </w:r>
      <w:r>
        <w:t xml:space="preserve">where:</w:t>
      </w:r>
    </w:p>
    <w:p>
      <w:pPr>
        <w:numPr>
          <w:ilvl w:val="0"/>
          <w:numId w:val="1015"/>
        </w:numPr>
        <w:pStyle w:val="Compact"/>
      </w:pPr>
      <m:oMath>
        <m:r>
          <m:t>τ</m:t>
        </m:r>
        <m:r>
          <m:rPr>
            <m:sty m:val="p"/>
          </m:rPr>
          <m:t>∈</m:t>
        </m:r>
        <m:r>
          <m:t>Γ</m:t>
        </m:r>
        <m:r>
          <m:rPr>
            <m:sty m:val="p"/>
          </m:rPr>
          <m:t>.</m:t>
        </m:r>
        <m:sSub>
          <m:e>
            <m:r>
              <m:rPr>
                <m:sty m:val="p"/>
              </m:rPr>
              <m:t>⊤</m:t>
            </m:r>
          </m:e>
          <m:sub>
            <m:r>
              <m:t>V</m:t>
            </m:r>
          </m:sub>
        </m:sSub>
      </m:oMath>
      <w:r>
        <w:t xml:space="preserve"> </w:t>
      </w:r>
      <w:r>
        <w:t xml:space="preserve">is the view type (e.g. TOC, LOF, TRACEABILITY_MATRIX, ABBREV, MATH_INLINE).</w:t>
      </w:r>
    </w:p>
    <w:p>
      <w:pPr>
        <w:numPr>
          <w:ilvl w:val="0"/>
          <w:numId w:val="1015"/>
        </w:numPr>
        <w:pStyle w:val="Compact"/>
      </w:pPr>
      <m:oMath>
        <m:r>
          <m:t>ω</m:t>
        </m:r>
        <m:r>
          <m:rPr>
            <m:sty m:val="p"/>
          </m:rPr>
          <m:t>∈</m:t>
        </m:r>
        <m:r>
          <m:rPr>
            <m:nor/>
            <m:sty m:val="p"/>
          </m:rPr>
          <m:t>String</m:t>
        </m:r>
      </m:oMath>
      <w:r>
        <w:t xml:space="preserve"> </w:t>
      </w:r>
      <w:r>
        <w:t xml:space="preserve">is the raw parameter string.</w:t>
      </w:r>
    </w:p>
    <w:bookmarkEnd w:id="70"/>
    <w:bookmarkStart w:id="74" w:name="grammar-5"/>
    <w:p>
      <w:pPr>
        <w:pStyle w:val="Heading3"/>
        <w:numPr>
          <w:ilvl w:val="2"/>
          <w:numId w:val="100"/>
        </w:numPr>
      </w:pPr>
      <w:r>
        <w:t xml:space="preserve">Grammar</w:t>
      </w:r>
    </w:p>
    <w:p>
      <w:pPr>
        <w:spacing w:lineRule="exact" w:line="20" w:before="0" w:after="0"/>
        <w:rPr>
          <w:sz w:val="2"/>
        </w:rPr>
      </w:pPr>
      <w:bookmarkStart w:name="puml-grammar-spec-view" w:id="24745"/>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054600" cy="1320800"/>
            <wp:effectExtent b="0" l="0" r="0" t="0"/>
            <wp:docPr descr="" title="" id="72" name="Picture"/>
            <a:graphic>
              <a:graphicData uri="http://schemas.openxmlformats.org/drawingml/2006/picture">
                <pic:pic>
                  <pic:nvPicPr>
                    <pic:cNvPr descr="diagrams/66854711fd100da85b86d601327ac920c398ea0e.png" id="73" name="Picture"/>
                    <pic:cNvPicPr>
                      <a:picLocks noChangeArrowheads="1" noChangeAspect="1"/>
                    </pic:cNvPicPr>
                  </pic:nvPicPr>
                  <pic:blipFill>
                    <a:blip r:embed="rId71"/>
                    <a:stretch>
                      <a:fillRect/>
                    </a:stretch>
                  </pic:blipFill>
                  <pic:spPr bwMode="auto">
                    <a:xfrm>
                      <a:off x="0" y="0"/>
                      <a:ext cx="5054600" cy="1320800"/>
                    </a:xfrm>
                    <a:prstGeom prst="rect">
                      <a:avLst/>
                    </a:prstGeom>
                    <a:noFill/>
                    <a:ln w="9525">
                      <a:noFill/>
                      <a:headEnd/>
                      <a:tailEnd/>
                    </a:ln>
                  </pic:spPr>
                </pic:pic>
              </a:graphicData>
            </a:graphic>
          </wp:inline>
        </w:drawing>
      </w:r>
    </w:p>
    <w:bookmarkEnd w:id="74"/>
    <w:bookmarkStart w:id="75" w:name="view-types"/>
    <w:p>
      <w:pPr>
        <w:pStyle w:val="Heading3"/>
        <w:numPr>
          <w:ilvl w:val="2"/>
          <w:numId w:val="100"/>
        </w:numPr>
      </w:pPr>
      <w:r>
        <w:t xml:space="preserve">View Types</w:t>
      </w:r>
    </w:p>
    <w:p>
      <w:pPr>
        <w:pStyle w:val="FirstParagraph"/>
      </w:pPr>
      <w:r>
        <w:t xml:space="preserve">Views are defined by the model. Common view types include:</w:t>
      </w:r>
    </w:p>
    <w:p>
      <w:pPr>
        <w:numPr>
          <w:ilvl w:val="0"/>
          <w:numId w:val="1016"/>
        </w:numPr>
        <w:pStyle w:val="Compact"/>
      </w:pPr>
      <w:r>
        <w:rPr>
          <w:bCs/>
          <w:b/>
        </w:rPr>
        <w:t xml:space="preserve">TOC</w:t>
      </w:r>
      <w:r>
        <w:t xml:space="preserve"> </w:t>
      </w:r>
      <w:r>
        <w:t xml:space="preserve">([TOC]) — table of contents.</w:t>
      </w:r>
    </w:p>
    <w:p>
      <w:pPr>
        <w:numPr>
          <w:ilvl w:val="0"/>
          <w:numId w:val="1016"/>
        </w:numPr>
        <w:pStyle w:val="Compact"/>
      </w:pPr>
      <w:r>
        <w:rPr>
          <w:bCs/>
          <w:b/>
        </w:rPr>
        <w:t xml:space="preserve">LOF</w:t>
      </w:r>
      <w:r>
        <w:t xml:space="preserve"> </w:t>
      </w:r>
      <w:r>
        <w:t xml:space="preserve">([LOF]) — list of figures.</w:t>
      </w:r>
    </w:p>
    <w:p>
      <w:pPr>
        <w:numPr>
          <w:ilvl w:val="0"/>
          <w:numId w:val="1016"/>
        </w:numPr>
        <w:pStyle w:val="Compact"/>
      </w:pPr>
      <w:r>
        <w:rPr>
          <w:bCs/>
          <w:b/>
        </w:rPr>
        <w:t xml:space="preserve">LOT</w:t>
      </w:r>
      <w:r>
        <w:t xml:space="preserve"> </w:t>
      </w:r>
      <w:r>
        <w:t xml:space="preserve">([LOT]) — list of tables.</w:t>
      </w:r>
    </w:p>
    <w:p>
      <w:pPr>
        <w:numPr>
          <w:ilvl w:val="0"/>
          <w:numId w:val="1016"/>
        </w:numPr>
        <w:pStyle w:val="Compact"/>
      </w:pPr>
      <w:r>
        <w:rPr>
          <w:bCs/>
          <w:b/>
        </w:rPr>
        <w:t xml:space="preserve">ABBREV</w:t>
      </w:r>
      <w:r>
        <w:t xml:space="preserve"> </w:t>
      </w:r>
      <w:r>
        <w:t xml:space="preserve">(</w:t>
      </w:r>
      <w:r>
        <w:rPr>
          <w:rStyle w:val="VerbatimChar"/>
        </w:rPr>
        <w:t xml:space="preserve">abbrev:</w:t>
      </w:r>
      <w:r>
        <w:t xml:space="preserve">) — abbreviation expansion (e.g.,</w:t>
      </w:r>
      <w:r>
        <w:t xml:space="preserve"> </w:t>
      </w:r>
      <w:r>
        <w:rPr>
          <w:rStyle w:val="VerbatimChar"/>
        </w:rPr>
        <w:t xml:space="preserve">abbrev: PID</w:t>
      </w:r>
      <w:r>
        <w:t xml:space="preserve"> </w:t>
      </w:r>
      <w:r>
        <w:t xml:space="preserve">expands to</w:t>
      </w:r>
      <w:r>
        <w:t xml:space="preserve"> </w:t>
      </w:r>
      <w:r>
        <w:t xml:space="preserve">“</w:t>
      </w:r>
      <w:r>
        <w:t xml:space="preserve">Project Identifier (PID)</w:t>
      </w:r>
      <w:r>
        <w:t xml:space="preserve">”</w:t>
      </w:r>
      <w:r>
        <w:t xml:space="preserve">).</w:t>
      </w:r>
    </w:p>
    <w:p>
      <w:pPr>
        <w:numPr>
          <w:ilvl w:val="0"/>
          <w:numId w:val="1016"/>
        </w:numPr>
        <w:pStyle w:val="Compact"/>
      </w:pPr>
      <w:r>
        <w:rPr>
          <w:bCs/>
          <w:b/>
        </w:rPr>
        <w:t xml:space="preserve">MATH_INLINE</w:t>
      </w:r>
      <w:r>
        <w:t xml:space="preserve"> </w:t>
      </w:r>
      <w:r>
        <w:t xml:space="preserve">(</w:t>
      </w:r>
      <w:r>
        <w:rPr>
          <w:rStyle w:val="VerbatimChar"/>
        </w:rPr>
        <w:t xml:space="preserve">math_inline:</w:t>
      </w:r>
      <w:r>
        <w:t xml:space="preserve">) — inline math expression.</w:t>
      </w:r>
    </w:p>
    <w:p>
      <w:pPr>
        <w:numPr>
          <w:ilvl w:val="0"/>
          <w:numId w:val="1016"/>
        </w:numPr>
        <w:pStyle w:val="Compact"/>
      </w:pPr>
      <w:r>
        <w:rPr>
          <w:bCs/>
          <w:b/>
        </w:rPr>
        <w:t xml:space="preserve">TRACEABILITY_MATRIX</w:t>
      </w:r>
      <w:r>
        <w:t xml:space="preserve"> </w:t>
      </w:r>
      <w:r>
        <w:t xml:space="preserve">— coverage matrix showing which objects trace to which.</w:t>
      </w:r>
    </w:p>
    <w:p>
      <w:pPr>
        <w:numPr>
          <w:ilvl w:val="0"/>
          <w:numId w:val="1016"/>
        </w:numPr>
        <w:pStyle w:val="Compact"/>
      </w:pPr>
      <w:r>
        <w:rPr>
          <w:bCs/>
          <w:b/>
        </w:rPr>
        <w:t xml:space="preserve">REQUIREMENTS_SUMMARY</w:t>
      </w:r>
      <w:r>
        <w:t xml:space="preserve"> </w:t>
      </w:r>
      <w:r>
        <w:t xml:space="preserve">— summary report of requirements by type and status.</w:t>
      </w:r>
    </w:p>
    <w:bookmarkEnd w:id="75"/>
    <w:bookmarkStart w:id="76" w:name="examples-5"/>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76"/>
    <w:bookmarkEnd w:id="77"/>
    <w:bookmarkStart w:id="78" w:name="disambiguation-rules"/>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Cs/>
          <w:b/>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numPr>
          <w:ilvl w:val="0"/>
          <w:numId w:val="1017"/>
        </w:numPr>
        <w:pStyle w:val="Compact"/>
      </w:pPr>
      <w:r>
        <w:t xml:space="preserve">It immediately follows a header (Specification or Spec Object) or another recognized attribute. Each attribute is a separate Markdown blockquote, so distinct attributes must be separated by a blank line.</w:t>
      </w:r>
    </w:p>
    <w:p>
      <w:pPr>
        <w:numPr>
          <w:ilvl w:val="0"/>
          <w:numId w:val="1017"/>
        </w:numPr>
        <w:pStyle w:val="Compact"/>
      </w:pPr>
      <w:r>
        <w:t xml:space="preserve">Its first line matches the pattern</w:t>
      </w:r>
      <w:r>
        <w:t xml:space="preserve"> </w:t>
      </w:r>
      <w:r>
        <w:rPr>
          <w:rStyle w:val="VerbatimChar"/>
        </w:rPr>
        <w:t xml:space="preserve">AttrName ":" ...</w:t>
      </w:r>
      <w:r>
        <w:t xml:space="preserve">, where AttrName is a declared attribute name for the enclosing object’s type.</w:t>
      </w:r>
    </w:p>
    <w:p>
      <w:pPr>
        <w:pStyle w:val="FirstParagraph"/>
      </w:pPr>
      <w:r>
        <w:t xml:space="preserve">If either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w:t>
      </w:r>
      <w:r>
        <w:t xml:space="preserve">Note</w:t>
      </w:r>
      <w:r>
        <w:t xml:space="preserve">”</w:t>
      </w:r>
      <w:r>
        <w:t xml:space="preserve"> </w:t>
      </w:r>
      <w:r>
        <w:t xml:space="preserve">for the enclosing object type.</w:t>
      </w:r>
    </w:p>
    <w:p>
      <w:pPr>
        <w:pStyle w:val="BodyText"/>
      </w:pPr>
      <w:r>
        <w:rPr>
          <w:bCs/>
          <w:b/>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Cs/>
          <w:b/>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Cs/>
          <w:b/>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Cs/>
          <w:b/>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78"/>
    <w:bookmarkEnd w:id="79"/>
    <w:bookmarkStart w:id="85" w:name="type-system"/>
    <w:p>
      <w:pPr>
        <w:pStyle w:val="Heading1"/>
        <w:numPr>
          <w:ilvl w:val="0"/>
          <w:numId w:val="100"/>
        </w:numPr>
      </w:pPr>
      <w:r>
        <w:t xml:space="preserve">Type System</w:t>
      </w:r>
    </w:p>
    <w:p>
      <w:pPr>
        <w:pStyle w:val="FirstParagraph"/>
      </w:pPr>
      <w:r>
        <w:t xml:space="preserve">CommonSpec is parameterized by a</w:t>
      </w:r>
      <w:r>
        <w:t xml:space="preserve"> </w:t>
      </w:r>
      <w:r>
        <w:rPr>
          <w:bCs/>
          <w:b/>
        </w:rPr>
        <w:t xml:space="preserve">model</w:t>
      </w:r>
      <w:r>
        <w:t xml:space="preserve"> </w:t>
      </w:r>
      <w:r>
        <w:t xml:space="preserve">— a type environment</w:t>
      </w:r>
      <w:r>
        <w:t xml:space="preserve"> </w:t>
      </w:r>
      <m:oMath>
        <m: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80" w:name="model-structure"/>
    <w:p>
      <w:pPr>
        <w:pStyle w:val="Heading2"/>
        <w:numPr>
          <w:ilvl w:val="1"/>
          <w:numId w:val="100"/>
        </w:numPr>
      </w:pPr>
      <w:r>
        <w:t xml:space="preserve">Model Structure</w:t>
      </w:r>
    </w:p>
    <w:p>
      <w:pPr>
        <w:pStyle w:val="FirstParagraph"/>
      </w:pPr>
      <w:r>
        <w:t xml:space="preserve">A model provides type definitions organized by category:</w:t>
      </w:r>
    </w:p>
    <w:p>
      <w:pPr>
        <w:numPr>
          <w:ilvl w:val="0"/>
          <w:numId w:val="1018"/>
        </w:numPr>
        <w:pStyle w:val="Compact"/>
      </w:pPr>
      <w:r>
        <w:rPr>
          <w:bCs/>
          <w:b/>
        </w:rPr>
        <w:t xml:space="preserve">Object types</w:t>
      </w:r>
      <w:r>
        <w:t xml:space="preserve"> </w:t>
      </w:r>
      <w:r>
        <w:t xml:space="preserve">— spec object types (e.g., SECTION, HLR, LLR, VC).</w:t>
      </w:r>
    </w:p>
    <w:p>
      <w:pPr>
        <w:numPr>
          <w:ilvl w:val="0"/>
          <w:numId w:val="1018"/>
        </w:numPr>
        <w:pStyle w:val="Compact"/>
      </w:pPr>
      <w:r>
        <w:rPr>
          <w:bCs/>
          <w:b/>
        </w:rPr>
        <w:t xml:space="preserve">Float types</w:t>
      </w:r>
      <w:r>
        <w:t xml:space="preserve"> </w:t>
      </w:r>
      <w:r>
        <w:t xml:space="preserve">— float types with aliases and counter groups (e.g., FIGURE, TABLE, PLANTUML).</w:t>
      </w:r>
    </w:p>
    <w:p>
      <w:pPr>
        <w:numPr>
          <w:ilvl w:val="0"/>
          <w:numId w:val="1018"/>
        </w:numPr>
        <w:pStyle w:val="Compact"/>
      </w:pPr>
      <w:r>
        <w:rPr>
          <w:bCs/>
          <w:b/>
        </w:rPr>
        <w:t xml:space="preserve">Relation types</w:t>
      </w:r>
      <w:r>
        <w:t xml:space="preserve"> </w:t>
      </w:r>
      <w:r>
        <w:t xml:space="preserve">— relation types with selectors, resolvers, and constraints (e.g., PID_REF, VERIFIES).</w:t>
      </w:r>
    </w:p>
    <w:p>
      <w:pPr>
        <w:numPr>
          <w:ilvl w:val="0"/>
          <w:numId w:val="1018"/>
        </w:numPr>
        <w:pStyle w:val="Compact"/>
      </w:pPr>
      <w:r>
        <w:rPr>
          <w:bCs/>
          <w:b/>
        </w:rPr>
        <w:t xml:space="preserve">View types</w:t>
      </w:r>
      <w:r>
        <w:t xml:space="preserve"> </w:t>
      </w:r>
      <w:r>
        <w:t xml:space="preserve">— view types with parameters and materialization logic (e.g., TOC, LOF, ABBREV).</w:t>
      </w:r>
    </w:p>
    <w:p>
      <w:pPr>
        <w:numPr>
          <w:ilvl w:val="0"/>
          <w:numId w:val="1018"/>
        </w:numPr>
        <w:pStyle w:val="Compact"/>
      </w:pPr>
      <w:r>
        <w:rPr>
          <w:bCs/>
          <w:b/>
        </w:rPr>
        <w:t xml:space="preserve">Specification types</w:t>
      </w:r>
      <w:r>
        <w:t xml:space="preserve"> </w:t>
      </w:r>
      <w:r>
        <w:t xml:space="preserve">— document-level types (e.g., SRS, SDD, SVC).</w:t>
      </w:r>
    </w:p>
    <w:p>
      <w:pPr>
        <w:numPr>
          <w:ilvl w:val="0"/>
          <w:numId w:val="1018"/>
        </w:numPr>
        <w:pStyle w:val="Compact"/>
      </w:pPr>
      <w:r>
        <w:rPr>
          <w:bCs/>
          <w:b/>
        </w:rPr>
        <w:t xml:space="preserve">Verification rules</w:t>
      </w:r>
      <w:r>
        <w:t xml:space="preserve"> </w:t>
      </w:r>
      <w:r>
        <w:t xml:space="preserve">— constraint violation detectors that enforce model invariants (e.g., missing required attributes, invalid enum values, broken traceability).</w:t>
      </w:r>
    </w:p>
    <w:bookmarkEnd w:id="80"/>
    <w:bookmarkStart w:id="81" w:name="type-definition-schema"/>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numPr>
          <w:ilvl w:val="0"/>
          <w:numId w:val="1019"/>
        </w:numPr>
        <w:pStyle w:val="Compact"/>
      </w:pPr>
      <w:r>
        <w:rPr>
          <w:bCs/>
          <w:b/>
        </w:rPr>
        <w:t xml:space="preserve">id</w:t>
      </w:r>
      <w:r>
        <w:t xml:space="preserve"> </w:t>
      </w:r>
      <w:r>
        <w:t xml:space="preserve">— the canonical type identifier (e.g.,</w:t>
      </w:r>
      <w:r>
        <w:t xml:space="preserve"> </w:t>
      </w:r>
      <w:r>
        <w:rPr>
          <w:rStyle w:val="VerbatimChar"/>
        </w:rPr>
        <w:t xml:space="preserve">HLR</w:t>
      </w:r>
      <w:r>
        <w:t xml:space="preserve">).</w:t>
      </w:r>
    </w:p>
    <w:p>
      <w:pPr>
        <w:numPr>
          <w:ilvl w:val="0"/>
          <w:numId w:val="1019"/>
        </w:numPr>
        <w:pStyle w:val="Compact"/>
      </w:pPr>
      <w:r>
        <w:rPr>
          <w:bCs/>
          <w:b/>
        </w:rPr>
        <w:t xml:space="preserve">long_name</w:t>
      </w:r>
      <w:r>
        <w:t xml:space="preserve"> </w:t>
      </w:r>
      <w:r>
        <w:t xml:space="preserve">— human-readable name (e.g.,</w:t>
      </w:r>
      <w:r>
        <w:t xml:space="preserve"> </w:t>
      </w:r>
      <w:r>
        <w:t xml:space="preserve">“</w:t>
      </w:r>
      <w:r>
        <w:t xml:space="preserve">High-Level Requirement</w:t>
      </w:r>
      <w:r>
        <w:t xml:space="preserve">”</w:t>
      </w:r>
      <w:r>
        <w:t xml:space="preserve">).</w:t>
      </w:r>
    </w:p>
    <w:p>
      <w:pPr>
        <w:numPr>
          <w:ilvl w:val="0"/>
          <w:numId w:val="1019"/>
        </w:numPr>
        <w:pStyle w:val="Compact"/>
      </w:pPr>
      <w:r>
        <w:rPr>
          <w:bCs/>
          <w:b/>
        </w:rPr>
        <w:t xml:space="preserve">extends</w:t>
      </w:r>
      <w:r>
        <w:t xml:space="preserve"> </w:t>
      </w:r>
      <w:r>
        <w:t xml:space="preserve">— parent type for single inheritance (e.g.,</w:t>
      </w:r>
      <w:r>
        <w:t xml:space="preserve"> </w:t>
      </w:r>
      <w:r>
        <w:rPr>
          <w:rStyle w:val="VerbatimChar"/>
        </w:rPr>
        <w:t xml:space="preserve">TRACEABLE</w:t>
      </w:r>
      <w:r>
        <w:t xml:space="preserve">).</w:t>
      </w:r>
    </w:p>
    <w:p>
      <w:pPr>
        <w:numPr>
          <w:ilvl w:val="0"/>
          <w:numId w:val="1019"/>
        </w:numPr>
        <w:pStyle w:val="Compact"/>
      </w:pPr>
      <w:r>
        <w:rPr>
          <w:bCs/>
          <w:b/>
        </w:rPr>
        <w:t xml:space="preserve">pid_prefix</w:t>
      </w:r>
      <w:r>
        <w:t xml:space="preserve"> </w:t>
      </w:r>
      <w:r>
        <w:t xml:space="preserve">— prefix for auto-generated PIDs (e.g.,</w:t>
      </w:r>
      <w:r>
        <w:t xml:space="preserve"> </w:t>
      </w:r>
      <w:r>
        <w:rPr>
          <w:rStyle w:val="VerbatimChar"/>
        </w:rPr>
        <w:t xml:space="preserve">HLR</w:t>
      </w:r>
      <w:r>
        <w:t xml:space="preserve">).</w:t>
      </w:r>
    </w:p>
    <w:p>
      <w:pPr>
        <w:numPr>
          <w:ilvl w:val="0"/>
          <w:numId w:val="1019"/>
        </w:numPr>
        <w:pStyle w:val="Compact"/>
      </w:pPr>
      <w:r>
        <w:rPr>
          <w:bCs/>
          <w:b/>
        </w:rPr>
        <w:t xml:space="preserve">pid_format</w:t>
      </w:r>
      <w:r>
        <w:t xml:space="preserve"> </w:t>
      </w:r>
      <w:r>
        <w:t xml:space="preserve">— format string for PID numbering (e.g.,</w:t>
      </w:r>
      <w:r>
        <w:t xml:space="preserve"> </w:t>
      </w:r>
      <w:r>
        <w:rPr>
          <w:rStyle w:val="VerbatimChar"/>
        </w:rPr>
        <w:t xml:space="preserve">%03d</w:t>
      </w:r>
      <w:r>
        <w:t xml:space="preserve">).</w:t>
      </w:r>
    </w:p>
    <w:p>
      <w:pPr>
        <w:numPr>
          <w:ilvl w:val="0"/>
          <w:numId w:val="1019"/>
        </w:numPr>
        <w:pStyle w:val="Compact"/>
      </w:pPr>
      <w:r>
        <w:rPr>
          <w:bCs/>
          <w:b/>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numPr>
          <w:ilvl w:val="0"/>
          <w:numId w:val="1020"/>
        </w:numPr>
        <w:pStyle w:val="Compact"/>
      </w:pPr>
      <w:r>
        <w:rPr>
          <w:bCs/>
          <w:b/>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numPr>
          <w:ilvl w:val="0"/>
          <w:numId w:val="1020"/>
        </w:numPr>
        <w:pStyle w:val="Compact"/>
      </w:pPr>
      <w:r>
        <w:rPr>
          <w:bCs/>
          <w:b/>
        </w:rPr>
        <w:t xml:space="preserve">source_type_ref</w:t>
      </w:r>
      <w:r>
        <w:t xml:space="preserve"> </w:t>
      </w:r>
      <w:r>
        <w:t xml:space="preserve">/</w:t>
      </w:r>
      <w:r>
        <w:t xml:space="preserve"> </w:t>
      </w:r>
      <w:r>
        <w:rPr>
          <w:bCs/>
          <w:b/>
        </w:rPr>
        <w:t xml:space="preserve">target_type_ref</w:t>
      </w:r>
      <w:r>
        <w:t xml:space="preserve"> </w:t>
      </w:r>
      <w:r>
        <w:t xml:space="preserve">— type constraints for inference.</w:t>
      </w:r>
    </w:p>
    <w:p>
      <w:pPr>
        <w:numPr>
          <w:ilvl w:val="0"/>
          <w:numId w:val="1020"/>
        </w:numPr>
        <w:pStyle w:val="Compact"/>
      </w:pPr>
      <w:r>
        <w:rPr>
          <w:bCs/>
          <w:b/>
        </w:rPr>
        <w:t xml:space="preserve">source_attribute</w:t>
      </w:r>
      <w:r>
        <w:t xml:space="preserve"> </w:t>
      </w:r>
      <w:r>
        <w:t xml:space="preserve">— attribute context constraint for inference.</w:t>
      </w:r>
    </w:p>
    <w:p>
      <w:pPr>
        <w:numPr>
          <w:ilvl w:val="0"/>
          <w:numId w:val="1020"/>
        </w:numPr>
        <w:pStyle w:val="Compact"/>
      </w:pPr>
      <w:r>
        <w:rPr>
          <w:bCs/>
          <w:b/>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81"/>
    <w:bookmarkStart w:id="82" w:name="type-inheritance"/>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numPr>
          <w:ilvl w:val="0"/>
          <w:numId w:val="1021"/>
        </w:numPr>
        <w:pStyle w:val="Compact"/>
      </w:pPr>
      <w:r>
        <w:rPr>
          <w:bCs/>
          <w:b/>
        </w:rPr>
        <w:t xml:space="preserve">SECTION</w:t>
      </w:r>
      <w:r>
        <w:t xml:space="preserve"> </w:t>
      </w:r>
      <w:r>
        <w:t xml:space="preserve">— base structural container, no special attributes.</w:t>
      </w:r>
    </w:p>
    <w:p>
      <w:pPr>
        <w:numPr>
          <w:ilvl w:val="0"/>
          <w:numId w:val="1021"/>
        </w:numPr>
        <w:pStyle w:val="Compact"/>
      </w:pPr>
      <w:r>
        <w:rPr>
          <w:bCs/>
          <w:b/>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numPr>
          <w:ilvl w:val="0"/>
          <w:numId w:val="1021"/>
        </w:numPr>
        <w:pStyle w:val="Compact"/>
      </w:pPr>
      <w:r>
        <w:rPr>
          <w:bCs/>
          <w:b/>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numPr>
          <w:ilvl w:val="0"/>
          <w:numId w:val="1021"/>
        </w:numPr>
        <w:pStyle w:val="Compact"/>
      </w:pPr>
      <w:r>
        <w:rPr>
          <w:bCs/>
          <w:b/>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82"/>
    <w:bookmarkStart w:id="83" w:name="default-model"/>
    <w:p>
      <w:pPr>
        <w:pStyle w:val="Heading2"/>
        <w:numPr>
          <w:ilvl w:val="1"/>
          <w:numId w:val="100"/>
        </w:numPr>
      </w:pPr>
      <w:r>
        <w:t xml:space="preserve">Default Model</w:t>
      </w:r>
    </w:p>
    <w:p>
      <w:pPr>
        <w:pStyle w:val="FirstParagraph"/>
      </w:pPr>
      <w:r>
        <w:t xml:space="preserve">The default model provides basic types for general technical publishing:</w:t>
      </w:r>
    </w:p>
    <w:p>
      <w:pPr>
        <w:numPr>
          <w:ilvl w:val="0"/>
          <w:numId w:val="1022"/>
        </w:numPr>
        <w:pStyle w:val="Compact"/>
      </w:pPr>
      <w:r>
        <w:rPr>
          <w:bCs/>
          <w:b/>
        </w:rPr>
        <w:t xml:space="preserve">Objects:</w:t>
      </w:r>
      <w:r>
        <w:t xml:space="preserve"> </w:t>
      </w:r>
      <w:r>
        <w:t xml:space="preserve">SECTION (default, composite), COVER, EXEC_SUMMARY, REFERENCES.</w:t>
      </w:r>
    </w:p>
    <w:p>
      <w:pPr>
        <w:numPr>
          <w:ilvl w:val="0"/>
          <w:numId w:val="1022"/>
        </w:numPr>
        <w:pStyle w:val="Compact"/>
      </w:pPr>
      <w:r>
        <w:rPr>
          <w:bCs/>
          <w:b/>
        </w:rPr>
        <w:t xml:space="preserve">Floats:</w:t>
      </w:r>
      <w:r>
        <w:t xml:space="preserve"> </w:t>
      </w:r>
      <w:r>
        <w:t xml:space="preserve">FIGURE, TABLE, CODE, MATH, PLANTUML, CHART, DIAGRAM.</w:t>
      </w:r>
    </w:p>
    <w:p>
      <w:pPr>
        <w:numPr>
          <w:ilvl w:val="0"/>
          <w:numId w:val="1022"/>
        </w:numPr>
        <w:pStyle w:val="Compact"/>
      </w:pPr>
      <w:r>
        <w:rPr>
          <w:bCs/>
          <w:b/>
        </w:rPr>
        <w:t xml:space="preserve">Views:</w:t>
      </w:r>
      <w:r>
        <w:t xml:space="preserve"> </w:t>
      </w:r>
      <w:r>
        <w:t xml:space="preserve">TOC, LOF, LOT, ABBREV, MATH_INLINE.</w:t>
      </w:r>
    </w:p>
    <w:p>
      <w:pPr>
        <w:numPr>
          <w:ilvl w:val="0"/>
          <w:numId w:val="1022"/>
        </w:numPr>
        <w:pStyle w:val="Compact"/>
      </w:pPr>
      <w:r>
        <w:rPr>
          <w:bCs/>
          <w:b/>
        </w:rPr>
        <w:t xml:space="preserve">Specifications:</w:t>
      </w:r>
      <w:r>
        <w:t xml:space="preserve"> </w:t>
      </w:r>
      <w:r>
        <w:t xml:space="preserve">A single default specification type.</w:t>
      </w:r>
    </w:p>
    <w:bookmarkEnd w:id="83"/>
    <w:bookmarkStart w:id="84" w:name="domain-models"/>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numPr>
          <w:ilvl w:val="0"/>
          <w:numId w:val="1023"/>
        </w:numPr>
        <w:pStyle w:val="Compact"/>
      </w:pPr>
      <w:r>
        <w:rPr>
          <w:bCs/>
          <w:b/>
        </w:rPr>
        <w:t xml:space="preserve">Objects:</w:t>
      </w:r>
      <w:r>
        <w:t xml:space="preserve"> </w:t>
      </w:r>
      <w:r>
        <w:t xml:space="preserve">HLR, LLR, VC, NFR, FD, DD, CSC, CSU, TR — for software requirements, design, and verification.</w:t>
      </w:r>
    </w:p>
    <w:p>
      <w:pPr>
        <w:numPr>
          <w:ilvl w:val="0"/>
          <w:numId w:val="1023"/>
        </w:numPr>
        <w:pStyle w:val="Compact"/>
      </w:pPr>
      <w:r>
        <w:rPr>
          <w:bCs/>
          <w:b/>
        </w:rPr>
        <w:t xml:space="preserve">Relations:</w:t>
      </w:r>
      <w:r>
        <w:t xml:space="preserve"> </w:t>
      </w:r>
      <w:r>
        <w:t xml:space="preserve">VERIFIES, TRACES_TO, REALIZES, BELONGS — for traceability between requirements, design, and tests.</w:t>
      </w:r>
    </w:p>
    <w:p>
      <w:pPr>
        <w:numPr>
          <w:ilvl w:val="0"/>
          <w:numId w:val="1023"/>
        </w:numPr>
        <w:pStyle w:val="Compact"/>
      </w:pPr>
      <w:r>
        <w:rPr>
          <w:bCs/>
          <w:b/>
        </w:rPr>
        <w:t xml:space="preserve">Specifications:</w:t>
      </w:r>
      <w:r>
        <w:t xml:space="preserve"> </w:t>
      </w:r>
      <w:r>
        <w:t xml:space="preserve">SRS, SDD, SVC, TRR, SUM — for software documentation lifecycle.</w:t>
      </w:r>
    </w:p>
    <w:p>
      <w:pPr>
        <w:numPr>
          <w:ilvl w:val="0"/>
          <w:numId w:val="1023"/>
        </w:numPr>
        <w:pStyle w:val="Compact"/>
      </w:pPr>
      <w:r>
        <w:rPr>
          <w:bCs/>
          <w:b/>
        </w:rPr>
        <w:t xml:space="preserve">Views:</w:t>
      </w:r>
      <w:r>
        <w:t xml:space="preserve"> </w:t>
      </w:r>
      <w:r>
        <w:t xml:space="preserve">TRACEABILITY_MATRIX, REQUIREMENTS_SUMMARY, COVERAGE_SUMMARY — for analysis and reporting.</w:t>
      </w:r>
    </w:p>
    <w:p>
      <w:pPr>
        <w:numPr>
          <w:ilvl w:val="0"/>
          <w:numId w:val="1023"/>
        </w:numPr>
        <w:pStyle w:val="Compact"/>
      </w:pPr>
      <w:r>
        <w:rPr>
          <w:bCs/>
          <w:b/>
        </w:rPr>
        <w:t xml:space="preserve">Verification views:</w:t>
      </w:r>
      <w:r>
        <w:t xml:space="preserve"> </w:t>
      </w:r>
      <w:r>
        <w:t xml:space="preserve">Missing traceability coverage, invalid attribute values, duplicate PIDs.</w:t>
      </w:r>
    </w:p>
    <w:bookmarkEnd w:id="84"/>
    <w:bookmarkEnd w:id="85"/>
    <w:bookmarkStart w:id="89" w:name="datatypes-1"/>
    <w:p>
      <w:pPr>
        <w:pStyle w:val="Heading1"/>
        <w:numPr>
          <w:ilvl w:val="0"/>
          <w:numId w:val="100"/>
        </w:numPr>
      </w:pPr>
      <w:r>
        <w:t xml:space="preserve">Datatypes</w:t>
      </w:r>
    </w:p>
    <w:bookmarkStart w:id="86" w:name="primitive-datatypes"/>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lineRule="exact" w:line="20" w:before="0" w:after="0"/>
        <w:rPr>
          <w:sz w:val="2"/>
        </w:rPr>
      </w:pPr>
      <w:bookmarkStart w:name="csv-primitive-datatypes" w:id="46083"/>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jc w:val="star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CellMar>
          <w:top w:type="dxa" w:w="57"/>
          <w:left w:type="dxa" w:w="108"/>
          <w:bottom w:type="dxa" w:w="57"/>
          <w:right w:type="dxa" w:w="108"/>
        </w:tblCellMar>
      </w:tblPr>
      <w:tblGrid>
        <w:gridCol w:w="2640"/>
        <w:gridCol w:w="2640"/>
        <w:gridCol w:w="2640"/>
      </w:tblGrid>
      <w:tr>
        <w:trPr>
          <w:tblHeader w:val="true"/>
        </w:trPr>
        <w:tc>
          <w:tcPr>
            <w:shd w:color="auto" w:fill="E8E8E8" w:val="clear"/>
          </w:tcPr>
          <w:p>
            <w:pPr>
              <w:pStyle w:val="Compact"/>
              <w:jc w:val="left"/>
              <w:ind w:right="0" w:left="0" w:firstLine="0"/>
              <w:spacing w:lineRule="auto" w:after="40" w:before="40" w:line="240"/>
            </w:pPr>
            <w:r>
              <w:rPr>
                <w:b/>
              </w:rPr>
              <w:t xml:space="preserve">Datatype</w:t>
            </w:r>
          </w:p>
        </w:tc>
        <w:tc>
          <w:tcPr>
            <w:shd w:color="auto" w:fill="E8E8E8" w:val="clear"/>
          </w:tcPr>
          <w:p>
            <w:pPr>
              <w:pStyle w:val="Compact"/>
              <w:jc w:val="left"/>
              <w:ind w:right="0" w:left="0" w:firstLine="0"/>
              <w:spacing w:lineRule="auto" w:after="40" w:before="40" w:line="240"/>
            </w:pPr>
            <w:r>
              <w:rPr>
                <w:b/>
              </w:rPr>
              <w:t xml:space="preserve">Syntax</w:t>
            </w:r>
          </w:p>
        </w:tc>
        <w:tc>
          <w:tcPr>
            <w:shd w:color="auto" w:fill="E8E8E8" w:val="clear"/>
          </w:tcPr>
          <w:p>
            <w:pPr>
              <w:pStyle w:val="Compact"/>
              <w:jc w:val="left"/>
              <w:ind w:right="0" w:left="0" w:firstLine="0"/>
              <w:spacing w:lineRule="auto" w:after="40" w:before="40" w:line="240"/>
            </w:pPr>
            <w:r>
              <w:rPr>
                <w:b/>
              </w:rPr>
              <w:t xml:space="preserve">Description</w:t>
            </w:r>
          </w:p>
        </w:tc>
      </w:tr>
      <w:tr>
        <w:tc>
          <w:tcPr/>
          <w:p>
            <w:pPr>
              <w:pStyle w:val="Compact"/>
              <w:jc w:val="left"/>
              <w:ind w:right="0" w:left="0" w:firstLine="0"/>
              <w:spacing w:lineRule="auto" w:after="40" w:before="40" w:line="240"/>
            </w:pPr>
            <w:r>
              <w:t xml:space="preserve">STRING</w:t>
            </w:r>
          </w:p>
        </w:tc>
        <w:tc>
          <w:tcPr/>
          <w:p>
            <w:pPr>
              <w:pStyle w:val="Compact"/>
              <w:jc w:val="left"/>
              <w:ind w:right="0" w:left="0" w:firstLine="0"/>
              <w:spacing w:lineRule="auto" w:after="40" w:before="40" w:line="240"/>
            </w:pPr>
            <w:r>
              <w:t xml:space="preserve">Plain text</w:t>
            </w:r>
          </w:p>
        </w:tc>
        <w:tc>
          <w:tcPr/>
          <w:p>
            <w:pPr>
              <w:pStyle w:val="Compact"/>
              <w:jc w:val="left"/>
              <w:ind w:right="0" w:left="0" w:firstLine="0"/>
              <w:spacing w:lineRule="auto" w:after="40" w:before="40" w:line="240"/>
            </w:pPr>
            <w:r>
              <w:t xml:space="preserve">Unformatted text value</w:t>
            </w:r>
          </w:p>
        </w:tc>
      </w:tr>
      <w:tr>
        <w:tc>
          <w:tcPr/>
          <w:p>
            <w:pPr>
              <w:pStyle w:val="Compact"/>
              <w:jc w:val="left"/>
              <w:ind w:right="0" w:left="0" w:firstLine="0"/>
              <w:spacing w:lineRule="auto" w:after="40" w:before="40" w:line="240"/>
            </w:pPr>
            <w:r>
              <w:t xml:space="preserve">INTEGER</w:t>
            </w:r>
          </w:p>
        </w:tc>
        <w:tc>
          <w:tcPr/>
          <w:p>
            <w:pPr>
              <w:pStyle w:val="Compact"/>
              <w:jc w:val="left"/>
              <w:ind w:right="0" w:left="0" w:firstLine="0"/>
              <w:spacing w:lineRule="auto" w:after="40" w:before="40" w:line="240"/>
            </w:pPr>
            <w:r>
              <w:t xml:space="preserve">Whole number</w:t>
            </w:r>
          </w:p>
        </w:tc>
        <w:tc>
          <w:tcPr/>
          <w:p>
            <w:pPr>
              <w:pStyle w:val="Compact"/>
              <w:jc w:val="left"/>
              <w:ind w:right="0" w:left="0" w:firstLine="0"/>
              <w:spacing w:lineRule="auto" w:after="40" w:before="40" w:line="240"/>
            </w:pPr>
            <w:r>
              <w:t xml:space="preserve">Numeric value (supports min/max bounds)</w:t>
            </w:r>
          </w:p>
        </w:tc>
      </w:tr>
      <w:tr>
        <w:tc>
          <w:tcPr/>
          <w:p>
            <w:pPr>
              <w:pStyle w:val="Compact"/>
              <w:jc w:val="left"/>
              <w:ind w:right="0" w:left="0" w:firstLine="0"/>
              <w:spacing w:lineRule="auto" w:after="40" w:before="40" w:line="240"/>
            </w:pPr>
            <w:r>
              <w:t xml:space="preserve">REAL</w:t>
            </w:r>
          </w:p>
        </w:tc>
        <w:tc>
          <w:tcPr/>
          <w:p>
            <w:pPr>
              <w:pStyle w:val="Compact"/>
              <w:jc w:val="left"/>
              <w:ind w:right="0" w:left="0" w:firstLine="0"/>
              <w:spacing w:lineRule="auto" w:after="40" w:before="40" w:line="240"/>
            </w:pPr>
            <w:r>
              <w:t xml:space="preserve">Decimal number</w:t>
            </w:r>
          </w:p>
        </w:tc>
        <w:tc>
          <w:tcPr/>
          <w:p>
            <w:pPr>
              <w:pStyle w:val="Compact"/>
              <w:jc w:val="left"/>
              <w:ind w:right="0" w:left="0" w:firstLine="0"/>
              <w:spacing w:lineRule="auto" w:after="40" w:before="40" w:line="240"/>
            </w:pPr>
            <w:r>
              <w:t xml:space="preserve">Floating-point value (supports min/max bounds)</w:t>
            </w:r>
          </w:p>
        </w:tc>
      </w:tr>
      <w:tr>
        <w:tc>
          <w:tcPr/>
          <w:p>
            <w:pPr>
              <w:pStyle w:val="Compact"/>
              <w:jc w:val="left"/>
              <w:ind w:right="0" w:left="0" w:firstLine="0"/>
              <w:spacing w:lineRule="auto" w:after="40" w:before="40" w:line="240"/>
            </w:pPr>
            <w:r>
              <w:t xml:space="preserve">BOOLEAN</w:t>
            </w:r>
          </w:p>
        </w:tc>
        <w:tc>
          <w:tcPr/>
          <w:p>
            <w:pPr>
              <w:pStyle w:val="Compact"/>
              <w:jc w:val="left"/>
              <w:ind w:right="0" w:left="0" w:firstLine="0"/>
              <w:spacing w:lineRule="auto" w:after="40" w:before="40" w:line="240"/>
            </w:pPr>
            <w:r>
              <w:t xml:space="preserve">true / false</w:t>
            </w:r>
          </w:p>
        </w:tc>
        <w:tc>
          <w:tcPr/>
          <w:p>
            <w:pPr>
              <w:pStyle w:val="Compact"/>
              <w:jc w:val="left"/>
              <w:ind w:right="0" w:left="0" w:firstLine="0"/>
              <w:spacing w:lineRule="auto" w:after="40" w:before="40" w:line="240"/>
            </w:pPr>
            <w:r>
              <w:t xml:space="preserve">Boolean flag</w:t>
            </w:r>
          </w:p>
        </w:tc>
      </w:tr>
      <w:tr>
        <w:tc>
          <w:tcPr/>
          <w:p>
            <w:pPr>
              <w:pStyle w:val="Compact"/>
              <w:jc w:val="left"/>
              <w:ind w:right="0" w:left="0" w:firstLine="0"/>
              <w:spacing w:lineRule="auto" w:after="40" w:before="40" w:line="240"/>
            </w:pPr>
            <w:r>
              <w:t xml:space="preserve">DATE</w:t>
            </w:r>
          </w:p>
        </w:tc>
        <w:tc>
          <w:tcPr/>
          <w:p>
            <w:pPr>
              <w:pStyle w:val="Compact"/>
              <w:jc w:val="left"/>
              <w:ind w:right="0" w:left="0" w:firstLine="0"/>
              <w:spacing w:lineRule="auto" w:after="40" w:before="40" w:line="240"/>
            </w:pPr>
            <w:r>
              <w:t xml:space="preserve">YYYY-MM-DD</w:t>
            </w:r>
          </w:p>
        </w:tc>
        <w:tc>
          <w:tcPr/>
          <w:p>
            <w:pPr>
              <w:pStyle w:val="Compact"/>
              <w:jc w:val="left"/>
              <w:ind w:right="0" w:left="0" w:firstLine="0"/>
              <w:spacing w:lineRule="auto" w:after="40" w:before="40" w:line="240"/>
            </w:pPr>
            <w:r>
              <w:t xml:space="preserve">ISO 8601 date</w:t>
            </w:r>
          </w:p>
        </w:tc>
      </w:tr>
      <w:tr>
        <w:tc>
          <w:tcPr/>
          <w:p>
            <w:pPr>
              <w:pStyle w:val="Compact"/>
              <w:jc w:val="left"/>
              <w:ind w:right="0" w:left="0" w:firstLine="0"/>
              <w:spacing w:lineRule="auto" w:after="40" w:before="40" w:line="240"/>
            </w:pPr>
            <w:r>
              <w:t xml:space="preserve">ENUM</w:t>
            </w:r>
          </w:p>
        </w:tc>
        <w:tc>
          <w:tcPr/>
          <w:p>
            <w:pPr>
              <w:pStyle w:val="Compact"/>
              <w:jc w:val="left"/>
              <w:ind w:right="0" w:left="0" w:firstLine="0"/>
              <w:spacing w:lineRule="auto" w:after="40" w:before="40" w:line="240"/>
            </w:pPr>
            <w:r>
              <w:t xml:space="preserve">Named value</w:t>
            </w:r>
          </w:p>
        </w:tc>
        <w:tc>
          <w:tcPr/>
          <w:p>
            <w:pPr>
              <w:pStyle w:val="Compact"/>
              <w:jc w:val="left"/>
              <w:ind w:right="0" w:left="0" w:firstLine="0"/>
              <w:spacing w:lineRule="auto" w:after="40" w:before="40" w:line="240"/>
            </w:pPr>
            <w:r>
              <w:t xml:space="preserve">One of a model-declared set of values</w:t>
            </w:r>
          </w:p>
        </w:tc>
      </w:tr>
      <w:tr>
        <w:tc>
          <w:tcPr/>
          <w:p>
            <w:pPr>
              <w:pStyle w:val="Compact"/>
              <w:jc w:val="left"/>
              <w:ind w:right="0" w:left="0" w:firstLine="0"/>
              <w:spacing w:lineRule="auto" w:after="40" w:before="40" w:line="240"/>
            </w:pPr>
            <w:r>
              <w:t xml:space="preserve">XHTML</w:t>
            </w:r>
          </w:p>
        </w:tc>
        <w:tc>
          <w:tcPr/>
          <w:p>
            <w:pPr>
              <w:pStyle w:val="Compact"/>
              <w:jc w:val="left"/>
              <w:ind w:right="0" w:left="0" w:firstLine="0"/>
              <w:spacing w:lineRule="auto" w:after="40" w:before="40" w:line="240"/>
            </w:pPr>
            <w:r>
              <w:t xml:space="preserve">Markdown text</w:t>
            </w:r>
          </w:p>
        </w:tc>
        <w:tc>
          <w:tcPr/>
          <w:p>
            <w:pPr>
              <w:pStyle w:val="Compact"/>
              <w:jc w:val="left"/>
              <w:ind w:right="0" w:left="0" w:firstLine="0"/>
              <w:spacing w:lineRule="auto" w:after="40" w:before="40" w:line="240"/>
            </w:pPr>
            <w:r>
              <w:t xml:space="preserve">Rich text preserving block and inline formatting</w:t>
            </w:r>
          </w:p>
        </w:tc>
      </w:tr>
    </w:tbl>
    <w:bookmarkEnd w:id="86"/>
    <w:bookmarkStart w:id="87" w:name="enum-definitions"/>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87"/>
    <w:bookmarkStart w:id="88" w:name="attribute-type-declarations"/>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numPr>
          <w:ilvl w:val="0"/>
          <w:numId w:val="1024"/>
        </w:numPr>
        <w:pStyle w:val="Compact"/>
      </w:pPr>
      <w:r>
        <w:rPr>
          <w:bCs/>
          <w:b/>
        </w:rPr>
        <w:t xml:space="preserve">name</w:t>
      </w:r>
      <w:r>
        <w:t xml:space="preserve"> </w:t>
      </w:r>
      <w:r>
        <w:t xml:space="preserve">— the attribute key as written in CommonSpec (e.g.,</w:t>
      </w:r>
      <w:r>
        <w:t xml:space="preserve"> </w:t>
      </w:r>
      <w:r>
        <w:t xml:space="preserve">“</w:t>
      </w:r>
      <w:r>
        <w:t xml:space="preserve">status</w:t>
      </w:r>
      <w:r>
        <w:t xml:space="preserve">”</w:t>
      </w:r>
      <w:r>
        <w:t xml:space="preserve">,</w:t>
      </w:r>
      <w:r>
        <w:t xml:space="preserve"> </w:t>
      </w:r>
      <w:r>
        <w:t xml:space="preserve">“</w:t>
      </w:r>
      <w:r>
        <w:t xml:space="preserve">rationale</w:t>
      </w:r>
      <w:r>
        <w:t xml:space="preserve">”</w:t>
      </w:r>
      <w:r>
        <w:t xml:space="preserve">).</w:t>
      </w:r>
    </w:p>
    <w:p>
      <w:pPr>
        <w:numPr>
          <w:ilvl w:val="0"/>
          <w:numId w:val="1024"/>
        </w:numPr>
        <w:pStyle w:val="Compact"/>
      </w:pPr>
      <w:r>
        <w:rPr>
          <w:bCs/>
          <w:b/>
        </w:rPr>
        <w:t xml:space="preserve">type</w:t>
      </w:r>
      <w:r>
        <w:t xml:space="preserve"> </w:t>
      </w:r>
      <w:r>
        <w:t xml:space="preserve">— one of the seven primitive datatypes.</w:t>
      </w:r>
    </w:p>
    <w:p>
      <w:pPr>
        <w:numPr>
          <w:ilvl w:val="0"/>
          <w:numId w:val="1024"/>
        </w:numPr>
        <w:pStyle w:val="Compact"/>
      </w:pPr>
      <w:r>
        <w:rPr>
          <w:bCs/>
          <w:b/>
        </w:rPr>
        <w:t xml:space="preserve">min_occurs</w:t>
      </w:r>
      <w:r>
        <w:t xml:space="preserve"> </w:t>
      </w:r>
      <w:r>
        <w:t xml:space="preserve">— 0 for optional, 1+ for required.</w:t>
      </w:r>
    </w:p>
    <w:p>
      <w:pPr>
        <w:numPr>
          <w:ilvl w:val="0"/>
          <w:numId w:val="1024"/>
        </w:numPr>
        <w:pStyle w:val="Compact"/>
      </w:pPr>
      <w:r>
        <w:rPr>
          <w:bCs/>
          <w:b/>
        </w:rPr>
        <w:t xml:space="preserve">max_occurs</w:t>
      </w:r>
      <w:r>
        <w:t xml:space="preserve"> </w:t>
      </w:r>
      <w:r>
        <w:t xml:space="preserve">— 1 for single-value, &gt;1 for multi-value.</w:t>
      </w:r>
    </w:p>
    <w:p>
      <w:pPr>
        <w:numPr>
          <w:ilvl w:val="0"/>
          <w:numId w:val="1024"/>
        </w:numPr>
        <w:pStyle w:val="Compact"/>
      </w:pPr>
      <w:r>
        <w:rPr>
          <w:bCs/>
          <w:b/>
        </w:rPr>
        <w:t xml:space="preserve">min_value / max_value</w:t>
      </w:r>
      <w:r>
        <w:t xml:space="preserve"> </w:t>
      </w:r>
      <w:r>
        <w:t xml:space="preserve">— bounds for INTEGER and REAL attributes.</w:t>
      </w:r>
    </w:p>
    <w:bookmarkEnd w:id="88"/>
    <w:bookmarkEnd w:id="89"/>
    <w:bookmarkStart w:id="90" w:name="summary"/>
    <w:p>
      <w:pPr>
        <w:pStyle w:val="Heading1"/>
        <w:numPr>
          <w:ilvl w:val="0"/>
          <w:numId w:val="100"/>
        </w:numPr>
      </w:pPr>
      <w:r>
        <w:t xml:space="preserve">Summary</w:t>
      </w:r>
    </w:p>
    <w:p>
      <w:pPr>
        <w:pStyle w:val="FirstParagraph"/>
      </w:pPr>
      <w:r>
        <w:t xml:space="preserve">CommonSpec is a six-construct extension of Markdown:</w:t>
      </w:r>
    </w:p>
    <w:p>
      <w:pPr>
        <w:numPr>
          <w:ilvl w:val="0"/>
          <w:numId w:val="1025"/>
        </w:numPr>
        <w:pStyle w:val="Compact"/>
      </w:pPr>
      <w:r>
        <w:rPr>
          <w:bCs/>
          <w:b/>
        </w:rPr>
        <w:t xml:space="preserve">Specification</w:t>
      </w:r>
      <w:r>
        <w:t xml:space="preserve"> </w:t>
      </w:r>
      <w:r>
        <w:t xml:space="preserve">(</w:t>
      </w:r>
      <w:r>
        <w:rPr>
          <w:rStyle w:val="VerbatimChar"/>
        </w:rPr>
        <w:t xml:space="preserve">#</w:t>
      </w:r>
      <w:r>
        <w:t xml:space="preserve"> </w:t>
      </w:r>
      <w:r>
        <w:t xml:space="preserve">header) — root document container.</w:t>
      </w:r>
    </w:p>
    <w:p>
      <w:pPr>
        <w:numPr>
          <w:ilvl w:val="0"/>
          <w:numId w:val="1025"/>
        </w:numPr>
        <w:pStyle w:val="Compact"/>
      </w:pPr>
      <w:r>
        <w:rPr>
          <w:bCs/>
          <w:b/>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numPr>
          <w:ilvl w:val="0"/>
          <w:numId w:val="1025"/>
        </w:numPr>
        <w:pStyle w:val="Compact"/>
      </w:pPr>
      <w:r>
        <w:rPr>
          <w:bCs/>
          <w:b/>
        </w:rPr>
        <w:t xml:space="preserve">Spec Float</w:t>
      </w:r>
      <w:r>
        <w:t xml:space="preserve"> </w:t>
      </w:r>
      <w:r>
        <w:t xml:space="preserve">(fenced code blocks with</w:t>
      </w:r>
      <w:r>
        <w:t xml:space="preserve"> </w:t>
      </w:r>
      <w:r>
        <w:rPr>
          <w:rStyle w:val="VerbatimChar"/>
        </w:rPr>
        <w:t xml:space="preserve">type:label</w:t>
      </w:r>
      <w:r>
        <w:t xml:space="preserve">) — numbered floats.</w:t>
      </w:r>
    </w:p>
    <w:p>
      <w:pPr>
        <w:numPr>
          <w:ilvl w:val="0"/>
          <w:numId w:val="1025"/>
        </w:numPr>
        <w:pStyle w:val="Compact"/>
      </w:pPr>
      <w:r>
        <w:rPr>
          <w:bCs/>
          <w:b/>
        </w:rPr>
        <w:t xml:space="preserve">Attribute</w:t>
      </w:r>
      <w:r>
        <w:t xml:space="preserve"> </w:t>
      </w:r>
      <w:r>
        <w:t xml:space="preserve">(blockquotes with</w:t>
      </w:r>
      <w:r>
        <w:t xml:space="preserve"> </w:t>
      </w:r>
      <w:r>
        <w:rPr>
          <w:rStyle w:val="VerbatimChar"/>
        </w:rPr>
        <w:t xml:space="preserve">&gt; key: value</w:t>
      </w:r>
      <w:r>
        <w:t xml:space="preserve">) — typed metadata.</w:t>
      </w:r>
    </w:p>
    <w:p>
      <w:pPr>
        <w:numPr>
          <w:ilvl w:val="0"/>
          <w:numId w:val="1025"/>
        </w:numPr>
        <w:pStyle w:val="Compact"/>
      </w:pPr>
      <w:r>
        <w:rPr>
          <w:bCs/>
          <w:b/>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numPr>
          <w:ilvl w:val="0"/>
          <w:numId w:val="1025"/>
        </w:numPr>
        <w:pStyle w:val="Compact"/>
      </w:pPr>
      <w:r>
        <w:rPr>
          <w:bCs/>
          <w:b/>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90"/>
    <w:sectPr>
      <w:footerReference r:id="rId9200" w:type="default"/>
      <w:headerReference r:id="rId9101" w:type="default"/>
      <w:headerReference r:id="rId9100" w:type="first"/>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type="pct" w:w="5000"/>
      <w:tblBorders>
        <w:top w:color="CCCCCC" w:space="1" w:sz="4" w:val="single"/>
        <w:bottom w:color="auto" w:space="0" w:sz="0" w:val="none"/>
        <w:left w:color="auto" w:space="0" w:sz="0" w:val="none"/>
        <w:right w:color="auto" w:space="0" w:sz="0" w:val="none"/>
        <w:insideH w:color="auto" w:space="0" w:sz="0" w:val="none"/>
        <w:insideV w:color="auto" w:space="0" w:sz="0" w:val="none"/>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type="paragraph" w:customStyle="1">
    <w:name w:val="Spec Object Header"/>
    <w:basedOn w:val="Normal"/>
    <w:next w:val="FirstParagraph"/>
    <w:qFormat/>
    <w:pPr>
      <w:keepNext/>
      <w:spacing w:lineRule="auto" w:after="120" w:before="280" w:line="276"/>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34" Target="media/rId34.png"/><Relationship Type="http://schemas.openxmlformats.org/officeDocument/2006/relationships/image" Id="rId71" Target="media/rId71.png"/><Relationship Type="http://schemas.openxmlformats.org/officeDocument/2006/relationships/image" Id="rId27" Target="media/rId27.png"/><Relationship Type="http://schemas.openxmlformats.org/officeDocument/2006/relationships/image" Id="rId52" Target="media/rId52.png"/><Relationship Type="http://schemas.openxmlformats.org/officeDocument/2006/relationships/image" Id="rId44" Target="media/rId44.png"/><Relationship Type="http://schemas.openxmlformats.org/officeDocument/2006/relationships/image" Id="rId62" Target="media/rId62.png"/><Relationship Id="rId9100" Type="http://schemas.openxmlformats.org/officeDocument/2006/relationships/header" Target="header1.xml"/><Relationship Id="rId9101" Type="http://schemas.openxmlformats.org/officeDocument/2006/relationships/header" Target="header2.xml"/><Relationship Id="rId9200"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2026-08-03T01:34:17Z</dcterms:created>
  <dcterms:modified xsi:type="dcterms:W3CDTF">2026-08-03T01:34:17Z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