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5"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 mistyped prerequisite silently never applied under the old behavior, so a missing cross-phase ordering constraint could corrupt output with no signal. Surfacing only the truly-unresolvable case avoids false positives on legitimate cross-phase prerequisites. (Verified by the pipeline suite’s prereq-not-found test.)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When the INITIALIZE phase delimits each header’s section, the scope (the</w:t>
      </w:r>
      <w:r>
        <w:t xml:space="preserve"> </w:t>
      </w:r>
      <w:r>
        <w:rPr>
          <w:rStyle w:val="VerbatimChar"/>
        </w:rPr>
        <w:t xml:space="preserve">end_line</w:t>
      </w:r>
      <w:r>
        <w:t xml:space="preserve"> </w:t>
      </w:r>
      <w:r>
        <w:t xml:space="preserve">that governs which trailing content and floats the object contains) ends at the first</w:t>
      </w:r>
      <w:r>
        <w:t xml:space="preserve"> </w:t>
      </w:r>
      <w:r>
        <w:rPr>
          <w:rStyle w:val="VerbatimChar"/>
        </w:rPr>
        <w:t xml:space="preserve">----</w:t>
      </w:r>
      <w:r>
        <w:t xml:space="preserve"> </w:t>
      </w:r>
      <w:r>
        <w:t xml:space="preserve">thematic break inside the section, if present, rather than only at the next header. The thematic break is consumed — it is removed from the rendered body and produces no horizontal rule. Content between the marker and the next header keeps its document position but is contained by the parent section. This gives authors an explicit way to close a section without introducing a heading, replacing the anti-pattern of an empty</w:t>
      </w:r>
      <w:r>
        <w:t xml:space="preserve"> </w:t>
      </w:r>
      <w:r>
        <w:rPr>
          <w:rStyle w:val="VerbatimChar"/>
        </w:rPr>
        <w:t xml:space="preserve">##</w:t>
      </w:r>
      <w:r>
        <w:t xml:space="preserve"> </w:t>
      </w:r>
      <w:r>
        <w:t xml:space="preserve">used as a</w:t>
      </w:r>
      <w:r>
        <w:t xml:space="preserve"> </w:t>
      </w:r>
      <w:r>
        <w:t xml:space="preserve">“</w:t>
      </w:r>
      <w:r>
        <w:t xml:space="preserve">section reset</w:t>
      </w:r>
      <w:r>
        <w:t xml:space="preserve">”</w:t>
      </w:r>
      <w:r>
        <w:t xml:space="preserve">.</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Section scope previously closed only at the next header, so authors who wanted trailing content to belong to a parent section resorted to an empty heading, which renders as a blank numbered chapter and shifts all subsequent numbering. A consumed thematic break expresses the intent precisely with no rendering artifact, and rejecting empty headings removes the failure mode entirely.</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8"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Model-based extensibility for type</w:t>
      </w:r>
      <w:r>
        <w:t xml:space="preserve"> </w:t>
      </w:r>
      <w:hyperlink w:anchor="TERM-16">
        <w:r>
          <w:rPr>
            <w:rStyle w:val="Hyperlink"/>
          </w:rPr>
          <w:t xml:space="preserve">&lt;Handler&gt;</w:t>
        </w:r>
      </w:hyperlink>
      <w:r>
        <w:t xml:space="preserve">, renderers, and</w:t>
      </w:r>
      <w:r>
        <w:t xml:space="preserve"> </w:t>
      </w:r>
      <w:hyperlink w:anchor="TERM-35">
        <w:r>
          <w:rPr>
            <w:rStyle w:val="Hyperlink"/>
          </w:rPr>
          <w:t xml:space="preserve">&lt;Data View&gt;</w:t>
        </w:r>
      </w:hyperlink>
      <w:r>
        <w:t xml:space="preserve">.</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&lt;External Renderer&gt;</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Cs/>
          <w:b/>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27" w:name="SRS-001-sec2.4.1"/>
    <w:p>
      <w:pPr>
        <w:pStyle w:val="Heading3"/>
      </w:pPr>
      <w:r>
        <w:t xml:space="preserve">Host Engine + Descriptor Plugins (Refactor Deltas)</w:t>
      </w:r>
    </w:p>
    <w:p>
      <w:pPr>
        <w:pStyle w:val="FirstParagraph"/>
      </w:pPr>
      <w:r>
        <w:t xml:space="preserve">The extension framework was unified onto</w:t>
      </w:r>
      <w:r>
        <w:t xml:space="preserve"> </w:t>
      </w:r>
      <w:r>
        <w:rPr>
          <w:bCs/>
          <w:b/>
        </w:rPr>
        <w:t xml:space="preserve">one declarative contract</w:t>
      </w:r>
      <w:r>
        <w:t xml:space="preserve">: a model-agnostic</w:t>
      </w:r>
      <w:r>
        <w:t xml:space="preserve"> </w:t>
      </w:r>
      <w:r>
        <w:rPr>
          <w:bCs/>
          <w:b/>
        </w:rPr>
        <w:t xml:space="preserve">Host Engine</w:t>
      </w:r>
      <w:r>
        <w:t xml:space="preserve"> </w:t>
      </w:r>
      <w:r>
        <w:t xml:space="preserve">(</w:t>
      </w:r>
      <w:r>
        <w:rPr>
          <w:rStyle w:val="VerbatimChar"/>
        </w:rPr>
        <w:t xml:space="preserve">src/contract/registry.lua</w:t>
      </w:r>
      <w:r>
        <w:t xml:space="preserve">) that loads</w:t>
      </w:r>
      <w:r>
        <w:t xml:space="preserve"> </w:t>
      </w:r>
      <w:r>
        <w:rPr>
          <w:bCs/>
          <w:b/>
        </w:rPr>
        <w:t xml:space="preserve">Descriptor Plugins</w:t>
      </w:r>
      <w:r>
        <w:t xml:space="preserve">. The four</w:t>
      </w:r>
      <w:r>
        <w:t xml:space="preserve"> </w:t>
      </w:r>
      <w:r>
        <w:t xml:space="preserve">former registration mechanisms (type loader if/elseif dispatch, the external-renderer</w:t>
      </w:r>
      <w:r>
        <w:t xml:space="preserve"> </w:t>
      </w:r>
      <w:r>
        <w:t xml:space="preserve">require-time registry, the verification-view loader, the data-view loader) and the four</w:t>
      </w:r>
      <w:r>
        <w:t xml:space="preserve"> </w:t>
      </w:r>
      <w:r>
        <w:rPr>
          <w:rStyle w:val="VerbatimChar"/>
        </w:rPr>
        <w:t xml:space="preserve">{model}:{type_ref}</w:t>
      </w:r>
      <w:r>
        <w:t xml:space="preserve"> </w:t>
      </w:r>
      <w:r>
        <w:t xml:space="preserve">handler caches are collapsed into one host with a single eager</w:t>
      </w:r>
      <w:r>
        <w:t xml:space="preserve"> </w:t>
      </w:r>
      <w:r>
        <w:rPr>
          <w:rStyle w:val="VerbatimChar"/>
        </w:rPr>
        <w:t xml:space="preserve">(kind, id) -&gt; hook</w:t>
      </w:r>
      <w:r>
        <w:t xml:space="preserve"> </w:t>
      </w:r>
      <w:r>
        <w:t xml:space="preserve">index.</w:t>
      </w:r>
    </w:p>
    <w:p>
      <w:pPr>
        <w:pStyle w:val="BodyText"/>
      </w:pPr>
      <w:r>
        <w:rPr>
          <w:bCs/>
          <w:b/>
        </w:rPr>
        <w:t xml:space="preserve">The descriptor is the contract.</w:t>
      </w:r>
      <w:r>
        <w:t xml:space="preserve"> </w:t>
      </w:r>
      <w:r>
        <w:t xml:space="preserve">Every extension point is one module that declares:</w:t>
      </w:r>
    </w:p>
    <w:p>
      <w:pPr>
        <w:pStyle w:val="SourceCode"/>
      </w:pP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"object|float|view|relation|specification|verification|dataview"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kind-specific: inline_prefix/aliases (view);</w:t>
      </w:r>
      <w:r>
        <w:br/>
      </w:r>
      <w:r>
        <w:rPr>
          <w:rStyle w:val="NormalTok"/>
        </w:rPr>
        <w:t xml:space="preserve">             </w:t>
      </w:r>
      <w:r>
        <w:rPr>
          <w:rStyle w:val="CommentTok"/>
        </w:rPr>
        <w:t xml:space="preserve">--   caption_format/needs_external_render (float); link_selector/source_type_ref/</w:t>
      </w:r>
      <w:r>
        <w:br/>
      </w:r>
      <w:r>
        <w:rPr>
          <w:rStyle w:val="NormalTok"/>
        </w:rPr>
        <w:t xml:space="preserve">             </w:t>
      </w:r>
      <w:r>
        <w:rPr>
          <w:rStyle w:val="CommentTok"/>
        </w:rPr>
        <w:t xml:space="preserve">--   target_type_ref (relation); view/policy_key/sql/disabled (verification) },</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VariableTok"/>
        </w:rPr>
        <w:t xml:space="preserve">render_link</w:t>
      </w:r>
      <w:r>
        <w:rPr>
          <w:rStyle w:val="OperatorTok"/>
        </w:rPr>
        <w:t xml:space="preserve">=,</w:t>
      </w:r>
      <w:r>
        <w:rPr>
          <w:rStyle w:val="NormalTok"/>
        </w:rPr>
        <w:t xml:space="preserve"> </w:t>
      </w:r>
      <w:r>
        <w:rPr>
          <w:rStyle w:val="VariableTok"/>
        </w:rPr>
        <w:t xml:space="preserve">resolve</w:t>
      </w:r>
      <w:r>
        <w:rPr>
          <w:rStyle w:val="OperatorTok"/>
        </w:rPr>
        <w:t xml:space="preserve">=,</w:t>
      </w:r>
      <w:r>
        <w:rPr>
          <w:rStyle w:val="NormalTok"/>
        </w:rPr>
        <w:t xml:space="preserve"> </w:t>
      </w:r>
      <w:r>
        <w:rPr>
          <w:rStyle w:val="VariableTok"/>
        </w:rPr>
        <w:t xml:space="preserve">generate</w:t>
      </w:r>
      <w:r>
        <w:rPr>
          <w:rStyle w:val="OperatorTok"/>
        </w:rPr>
        <w:t xml:space="preserve">=,</w:t>
      </w:r>
      <w:r>
        <w:rPr>
          <w:rStyle w:val="NormalTok"/>
        </w:rPr>
        <w:t xml:space="preserve"> </w:t>
      </w:r>
      <w:r>
        <w:rPr>
          <w:rStyle w:val="VariableTok"/>
        </w:rPr>
        <w:t xml:space="preserve">prepare_task</w:t>
      </w:r>
      <w:r>
        <w:rPr>
          <w:rStyle w:val="OperatorTok"/>
        </w:rPr>
        <w:t xml:space="preserve">=,</w:t>
      </w:r>
      <w:r>
        <w:br/>
      </w:r>
      <w:r>
        <w:rPr>
          <w:rStyle w:val="NormalTok"/>
        </w:rPr>
        <w:t xml:space="preserve">             </w:t>
      </w:r>
      <w:r>
        <w:rPr>
          <w:rStyle w:val="VariableTok"/>
        </w:rPr>
        <w:t xml:space="preserve">handle_result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VariableTok"/>
        </w:rPr>
        <w:t xml:space="preserve">on_</w:t>
      </w:r>
      <w:r>
        <w:rPr>
          <w:rStyle w:val="OperatorTok"/>
        </w:rPr>
        <w:t xml:space="preserve">&lt;</w:t>
      </w:r>
      <w:r>
        <w:rPr>
          <w:rStyle w:val="VariableTok"/>
        </w:rPr>
        <w:t xml:space="preserve">phase</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absent hook =&gt; host default</w:t>
      </w:r>
      <w:r>
        <w:br/>
      </w:r>
      <w:r>
        <w:rPr>
          <w:rStyle w:val="OperatorTok"/>
        </w:rPr>
        <w:t xml:space="preserve">}</w:t>
      </w:r>
    </w:p>
    <w:p>
      <w:pPr>
        <w:pStyle w:val="FirstParagraph"/>
      </w:pPr>
      <w:r>
        <w:t xml:space="preserve">The host introspects only the declared</w:t>
      </w:r>
      <w:r>
        <w:t xml:space="preserve"> </w:t>
      </w:r>
      <w:r>
        <w:rPr>
          <w:rStyle w:val="VerbatimChar"/>
        </w:rPr>
        <w:t xml:space="preserve">hooks</w:t>
      </w:r>
      <w:r>
        <w:t xml:space="preserve">;</w:t>
      </w:r>
      <w:r>
        <w:t xml:space="preserve"> </w:t>
      </w:r>
      <w:r>
        <w:rPr>
          <w:bCs/>
          <w:b/>
        </w:rPr>
        <w:t xml:space="preserve">role is inferred from which hooks are</w:t>
      </w:r>
      <w:r>
        <w:rPr>
          <w:bCs/>
          <w:b/>
        </w:rPr>
        <w:t xml:space="preserve"> </w:t>
      </w:r>
      <w:r>
        <w:rPr>
          <w:bCs/>
          <w:b/>
        </w:rPr>
        <w:t xml:space="preserve">present</w:t>
      </w:r>
      <w:r>
        <w:t xml:space="preserve"> </w:t>
      </w:r>
      <w:r>
        <w:t xml:space="preserve">(a relation with</w:t>
      </w:r>
      <w:r>
        <w:t xml:space="preserve"> </w:t>
      </w:r>
      <w:r>
        <w:rPr>
          <w:rStyle w:val="VerbatimChar"/>
        </w:rPr>
        <w:t xml:space="preserve">resolve</w:t>
      </w:r>
      <w:r>
        <w:t xml:space="preserve"> </w:t>
      </w:r>
      <w:r>
        <w:t xml:space="preserve">is a resolver; a float with</w:t>
      </w:r>
      <w:r>
        <w:t xml:space="preserve"> </w:t>
      </w:r>
      <w:r>
        <w:rPr>
          <w:rStyle w:val="VerbatimChar"/>
        </w:rPr>
        <w:t xml:space="preserve">prepare_task</w:t>
      </w:r>
      <w:r>
        <w:t xml:space="preserve">/</w:t>
      </w:r>
      <w:r>
        <w:rPr>
          <w:rStyle w:val="VerbatimChar"/>
        </w:rPr>
        <w:t xml:space="preserve">handle_result</w:t>
      </w:r>
      <w:r>
        <w:t xml:space="preserve"> </w:t>
      </w:r>
      <w:r>
        <w:t xml:space="preserve">renders externally and may NOT also declare</w:t>
      </w:r>
      <w:r>
        <w:t xml:space="preserve"> </w:t>
      </w:r>
      <w:r>
        <w:rPr>
          <w:rStyle w:val="VerbatimChar"/>
        </w:rPr>
        <w:t xml:space="preserve">render</w:t>
      </w:r>
      <w:r>
        <w:t xml:space="preserve">). Type</w:t>
      </w:r>
      <w:r>
        <w:t xml:space="preserve"> </w:t>
      </w:r>
      <w:r>
        <w:rPr>
          <w:rStyle w:val="VerbatimChar"/>
        </w:rPr>
        <w:t xml:space="preserve">id</w:t>
      </w:r>
      <w:r>
        <w:t xml:space="preserve"> </w:t>
      </w:r>
      <w:r>
        <w:t xml:space="preserve">is read from</w:t>
      </w:r>
      <w:r>
        <w:t xml:space="preserve"> </w:t>
      </w:r>
      <w:r>
        <w:rPr>
          <w:rStyle w:val="VerbatimChar"/>
        </w:rPr>
        <w:t xml:space="preserve">schema.id</w:t>
      </w:r>
      <w:r>
        <w:t xml:space="preserve"> </w:t>
      </w:r>
      <w:r>
        <w:t xml:space="preserve">(the filename is discovery sugar, never the identity), and a missing</w:t>
      </w:r>
      <w:r>
        <w:t xml:space="preserve"> </w:t>
      </w:r>
      <w:r>
        <w:rPr>
          <w:rStyle w:val="VerbatimChar"/>
        </w:rPr>
        <w:t xml:space="preserve">schema.id</w:t>
      </w:r>
      <w:r>
        <w:t xml:space="preserve"> </w:t>
      </w:r>
      <w:r>
        <w:t xml:space="preserve">or an unknown kind is a LOUD register-time error. The host runs once per build:</w:t>
      </w:r>
      <w:r>
        <w:t xml:space="preserve"> </w:t>
      </w:r>
      <w:r>
        <w:rPr>
          <w:rStyle w:val="VerbatimChar"/>
        </w:rPr>
        <w:t xml:space="preserve">host:load_model(default)</w:t>
      </w:r>
      <w:r>
        <w:t xml:space="preserve"> </w:t>
      </w:r>
      <w:r>
        <w:t xml:space="preserve">then each overlay model (later-wins-by-id), then</w:t>
      </w:r>
      <w:r>
        <w:t xml:space="preserve"> </w:t>
      </w:r>
      <w:r>
        <w:rPr>
          <w:rStyle w:val="VerbatimChar"/>
        </w:rPr>
        <w:t xml:space="preserve">finalize()</w:t>
      </w:r>
      <w:r>
        <w:t xml:space="preserve"> </w:t>
      </w:r>
      <w:r>
        <w:t xml:space="preserve">(attribute inheritance + verification SQL views).</w:t>
      </w:r>
    </w:p>
    <w:p>
      <w:pPr>
        <w:pStyle w:val="BodyText"/>
      </w:pPr>
      <w:r>
        <w:rPr>
          <w:bCs/>
          <w:b/>
        </w:rPr>
        <w:t xml:space="preserve">Requirement deltas: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Status</w:t>
            </w:r>
          </w:p>
        </w:tc>
        <w:tc>
          <w:tcPr/>
          <w:p>
            <w:pPr>
              <w:pStyle w:val="Compact"/>
              <w:jc w:val="left"/>
            </w:pPr>
            <w:r>
              <w:t xml:space="preserve">Delta</w:t>
            </w:r>
          </w:p>
        </w:tc>
      </w:tr>
      <w:tr>
        <w:tc>
          <w:tcPr/>
          <w:p>
            <w:pPr>
              <w:pStyle w:val="Compact"/>
              <w:jc w:val="left"/>
            </w:pPr>
            <w:r>
              <w:t xml:space="preserve">HLR-EXT-001</w:t>
            </w:r>
          </w:p>
        </w:tc>
        <w:tc>
          <w:tcPr/>
          <w:p>
            <w:pPr>
              <w:pStyle w:val="Compact"/>
              <w:jc w:val="left"/>
            </w:pPr>
            <w:r>
              <w:t xml:space="preserve">Changed</w:t>
            </w:r>
          </w:p>
        </w:tc>
        <w:tc>
          <w:tcPr/>
          <w:p>
            <w:pPr>
              <w:pStyle w:val="Compact"/>
              <w:jc w:val="left"/>
            </w:pPr>
            <w:r>
              <w:t xml:space="preserve">Type</w:t>
            </w:r>
            <w:r>
              <w:t xml:space="preserve"> </w:t>
            </w:r>
            <w:r>
              <w:rPr>
                <w:rStyle w:val="VerbatimChar"/>
              </w:rPr>
              <w:t xml:space="preserve">id</w:t>
            </w:r>
            <w:r>
              <w:t xml:space="preserve"> </w:t>
            </w:r>
            <w:r>
              <w:t xml:space="preserve">comes from descriptor</w:t>
            </w:r>
            <w:r>
              <w:t xml:space="preserve"> </w:t>
            </w:r>
            <w:r>
              <w:rPr>
                <w:rStyle w:val="VerbatimChar"/>
              </w:rPr>
              <w:t xml:space="preserve">schema.id</w:t>
            </w:r>
            <w:r>
              <w:t xml:space="preserve">; the filename is irrelevant; categories are discovery sugar, not lowercased identity.</w:t>
            </w:r>
          </w:p>
        </w:tc>
      </w:tr>
      <w:tr>
        <w:tc>
          <w:tcPr/>
          <w:p>
            <w:pPr>
              <w:pStyle w:val="Compact"/>
              <w:jc w:val="left"/>
            </w:pPr>
            <w:r>
              <w:t xml:space="preserve">HLR-EXT-002</w:t>
            </w:r>
          </w:p>
        </w:tc>
        <w:tc>
          <w:tcPr/>
          <w:p>
            <w:pPr>
              <w:pStyle w:val="Compact"/>
              <w:jc w:val="left"/>
            </w:pPr>
            <w:r>
              <w:t xml:space="preserve">Kept</w:t>
            </w:r>
          </w:p>
        </w:tc>
        <w:tc>
          <w:tcPr/>
          <w:p>
            <w:pPr>
              <w:pStyle w:val="Compact"/>
              <w:jc w:val="left"/>
            </w:pPr>
            <w:r>
              <w:t xml:space="preserve">Frozen in-tree model layout (see also HLR-EXT-010</w:t>
            </w:r>
            <w:r>
              <w:t xml:space="preserve"> </w:t>
            </w:r>
            <w:r>
              <w:rPr>
                <w:rStyle w:val="VerbatimChar"/>
              </w:rPr>
              <w:t xml:space="preserve">model.yaml</w:t>
            </w:r>
            <w:r>
              <w:t xml:space="preserve">).</w:t>
            </w:r>
          </w:p>
        </w:tc>
      </w:tr>
      <w:tr>
        <w:tc>
          <w:tcPr/>
          <w:p>
            <w:pPr>
              <w:pStyle w:val="Compact"/>
              <w:jc w:val="left"/>
            </w:pPr>
            <w:r>
              <w:t xml:space="preserve">HLR-EXT-003</w:t>
            </w:r>
          </w:p>
        </w:tc>
        <w:tc>
          <w:tcPr/>
          <w:p>
            <w:pPr>
              <w:pStyle w:val="Compact"/>
              <w:jc w:val="left"/>
            </w:pPr>
            <w:r>
              <w:t xml:space="preserve">Changed</w:t>
            </w:r>
          </w:p>
        </w:tc>
        <w:tc>
          <w:tcPr/>
          <w:p>
            <w:pPr>
              <w:pStyle w:val="Compact"/>
              <w:jc w:val="left"/>
            </w:pPr>
            <w:r>
              <w:t xml:space="preserve">A plugin returns one descriptor</w:t>
            </w:r>
            <w:r>
              <w:t xml:space="preserve"> </w:t>
            </w:r>
            <w:r>
              <w:rPr>
                <w:rStyle w:val="VerbatimChar"/>
              </w:rPr>
              <w:t xml:space="preserve">{kind, schema, hooks}</w:t>
            </w:r>
            <w:r>
              <w:t xml:space="preserve">; the host introspects declared</w:t>
            </w:r>
            <w:r>
              <w:t xml:space="preserve"> </w:t>
            </w:r>
            <w:r>
              <w:rPr>
                <w:rStyle w:val="VerbatimChar"/>
              </w:rPr>
              <w:t xml:space="preserve">hooks</w:t>
            </w:r>
            <w:r>
              <w:t xml:space="preserve"> </w:t>
            </w:r>
            <w:r>
              <w:t xml:space="preserve">instead of five divergent</w:t>
            </w:r>
            <w:r>
              <w:t xml:space="preserve"> </w:t>
            </w:r>
            <w:r>
              <w:rPr>
                <w:rStyle w:val="VerbatimChar"/>
              </w:rPr>
              <w:t xml:space="preserve">M.handler</w:t>
            </w:r>
            <w:r>
              <w:t xml:space="preserve"> </w:t>
            </w:r>
            <w:r>
              <w:t xml:space="preserve">interfaces.</w:t>
            </w:r>
          </w:p>
        </w:tc>
      </w:tr>
      <w:tr>
        <w:tc>
          <w:tcPr/>
          <w:p>
            <w:pPr>
              <w:pStyle w:val="Compact"/>
              <w:jc w:val="left"/>
            </w:pPr>
            <w:r>
              <w:t xml:space="preserve">HLR-EXT-004</w:t>
            </w:r>
          </w:p>
        </w:tc>
        <w:tc>
          <w:tcPr/>
          <w:p>
            <w:pPr>
              <w:pStyle w:val="Compact"/>
              <w:jc w:val="left"/>
            </w:pPr>
            <w:r>
              <w:t xml:space="preserve">Changed</w:t>
            </w:r>
          </w:p>
        </w:tc>
        <w:tc>
          <w:tcPr/>
          <w:p>
            <w:pPr>
              <w:pStyle w:val="Compact"/>
              <w:jc w:val="left"/>
            </w:pPr>
            <w:r>
              <w:t xml:space="preserve">One declarative</w:t>
            </w:r>
            <w:r>
              <w:t xml:space="preserve"> </w:t>
            </w:r>
            <w:r>
              <w:rPr>
                <w:rStyle w:val="VerbatimChar"/>
              </w:rPr>
              <w:t xml:space="preserve">schema</w:t>
            </w:r>
            <w:r>
              <w:t xml:space="preserve"> </w:t>
            </w:r>
            <w:r>
              <w:t xml:space="preserve">per kind (the IR columns that kind needs); inheritance via</w:t>
            </w:r>
            <w:r>
              <w:t xml:space="preserve"> </w:t>
            </w:r>
            <w:r>
              <w:rPr>
                <w:rStyle w:val="VerbatimChar"/>
              </w:rPr>
              <w:t xml:space="preserve">extends</w:t>
            </w:r>
            <w:r>
              <w:t xml:space="preserve">.</w:t>
            </w:r>
          </w:p>
        </w:tc>
      </w:tr>
      <w:tr>
        <w:tc>
          <w:tcPr/>
          <w:p>
            <w:pPr>
              <w:pStyle w:val="Compact"/>
              <w:jc w:val="left"/>
            </w:pPr>
            <w:r>
              <w:t xml:space="preserve">HLR-EXT-005</w:t>
            </w:r>
          </w:p>
        </w:tc>
        <w:tc>
          <w:tcPr/>
          <w:p>
            <w:pPr>
              <w:pStyle w:val="Compact"/>
              <w:jc w:val="left"/>
            </w:pPr>
            <w:r>
              <w:rPr>
                <w:bCs/>
                <w:b/>
              </w:rPr>
              <w:t xml:space="preserve">Retired</w:t>
            </w:r>
          </w:p>
        </w:tc>
        <w:tc>
          <w:tcPr/>
          <w:p>
            <w:pPr>
              <w:pStyle w:val="Compact"/>
              <w:jc w:val="left"/>
            </w:pPr>
            <w:r>
              <w:t xml:space="preserve">The per-type model→default</w:t>
            </w:r>
            <w:r>
              <w:t xml:space="preserve"> </w:t>
            </w:r>
            <w:r>
              <w:rPr>
                <w:rStyle w:val="VerbatimChar"/>
              </w:rPr>
              <w:t xml:space="preserve">require</w:t>
            </w:r>
            <w:r>
              <w:t xml:space="preserve"> </w:t>
            </w:r>
            <w:r>
              <w:t xml:space="preserve">fallback is gone; the host overlay (default then template, later-wins-by-id) replaces it. A fully-absent requested model is a loud error.</w:t>
            </w:r>
          </w:p>
        </w:tc>
      </w:tr>
      <w:tr>
        <w:tc>
          <w:tcPr/>
          <w:p>
            <w:pPr>
              <w:pStyle w:val="Compact"/>
              <w:jc w:val="left"/>
            </w:pPr>
            <w:r>
              <w:t xml:space="preserve">HLR-EXT-006</w:t>
            </w:r>
          </w:p>
        </w:tc>
        <w:tc>
          <w:tcPr/>
          <w:p>
            <w:pPr>
              <w:pStyle w:val="Compact"/>
              <w:jc w:val="left"/>
            </w:pPr>
            <w:r>
              <w:t xml:space="preserve">Changed</w:t>
            </w:r>
          </w:p>
        </w:tc>
        <w:tc>
          <w:tcPr/>
          <w:p>
            <w:pPr>
              <w:pStyle w:val="Compact"/>
              <w:jc w:val="left"/>
            </w:pPr>
            <w:r>
              <w:t xml:space="preserve">External rendering is</w:t>
            </w:r>
            <w:r>
              <w:t xml:space="preserve"> </w:t>
            </w:r>
            <w:r>
              <w:rPr>
                <w:rStyle w:val="VerbatimChar"/>
              </w:rPr>
              <w:t xml:space="preserve">prepare_task</w:t>
            </w:r>
            <w:r>
              <w:t xml:space="preserve">/</w:t>
            </w:r>
            <w:r>
              <w:rPr>
                <w:rStyle w:val="VerbatimChar"/>
              </w:rPr>
              <w:t xml:space="preserve">handle_result</w:t>
            </w:r>
            <w:r>
              <w:t xml:space="preserve"> </w:t>
            </w:r>
            <w:r>
              <w:rPr>
                <w:bCs/>
                <w:b/>
              </w:rPr>
              <w:t xml:space="preserve">hooks</w:t>
            </w:r>
            <w:r>
              <w:t xml:space="preserve"> </w:t>
            </w:r>
            <w:r>
              <w:t xml:space="preserve">indexed by the host, not a require-time</w:t>
            </w:r>
            <w:r>
              <w:t xml:space="preserve"> </w:t>
            </w:r>
            <w:r>
              <w:rPr>
                <w:rStyle w:val="VerbatimChar"/>
              </w:rPr>
              <w:t xml:space="preserve">external_render.register_renderer</w:t>
            </w:r>
            <w:r>
              <w:t xml:space="preserve"> </w:t>
            </w:r>
            <w:r>
              <w:t xml:space="preserve">side effect.</w:t>
            </w:r>
          </w:p>
        </w:tc>
      </w:tr>
      <w:tr>
        <w:tc>
          <w:tcPr/>
          <w:p>
            <w:pPr>
              <w:pStyle w:val="Compact"/>
              <w:jc w:val="left"/>
            </w:pPr>
            <w:r>
              <w:t xml:space="preserve">HLR-EXT-007</w:t>
            </w:r>
          </w:p>
        </w:tc>
        <w:tc>
          <w:tcPr/>
          <w:p>
            <w:pPr>
              <w:pStyle w:val="Compact"/>
              <w:jc w:val="left"/>
            </w:pPr>
            <w:r>
              <w:t xml:space="preserve">Changed</w:t>
            </w:r>
          </w:p>
        </w:tc>
        <w:tc>
          <w:tcPr/>
          <w:p>
            <w:pPr>
              <w:pStyle w:val="Compact"/>
              <w:jc w:val="left"/>
            </w:pPr>
            <w:r>
              <w:t xml:space="preserve">Data-view generation is a</w:t>
            </w:r>
            <w:r>
              <w:t xml:space="preserve"> </w:t>
            </w:r>
            <w:r>
              <w:rPr>
                <w:rStyle w:val="VerbatimChar"/>
              </w:rPr>
              <w:t xml:space="preserve">dataset</w:t>
            </w:r>
            <w:r>
              <w:t xml:space="preserve"> </w:t>
            </w:r>
            <w:r>
              <w:rPr>
                <w:bCs/>
                <w:b/>
              </w:rPr>
              <w:t xml:space="preserve">hook</w:t>
            </w:r>
            <w:r>
              <w:t xml:space="preserve"> </w:t>
            </w:r>
            <w:r>
              <w:t xml:space="preserve">the host indexes;</w:t>
            </w:r>
            <w:r>
              <w:t xml:space="preserve"> </w:t>
            </w:r>
            <w:r>
              <w:rPr>
                <w:rStyle w:val="VerbatimChar"/>
              </w:rPr>
              <w:t xml:space="preserve">data_loader</w:t>
            </w:r>
            <w:r>
              <w:t xml:space="preserve"> </w:t>
            </w:r>
            <w:r>
              <w:t xml:space="preserve">retains only the chart-config injection + a loose-load fallback for unregistered/fixture generators.</w:t>
            </w:r>
          </w:p>
        </w:tc>
      </w:tr>
      <w:tr>
        <w:tc>
          <w:tcPr/>
          <w:p>
            <w:pPr>
              <w:pStyle w:val="Compact"/>
              <w:jc w:val="left"/>
            </w:pPr>
            <w:r>
              <w:t xml:space="preserve">HLR-EXT-008</w:t>
            </w:r>
          </w:p>
        </w:tc>
        <w:tc>
          <w:tcPr/>
          <w:p>
            <w:pPr>
              <w:pStyle w:val="Compact"/>
              <w:jc w:val="left"/>
            </w:pPr>
            <w:r>
              <w:rPr>
                <w:bCs/>
                <w:b/>
              </w:rPr>
              <w:t xml:space="preserve">Retired</w:t>
            </w:r>
          </w:p>
        </w:tc>
        <w:tc>
          <w:tcPr/>
          <w:p>
            <w:pPr>
              <w:pStyle w:val="Compact"/>
              <w:jc w:val="left"/>
            </w:pPr>
            <w:r>
              <w:t xml:space="preserve">The</w:t>
            </w:r>
            <w:r>
              <w:t xml:space="preserve"> </w:t>
            </w:r>
            <w:r>
              <w:rPr>
                <w:rStyle w:val="VerbatimChar"/>
              </w:rPr>
              <w:t xml:space="preserve">{model}:{type_ref}</w:t>
            </w:r>
            <w:r>
              <w:t xml:space="preserve"> </w:t>
            </w:r>
            <w:r>
              <w:t xml:space="preserve">handler caches (incl. the</w:t>
            </w:r>
            <w:r>
              <w:t xml:space="preserve"> </w:t>
            </w:r>
            <w:r>
              <w:rPr>
                <w:rStyle w:val="VerbatimChar"/>
              </w:rPr>
              <w:t xml:space="preserve">= false</w:t>
            </w:r>
            <w:r>
              <w:t xml:space="preserve"> </w:t>
            </w:r>
            <w:r>
              <w:t xml:space="preserve">negative cache) are deleted; the eager</w:t>
            </w:r>
            <w:r>
              <w:t xml:space="preserve"> </w:t>
            </w:r>
            <w:r>
              <w:rPr>
                <w:rStyle w:val="VerbatimChar"/>
              </w:rPr>
              <w:t xml:space="preserve">(kind,id)-&gt;hook</w:t>
            </w:r>
            <w:r>
              <w:t xml:space="preserve"> </w:t>
            </w:r>
            <w:r>
              <w:t xml:space="preserve">index replaces them. A nil index (</w:t>
            </w:r>
            <w:r>
              <w:t xml:space="preserve">“</w:t>
            </w:r>
            <w:r>
              <w:t xml:space="preserve">not registered</w:t>
            </w:r>
            <w:r>
              <w:t xml:space="preserve">”</w:t>
            </w:r>
            <w:r>
              <w:t xml:space="preserve">) is a distinct loud state from</w:t>
            </w:r>
            <w:r>
              <w:t xml:space="preserve"> </w:t>
            </w:r>
            <w:r>
              <w:t xml:space="preserve">“</w:t>
            </w:r>
            <w:r>
              <w:t xml:space="preserve">registered, no such hook</w:t>
            </w:r>
            <w:r>
              <w:t xml:space="preserve">”</w:t>
            </w:r>
            <w:r>
              <w:t xml:space="preserve">.</w:t>
            </w:r>
          </w:p>
        </w:tc>
      </w:tr>
    </w:tbl>
    <w:p>
      <w:pPr>
        <w:pStyle w:val="BodyText"/>
      </w:pPr>
      <w:r>
        <w:rPr>
          <w:bCs/>
          <w:b/>
        </w:rPr>
        <w:t xml:space="preserve">New requirement stubs:</w:t>
      </w:r>
    </w:p>
    <w:p>
      <w:pPr>
        <w:pStyle w:val="SpecObjectHeader"/>
        <w:keepNext/>
        <w:outlineLvl w:val="0"/>
      </w:pPr>
      <w:bookmarkStart w:name="HLR-EXT-009" w:id="17135"/>
      <w:r>
        <w:t xml:space="preserve">HLR-EXT-009: Canonical Context</w:t>
      </w:r>
      <w:bookmarkEnd w:id="17135"/>
    </w:p>
    <w:p>
      <w:pPr>
        <w:pStyle w:val="SpecObjectBody"/>
      </w:pPr>
      <w:r>
        <w:t xml:space="preserve">The host shall pass every plugin hook a single frozen canonical</w:t>
      </w:r>
      <w:r>
        <w:t xml:space="preserve"> </w:t>
      </w:r>
      <w:r>
        <w:rPr>
          <w:rStyle w:val="VerbatimChar"/>
        </w:rPr>
        <w:t xml:space="preserve">ctx</w:t>
      </w:r>
      <w:r>
        <w:t xml:space="preserve"> </w:t>
      </w:r>
      <w:r>
        <w:t xml:space="preserve">whose invariant core</w:t>
      </w:r>
      <w:r>
        <w:t xml:space="preserve"> </w:t>
      </w:r>
      <w:r>
        <w:t xml:space="preserve">(</w:t>
      </w:r>
      <w:r>
        <w:rPr>
          <w:rStyle w:val="VerbatimChar"/>
        </w:rPr>
        <w:t xml:space="preserve">data, pandoc, log, diagnostics, format, spec_id, model, config</w:t>
      </w:r>
      <w:r>
        <w:t xml:space="preserve">) is guaranteed non-nil</w:t>
      </w:r>
      <w:r>
        <w:t xml:space="preserve"> </w:t>
      </w:r>
      <w:r>
        <w:t xml:space="preserve">and asserted at build time; only</w:t>
      </w:r>
      <w:r>
        <w:t xml:space="preserve"> </w:t>
      </w:r>
      <w:r>
        <w:rPr>
          <w:rStyle w:val="VerbatimChar"/>
        </w:rPr>
        <w:t xml:space="preserve">subject</w:t>
      </w:r>
      <w:r>
        <w:t xml:space="preserve"> </w:t>
      </w:r>
      <w:r>
        <w:t xml:space="preserve">is polymorphic (shape documented per kind).</w:t>
      </w:r>
      <w:r>
        <w:t xml:space="preserve"> </w:t>
      </w:r>
      <w:r>
        <w:rPr>
          <w:rStyle w:val="VerbatimChar"/>
        </w:rPr>
        <w:t xml:space="preserve">ctx:require(field)</w:t>
      </w:r>
      <w:r>
        <w:t xml:space="preserve"> </w:t>
      </w:r>
      <w:r>
        <w:t xml:space="preserve">fails loudly on nil. (</w:t>
      </w:r>
      <w:r>
        <w:rPr>
          <w:rStyle w:val="VerbatimChar"/>
        </w:rPr>
        <w:t xml:space="preserve">src/contract/ctx.lua</w:t>
      </w:r>
      <w:r>
        <w:t xml:space="preserve">.)</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Each in-tree model shall carry a</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w:t>
      </w:r>
      <w:r>
        <w:t xml:space="preserve"> </w:t>
      </w:r>
      <w:r>
        <w:t xml:space="preserve">that declares the overlay chain. Models stay repo-bundled under</w:t>
      </w:r>
      <w:r>
        <w:t xml:space="preserve"> </w:t>
      </w:r>
      <w:r>
        <w:rPr>
          <w:rStyle w:val="VerbatimChar"/>
        </w:rPr>
        <w:t xml:space="preserve">models/&lt;name&gt;/</w:t>
      </w:r>
      <w:r>
        <w:t xml:space="preserve">; there is no</w:t>
      </w:r>
      <w:r>
        <w:t xml:space="preserve"> </w:t>
      </w:r>
      <w:r>
        <w:t xml:space="preserve">out-of-tree search path, registry, or package manager. (A symlinked model is not Docker-safe</w:t>
      </w:r>
      <w:r>
        <w:t xml:space="preserve"> </w:t>
      </w:r>
      <w:r>
        <w:t xml:space="preserve">and must be vendored in-tree to ship.)</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Descriptor + Role Inference</w:t>
      </w:r>
      <w:bookmarkEnd w:id="17158"/>
    </w:p>
    <w:p>
      <w:pPr>
        <w:pStyle w:val="SpecObjectBody"/>
      </w:pPr>
      <w:r>
        <w:t xml:space="preserve">A plugin shall return one descriptor</w:t>
      </w:r>
      <w:r>
        <w:t xml:space="preserve"> </w:t>
      </w:r>
      <w:r>
        <w:rPr>
          <w:rStyle w:val="VerbatimChar"/>
        </w:rPr>
        <w:t xml:space="preserve">{kind, schema, hooks}</w:t>
      </w:r>
      <w:r>
        <w:t xml:space="preserve">. The host classifies each</w:t>
      </w:r>
      <w:r>
        <w:t xml:space="preserve"> </w:t>
      </w:r>
      <w:r>
        <w:rPr>
          <w:rStyle w:val="VerbatimChar"/>
        </w:rPr>
        <w:t xml:space="preserve">hooks</w:t>
      </w:r>
      <w:r>
        <w:t xml:space="preserve"> </w:t>
      </w:r>
      <w:r>
        <w:t xml:space="preserve">field by name (per-item hooks dispatched inline;</w:t>
      </w:r>
      <w:r>
        <w:t xml:space="preserve"> </w:t>
      </w:r>
      <w:r>
        <w:rPr>
          <w:rStyle w:val="VerbatimChar"/>
        </w:rPr>
        <w:t xml:space="preserve">on_&lt;phase&gt;</w:t>
      </w:r>
      <w:r>
        <w:t xml:space="preserve"> </w:t>
      </w:r>
      <w:r>
        <w:t xml:space="preserve">hooks synthesized into</w:t>
      </w:r>
      <w:r>
        <w:t xml:space="preserve"> </w:t>
      </w:r>
      <w:r>
        <w:rPr>
          <w:rStyle w:val="VerbatimChar"/>
        </w:rPr>
        <w:t xml:space="preserve">pipeline:register_handler</w:t>
      </w:r>
      <w:r>
        <w:t xml:space="preserve">), infers role from the hooks present, and validates an optional</w:t>
      </w:r>
      <w:r>
        <w:t xml:space="preserve"> </w:t>
      </w:r>
      <w:r>
        <w:rPr>
          <w:rStyle w:val="VerbatimChar"/>
        </w:rPr>
        <w:t xml:space="preserve">schema.role</w:t>
      </w:r>
      <w:r>
        <w:t xml:space="preserve"> </w:t>
      </w:r>
      <w:r>
        <w:t xml:space="preserve">echo against them. Malformed descriptors (unknown kind, missing</w:t>
      </w:r>
      <w:r>
        <w:t xml:space="preserve"> </w:t>
      </w:r>
      <w:r>
        <w:rPr>
          <w:rStyle w:val="VerbatimChar"/>
        </w:rPr>
        <w:t xml:space="preserve">schema.id</w:t>
      </w:r>
      <w:r>
        <w:t xml:space="preserve">,</w:t>
      </w:r>
      <w:r>
        <w:t xml:space="preserve"> </w:t>
      </w:r>
      <w:r>
        <w:t xml:space="preserve">hook invalid for the kind, internal-render-plus-external-hooks) are loud register-time errors.</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Verification Descriptor</w:t>
      </w:r>
      <w:bookmarkEnd w:id="17159"/>
    </w:p>
    <w:p>
      <w:pPr>
        <w:pStyle w:val="SpecObjectBody"/>
      </w:pPr>
      <w:r>
        <w:t xml:space="preserve">A analyze query shall be a</w:t>
      </w:r>
      <w:r>
        <w:t xml:space="preserve"> </w:t>
      </w:r>
      <w:r>
        <w:rPr>
          <w:rStyle w:val="VerbatimChar"/>
        </w:rPr>
        <w:t xml:space="preserve">kind="verification"</w:t>
      </w:r>
      <w:r>
        <w:t xml:space="preserve"> </w:t>
      </w:r>
      <w:r>
        <w:t xml:space="preserve">descriptor</w:t>
      </w:r>
      <w:r>
        <w:t xml:space="preserve"> </w:t>
      </w:r>
      <w:r>
        <w:t xml:space="preserve">(</w:t>
      </w:r>
      <w:r>
        <w:rPr>
          <w:rStyle w:val="VerbatimChar"/>
        </w:rPr>
        <w:t xml:space="preserve">schema = {policy_key, view, sql, disabled}</w:t>
      </w:r>
      <w:r>
        <w:t xml:space="preserve">,</w:t>
      </w:r>
      <w:r>
        <w:t xml:space="preserve"> </w:t>
      </w:r>
      <w:r>
        <w:rPr>
          <w:rStyle w:val="VerbatimChar"/>
        </w:rPr>
        <w:t xml:space="preserve">hooks = {message}</w:t>
      </w:r>
      <w:r>
        <w:t xml:space="preserve">) forwarded to the host’s</w:t>
      </w:r>
      <w:r>
        <w:t xml:space="preserve"> </w:t>
      </w:r>
      <w:r>
        <w:t xml:space="preserve">ordered policy_key registry, preserving override (later model wins, in place) and</w:t>
      </w:r>
      <w:r>
        <w:t xml:space="preserve"> </w:t>
      </w:r>
      <w:r>
        <w:rPr>
          <w:rStyle w:val="VerbatimChar"/>
        </w:rPr>
        <w:t xml:space="preserve">disabled=true</w:t>
      </w:r>
      <w:r>
        <w:t xml:space="preserve"> </w:t>
      </w:r>
      <w:r>
        <w:t xml:space="preserve">removal semantics. (Closes the HLR-TYPE-007 contract gap.)</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Manifest-Only Configuration</w:t>
      </w:r>
      <w:bookmarkEnd w:id="79274"/>
    </w:p>
    <w:p>
      <w:pPr>
        <w:pStyle w:val="SpecObjectBody"/>
      </w:pPr>
      <w:r>
        <w:t xml:space="preserve">All build configuration shall come from</w:t>
      </w:r>
      <w:r>
        <w:t xml:space="preserve"> </w:t>
      </w:r>
      <w:r>
        <w:rPr>
          <w:rStyle w:val="VerbatimChar"/>
        </w:rPr>
        <w:t xml:space="preserve">project.yaml</w:t>
      </w:r>
      <w:r>
        <w:t xml:space="preserve">, read once into a frozen</w:t>
      </w:r>
      <w:r>
        <w:t xml:space="preserve"> </w:t>
      </w:r>
      <w:r>
        <w:rPr>
          <w:rStyle w:val="VerbatimChar"/>
        </w:rPr>
        <w:t xml:space="preserve">config</w:t>
      </w:r>
      <w:r>
        <w:t xml:space="preserve"> </w:t>
      </w:r>
      <w:r>
        <w:t xml:space="preserve">slice.</w:t>
      </w:r>
      <w:r>
        <w:t xml:space="preserve"> </w:t>
      </w:r>
      <w:r>
        <w:rPr>
          <w:rStyle w:val="VerbatimChar"/>
        </w:rPr>
        <w:t xml:space="preserve">os.getenv</w:t>
      </w:r>
      <w:r>
        <w:t xml:space="preserve"> </w:t>
      </w:r>
      <w:r>
        <w:t xml:space="preserve">is permitted ONLY to bootstrap the toolchain (</w:t>
      </w:r>
      <w:r>
        <w:rPr>
          <w:rStyle w:val="VerbatimChar"/>
        </w:rPr>
        <w:t xml:space="preserve">SPECCOMPILER_HOME</w:t>
      </w:r>
      <w:r>
        <w:t xml:space="preserve">,</w:t>
      </w:r>
      <w:r>
        <w:t xml:space="preserve"> </w:t>
      </w:r>
      <w:r>
        <w:rPr>
          <w:rStyle w:val="VerbatimChar"/>
        </w:rPr>
        <w:t xml:space="preserve">SPECCOMPILER_DIST</w:t>
      </w:r>
      <w:r>
        <w:t xml:space="preserve">) and for terminal autodetect (</w:t>
      </w:r>
      <w:r>
        <w:rPr>
          <w:rStyle w:val="VerbatimChar"/>
        </w:rPr>
        <w:t xml:space="preserve">TERM</w:t>
      </w:r>
      <w:r>
        <w:t xml:space="preserve">,</w:t>
      </w:r>
      <w:r>
        <w:t xml:space="preserve"> </w:t>
      </w:r>
      <w:r>
        <w:rPr>
          <w:rStyle w:val="VerbatimChar"/>
        </w:rPr>
        <w:t xml:space="preserve">CI</w:t>
      </w:r>
      <w:r>
        <w:t xml:space="preserve">,</w:t>
      </w:r>
      <w:r>
        <w:t xml:space="preserve"> </w:t>
      </w:r>
      <w:r>
        <w:rPr>
          <w:rStyle w:val="VerbatimChar"/>
        </w:rPr>
        <w:t xml:space="preserve">NO_COLOR</w:t>
      </w:r>
      <w:r>
        <w:t xml:space="preserve">,</w:t>
      </w:r>
      <w:r>
        <w:t xml:space="preserve"> </w:t>
      </w:r>
      <w:r>
        <w:rPr>
          <w:rStyle w:val="VerbatimChar"/>
        </w:rPr>
        <w:t xml:space="preserve">NUMBER_OF_PROCESSORS</w:t>
      </w:r>
      <w:r>
        <w:t xml:space="preserve">).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removed; the manifest is authoritative.</w:t>
      </w:r>
    </w:p>
    <w:p>
      <w:pPr>
        <w:pStyle w:val="DefinitionTerm"/>
      </w:pPr>
      <w:r>
        <w:rPr>
          <w:bCs/>
          <w:b/>
        </w:rPr>
        <w:t xml:space="preserve">STATUS:</w:t>
      </w:r>
    </w:p>
    <w:p>
      <w:pPr>
        <w:pStyle w:val="Definition"/>
      </w:pPr>
      <w:r>
        <w:t xml:space="preserve">Approved</w:t>
      </w:r>
    </w:p>
    <w:p>
      <w:pPr>
        <w:pStyle w:val="SpecObjectHeader"/>
        <w:keepNext/>
        <w:outlineLvl w:val="0"/>
      </w:pPr>
      <w:bookmarkStart w:name="HLR-EXT-001" w:id="17127"/>
      <w:r>
        <w:t xml:space="preserve">HLR-EXT-001: Model-Specific Type Handler Loading</w:t>
      </w:r>
      <w:bookmarkEnd w:id="17127"/>
    </w:p>
    <w:p>
      <w:pPr>
        <w:pStyle w:val="SpecObjectBody"/>
      </w:pPr>
      <w:r>
        <w:t xml:space="preserve">The system shall load type-specific handlers from model directories.</w:t>
      </w:r>
    </w:p>
    <w:p>
      <w:pPr>
        <w:pStyle w:val="DefinitionTerm"/>
      </w:pPr>
      <w:r>
        <w:rPr>
          <w:bCs/>
          <w:b/>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&lt;TRANSFORM Phase&gt;</w:t>
        </w:r>
      </w:hyperlink>
      <w:r>
        <w:t xml:space="preserve"> </w:t>
      </w:r>
      <w:r>
        <w:t xml:space="preserve">phase. The loading mechanism supports:</w:t>
      </w:r>
    </w:p>
    <w:p>
      <w:pPr>
        <w:numPr>
          <w:ilvl w:val="0"/>
          <w:numId w:val="1016"/>
        </w:numPr>
        <w:pStyle w:val="Compact"/>
      </w:pPr>
      <w:r>
        <w:rPr>
          <w:bCs/>
          <w:b/>
        </w:rPr>
        <w:t xml:space="preserve">Object types</w:t>
      </w:r>
      <w:r>
        <w:t xml:space="preserve">: Loaded from</w:t>
      </w:r>
      <w:r>
        <w:t xml:space="preserve"> </w:t>
      </w:r>
      <w:r>
        <w:rPr>
          <w:rStyle w:val="VerbatimChar"/>
        </w:rPr>
        <w:t xml:space="preserve">models/{model}/types/objects/{type}.lua</w:t>
      </w:r>
    </w:p>
    <w:p>
      <w:pPr>
        <w:numPr>
          <w:ilvl w:val="0"/>
          <w:numId w:val="1016"/>
        </w:numPr>
        <w:pStyle w:val="Compact"/>
      </w:pPr>
      <w:r>
        <w:rPr>
          <w:bCs/>
          <w:b/>
        </w:rPr>
        <w:t xml:space="preserve">Specification types</w:t>
      </w:r>
      <w:r>
        <w:t xml:space="preserve">: Loaded from</w:t>
      </w:r>
      <w:r>
        <w:t xml:space="preserve"> </w:t>
      </w:r>
      <w:r>
        <w:rPr>
          <w:rStyle w:val="VerbatimChar"/>
        </w:rPr>
        <w:t xml:space="preserve">models/{model}/types/specifications/{type}.lua</w:t>
      </w:r>
    </w:p>
    <w:p>
      <w:pPr>
        <w:numPr>
          <w:ilvl w:val="0"/>
          <w:numId w:val="1016"/>
        </w:numPr>
        <w:pStyle w:val="Compact"/>
      </w:pPr>
      <w:r>
        <w:rPr>
          <w:bCs/>
          <w:b/>
        </w:rPr>
        <w:t xml:space="preserve">Float types</w:t>
      </w:r>
      <w:r>
        <w:t xml:space="preserve">: Loaded from</w:t>
      </w:r>
      <w:r>
        <w:t xml:space="preserve"> </w:t>
      </w:r>
      <w:r>
        <w:rPr>
          <w:rStyle w:val="VerbatimChar"/>
        </w:rPr>
        <w:t xml:space="preserve">models/{model}/types/floats/{type}.lua</w:t>
      </w:r>
    </w:p>
    <w:p>
      <w:pPr>
        <w:numPr>
          <w:ilvl w:val="0"/>
          <w:numId w:val="1016"/>
        </w:numPr>
        <w:pStyle w:val="Compact"/>
      </w:pPr>
      <w:r>
        <w:rPr>
          <w:bCs/>
          <w:b/>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w:t>
      </w:r>
      <w:r>
        <w:t xml:space="preserve">HLR</w:t>
      </w:r>
      <w:r>
        <w:t xml:space="preserve">”</w:t>
      </w:r>
      <w:r>
        <w:t xml:space="preserve"> </w:t>
      </w:r>
      <w:r>
        <w:t xml:space="preserve">-&gt;</w:t>
      </w:r>
      <w:r>
        <w:t xml:space="preserve"> </w:t>
      </w:r>
      <w:r>
        <w:t xml:space="preserve">“</w:t>
      </w:r>
      <w:r>
        <w:t xml:space="preserve">hlr.lua</w:t>
      </w:r>
      <w:r>
        <w:t xml:space="preserve">”</w:t>
      </w:r>
      <w:r>
        <w:t xml:space="preserve">).</w:t>
      </w:r>
    </w:p>
    <w:p>
      <w:pPr>
        <w:pStyle w:val="DefinitionTerm"/>
      </w:pPr>
      <w:r>
        <w:rPr>
          <w:bCs/>
          <w:b/>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organize model content in a standardized directory hierarchy.</w:t>
      </w:r>
    </w:p>
    <w:p>
      <w:pPr>
        <w:pStyle w:val="DefinitionTerm"/>
      </w:pPr>
      <w:r>
        <w:rPr>
          <w:bCs/>
          <w:b/>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analyze_queries/ -- Verification descriptors (SQL views + message hooks)</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w:t>
      </w:r>
      <w:r>
        <w:t xml:space="preserve">default</w:t>
      </w:r>
      <w:r>
        <w:t xml:space="preserve">”</w:t>
      </w:r>
      <w:r>
        <w:t xml:space="preserve"> </w:t>
      </w:r>
      <w:r>
        <w:t xml:space="preserve">model provides base implementations with fallback behavior.</w:t>
      </w:r>
    </w:p>
    <w:p>
      <w:pPr>
        <w:pStyle w:val="DefinitionTerm"/>
      </w:pPr>
      <w:r>
        <w:rPr>
          <w:bCs/>
          <w:b/>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Handler Registration Interface</w:t>
      </w:r>
      <w:bookmarkEnd w:id="17129"/>
    </w:p>
    <w:p>
      <w:pPr>
        <w:pStyle w:val="SpecObjectBody"/>
      </w:pPr>
      <w:r>
        <w:t xml:space="preserve">Type handlers shall provide standardized registration interfaces for pipeline integration.</w:t>
      </w:r>
    </w:p>
    <w:p>
      <w:pPr>
        <w:pStyle w:val="DefinitionTerm"/>
      </w:pPr>
      <w:r>
        <w:rPr>
          <w:bCs/>
          <w:b/>
        </w:rPr>
        <w:t xml:space="preserve">DESCRIPTION:</w:t>
      </w:r>
    </w:p>
    <w:p>
      <w:pPr>
        <w:pStyle w:val="Definition"/>
      </w:pPr>
      <w:r>
        <w:t xml:space="preserve">Each handler category defines specific interfaces:</w:t>
      </w:r>
    </w:p>
    <w:p>
      <w:pPr>
        <w:pStyle w:val="Definition"/>
      </w:pPr>
      <w:r>
        <w:rPr>
          <w:bCs/>
          <w:b/>
        </w:rPr>
        <w:t xml:space="preserve">Object Type Handlers</w:t>
      </w:r>
      <w:r>
        <w:t xml:space="preserve"> </w:t>
      </w:r>
      <w:r>
        <w:t xml:space="preserve">export:</w:t>
      </w:r>
    </w:p>
    <w:p>
      <w:pPr>
        <w:numPr>
          <w:ilvl w:val="0"/>
          <w:numId w:val="1017"/>
        </w:numPr>
        <w:pStyle w:val="Compact"/>
      </w:pPr>
      <w:r>
        <w:rPr>
          <w:rStyle w:val="VerbatimChar"/>
        </w:rPr>
        <w:t xml:space="preserve">M.object</w:t>
      </w:r>
      <w:r>
        <w:t xml:space="preserve">: Type schema with id, long_name, description, attributes</w:t>
      </w:r>
    </w:p>
    <w:p>
      <w:pPr>
        <w:numPr>
          <w:ilvl w:val="0"/>
          <w:numId w:val="1017"/>
        </w:numPr>
        <w:pStyle w:val="Compact"/>
      </w:pPr>
      <w:r>
        <w:rPr>
          <w:rStyle w:val="VerbatimChar"/>
        </w:rPr>
        <w:t xml:space="preserve">M.handler.on_render_SpecObject(obj, ctx)</w:t>
      </w:r>
      <w:r>
        <w:t xml:space="preserve">: Render function returning Pandoc blocks</w:t>
      </w:r>
    </w:p>
    <w:p>
      <w:pPr>
        <w:pStyle w:val="Definition"/>
      </w:pPr>
      <w:r>
        <w:rPr>
          <w:bCs/>
          <w:b/>
        </w:rPr>
        <w:t xml:space="preserve">Specification Type Handlers</w:t>
      </w:r>
      <w:r>
        <w:t xml:space="preserve"> </w:t>
      </w:r>
      <w:r>
        <w:t xml:space="preserve">export:</w:t>
      </w:r>
    </w:p>
    <w:p>
      <w:pPr>
        <w:numPr>
          <w:ilvl w:val="0"/>
          <w:numId w:val="1018"/>
        </w:numPr>
        <w:pStyle w:val="Compact"/>
      </w:pPr>
      <w:r>
        <w:rPr>
          <w:rStyle w:val="VerbatimChar"/>
        </w:rPr>
        <w:t xml:space="preserve">M.specification</w:t>
      </w:r>
      <w:r>
        <w:t xml:space="preserve">: Type schema with id, long_name, attributes</w:t>
      </w:r>
    </w:p>
    <w:p>
      <w:pPr>
        <w:numPr>
          <w:ilvl w:val="0"/>
          <w:numId w:val="1018"/>
        </w:numPr>
        <w:pStyle w:val="Compact"/>
      </w:pPr>
      <w:r>
        <w:rPr>
          <w:rStyle w:val="VerbatimChar"/>
        </w:rPr>
        <w:t xml:space="preserve">M.handler.on_render_Specification(ctx, pandoc, data)</w:t>
      </w:r>
      <w:r>
        <w:t xml:space="preserve">: Render document title</w:t>
      </w:r>
    </w:p>
    <w:p>
      <w:pPr>
        <w:pStyle w:val="Definition"/>
      </w:pPr>
      <w:r>
        <w:rPr>
          <w:bCs/>
          <w:b/>
        </w:rPr>
        <w:t xml:space="preserve">Float Type Handlers</w:t>
      </w:r>
      <w:r>
        <w:t xml:space="preserve"> </w:t>
      </w:r>
      <w:r>
        <w:t xml:space="preserve">export:</w:t>
      </w:r>
    </w:p>
    <w:p>
      <w:pPr>
        <w:numPr>
          <w:ilvl w:val="0"/>
          <w:numId w:val="1019"/>
        </w:numPr>
        <w:pStyle w:val="Compact"/>
      </w:pPr>
      <w:r>
        <w:rPr>
          <w:rStyle w:val="VerbatimChar"/>
        </w:rPr>
        <w:t xml:space="preserve">M.float</w:t>
      </w:r>
      <w:r>
        <w:t xml:space="preserve">: Type schema with id, caption_format, counter_group, aliases, needs_external_render</w:t>
      </w:r>
    </w:p>
    <w:p>
      <w:pPr>
        <w:numPr>
          <w:ilvl w:val="0"/>
          <w:numId w:val="1019"/>
        </w:numPr>
        <w:pStyle w:val="Compact"/>
      </w:pPr>
      <w:r>
        <w:rPr>
          <w:rStyle w:val="VerbatimChar"/>
        </w:rPr>
        <w:t xml:space="preserve">M.transform(raw_content, type_ref, log)</w:t>
      </w:r>
      <w:r>
        <w:t xml:space="preserve">: For internal transforms (TABLE, CSV)</w:t>
      </w:r>
    </w:p>
    <w:p>
      <w:pPr>
        <w:numPr>
          <w:ilvl w:val="0"/>
          <w:numId w:val="1019"/>
        </w:numPr>
        <w:pStyle w:val="Compact"/>
      </w:pPr>
      <w:r>
        <w:rPr>
          <w:rStyle w:val="VerbatimChar"/>
        </w:rPr>
        <w:t xml:space="preserve">external_render.register_renderer(type_ref, callbacks)</w:t>
      </w:r>
      <w:r>
        <w:t xml:space="preserve">: For external renders (PLANTUML, CHART)</w:t>
      </w:r>
    </w:p>
    <w:p>
      <w:pPr>
        <w:pStyle w:val="Definition"/>
      </w:pPr>
      <w:r>
        <w:rPr>
          <w:bCs/>
          <w:b/>
        </w:rPr>
        <w:t xml:space="preserve">View Type Handlers</w:t>
      </w:r>
      <w:r>
        <w:t xml:space="preserve"> </w:t>
      </w:r>
      <w:r>
        <w:t xml:space="preserve">export:</w:t>
      </w:r>
    </w:p>
    <w:p>
      <w:pPr>
        <w:numPr>
          <w:ilvl w:val="0"/>
          <w:numId w:val="1020"/>
        </w:numPr>
        <w:pStyle w:val="Compact"/>
      </w:pPr>
      <w:r>
        <w:rPr>
          <w:rStyle w:val="VerbatimChar"/>
        </w:rPr>
        <w:t xml:space="preserve">M.view</w:t>
      </w:r>
      <w:r>
        <w:t xml:space="preserve">: Type schema with id, inline_prefix, aliases</w:t>
      </w:r>
    </w:p>
    <w:p>
      <w:pPr>
        <w:numPr>
          <w:ilvl w:val="0"/>
          <w:numId w:val="1020"/>
        </w:numPr>
        <w:pStyle w:val="Compact"/>
      </w:pPr>
      <w:r>
        <w:rPr>
          <w:rStyle w:val="VerbatimChar"/>
        </w:rPr>
        <w:t xml:space="preserve">M.handler.on_render_Code(code, ctx)</w:t>
      </w:r>
      <w:r>
        <w:t xml:space="preserve">: Inline code rendering</w:t>
      </w:r>
    </w:p>
    <w:p>
      <w:pPr>
        <w:pStyle w:val="DefinitionTerm"/>
      </w:pPr>
      <w:r>
        <w:rPr>
          <w:bCs/>
          <w:b/>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Definition Schema</w:t>
      </w:r>
      <w:bookmarkEnd w:id="17130"/>
    </w:p>
    <w:p>
      <w:pPr>
        <w:pStyle w:val="SpecObjectBody"/>
      </w:pPr>
      <w:r>
        <w:t xml:space="preserve">Type definitions shall declare metadata schema that controls registration and behavior.</w:t>
      </w:r>
    </w:p>
    <w:p>
      <w:pPr>
        <w:pStyle w:val="DefinitionTerm"/>
      </w:pPr>
      <w:r>
        <w:rPr>
          <w:bCs/>
          <w:b/>
        </w:rPr>
        <w:t xml:space="preserve">DESCRIPTION:</w:t>
      </w:r>
    </w:p>
    <w:p>
      <w:pPr>
        <w:pStyle w:val="Definition"/>
      </w:pPr>
      <w:r>
        <w:t xml:space="preserve">Type schemas provide metadata stored in registry tables:</w:t>
      </w:r>
    </w:p>
    <w:p>
      <w:pPr>
        <w:pStyle w:val="Definition"/>
      </w:pPr>
      <w:r>
        <w:rPr>
          <w:bCs/>
          <w:b/>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Cs/>
          <w:b/>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Cs/>
          <w:b/>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Cs/>
          <w:b/>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Path Resolution</w:t>
      </w:r>
      <w:bookmarkEnd w:id="17131"/>
    </w:p>
    <w:p>
      <w:pPr>
        <w:pStyle w:val="SpecObjectBody"/>
      </w:pPr>
      <w:r>
        <w:t xml:space="preserve">The system shall resolve model paths using environment configuration with fallback.</w:t>
      </w:r>
    </w:p>
    <w:p>
      <w:pPr>
        <w:pStyle w:val="SpecObjectBody"/>
      </w:pPr>
      <w:r>
        <w:rPr>
          <w:iCs/>
          <w:i/>
        </w:rPr>
        <w:t xml:space="preserve">Retired in the Host Engine Refactor: the per-type require fallback is replaced by the host overlay;</w:t>
      </w:r>
      <w:r>
        <w:rPr>
          <w:iCs/>
          <w:i/>
        </w:rPr>
        <w:t xml:space="preserve"> </w:t>
      </w:r>
      <w:r>
        <w:rPr>
          <w:rStyle w:val="VerbatimChar"/>
          <w:iCs/>
          <w:i/>
        </w:rPr>
        <w:t xml:space="preserve">SPECCOMPILER_HOME</w:t>
      </w:r>
      <w:r>
        <w:rPr>
          <w:iCs/>
          <w:i/>
        </w:rPr>
        <w:t xml:space="preserve">-then-cwd resolution is kept, and a fully-absent model is a loud error.</w:t>
      </w:r>
    </w:p>
    <w:p>
      <w:pPr>
        <w:pStyle w:val="DefinitionTerm"/>
      </w:pPr>
      <w:r>
        <w:rPr>
          <w:bCs/>
          <w:b/>
        </w:rPr>
        <w:t xml:space="preserve">DESCRIPTION:</w:t>
      </w:r>
    </w:p>
    <w:p>
      <w:pPr>
        <w:pStyle w:val="Definition"/>
      </w:pPr>
      <w:r>
        <w:t xml:space="preserve">Model path resolution follows this order:</w:t>
      </w:r>
    </w:p>
    <w:p>
      <w:pPr>
        <w:numPr>
          <w:ilvl w:val="0"/>
          <w:numId w:val="1021"/>
        </w:numPr>
        <w:pStyle w:val="Compact"/>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numPr>
          <w:ilvl w:val="0"/>
          <w:numId w:val="1021"/>
        </w:numPr>
        <w:pStyle w:val="Compact"/>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w:t>
      </w:r>
      <w:r>
        <w:t xml:space="preserve">default</w:t>
      </w:r>
      <w:r>
        <w:t xml:space="preserve">”</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Cs/>
          <w:b/>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Cs/>
          <w:b/>
        </w:rPr>
        <w:t xml:space="preserve">STATUS:</w:t>
      </w:r>
    </w:p>
    <w:p>
      <w:pPr>
        <w:pStyle w:val="Definition"/>
      </w:pPr>
      <w:r>
        <w:t xml:space="preserve">Retired</w:t>
      </w:r>
    </w:p>
    <w:p>
      <w:pPr>
        <w:pStyle w:val="SpecObjectHeader"/>
        <w:keepNext/>
        <w:outlineLvl w:val="0"/>
      </w:pPr>
      <w:bookmarkStart w:name="HLR-EXT-006" w:id="17132"/>
      <w:r>
        <w:t xml:space="preserve">HLR-EXT-006: External Renderer Registration</w:t>
      </w:r>
      <w:bookmarkEnd w:id="17132"/>
    </w:p>
    <w:p>
      <w:pPr>
        <w:pStyle w:val="SpecObjectBody"/>
      </w:pPr>
      <w:r>
        <w:t xml:space="preserve">External renderers shall declare task-preparation and result-handling hooks on their float descriptor.</w:t>
      </w:r>
    </w:p>
    <w:p>
      <w:pPr>
        <w:pStyle w:val="DefinitionTerm"/>
      </w:pPr>
      <w:r>
        <w:rPr>
          <w:bCs/>
          <w:b/>
        </w:rPr>
        <w:t xml:space="preserve">DESCRIPTION:</w:t>
      </w:r>
    </w:p>
    <w:p>
      <w:pPr>
        <w:pStyle w:val="Definition"/>
      </w:pPr>
      <w:r>
        <w:t xml:space="preserve">Float types requiring external tools (PlantUML, ECharts, etc.) declare the hook pair in their descriptor; the host indexes them like every other hook (no separate registration call):</w:t>
      </w:r>
    </w:p>
    <w:p>
      <w:pPr>
        <w:pStyle w:val="SourceCode"/>
      </w:pPr>
      <w:r>
        <w:rPr>
          <w:rStyle w:val="CommentTok"/>
        </w:rPr>
        <w:t xml:space="preserve">-- models/{model}/types/floats/plantuml.lua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 A float declares either a</w:t>
      </w:r>
      <w:r>
        <w:t xml:space="preserve"> </w:t>
      </w:r>
      <w:r>
        <w:rPr>
          <w:rStyle w:val="VerbatimChar"/>
        </w:rPr>
        <w:t xml:space="preserve">render</w:t>
      </w:r>
      <w:r>
        <w:t xml:space="preserve"> </w:t>
      </w:r>
      <w:r>
        <w:t xml:space="preserve">hook or the external pair — never both (validated at register time).</w:t>
      </w:r>
    </w:p>
    <w:p>
      <w:pPr>
        <w:pStyle w:val="DefinitionTerm"/>
      </w:pPr>
      <w:r>
        <w:rPr>
          <w:bCs/>
          <w:b/>
        </w:rPr>
        <w:t xml:space="preserve">RATIONALE:</w:t>
      </w:r>
    </w:p>
    <w:p>
      <w:pPr>
        <w:pStyle w:val="Definition"/>
      </w:pPr>
      <w:r>
        <w:t xml:space="preserve">The descriptor hook pair decouples type-specific rendering logic from core orchestration. Hooks enable types to control task preparation and result interpretation while core handles parallelization and caching.</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Generator Loading</w:t>
      </w:r>
      <w:bookmarkEnd w:id="17133"/>
    </w:p>
    <w:p>
      <w:pPr>
        <w:pStyle w:val="SpecObjectBody"/>
      </w:pPr>
      <w:r>
        <w:t xml:space="preserve">The system shall provide chart data through</w:t>
      </w:r>
      <w:r>
        <w:t xml:space="preserve"> </w:t>
      </w:r>
      <w:r>
        <w:rPr>
          <w:rStyle w:val="VerbatimChar"/>
        </w:rPr>
        <w:t xml:space="preserve">dataset</w:t>
      </w:r>
      <w:r>
        <w:t xml:space="preserve"> </w:t>
      </w:r>
      <w:r>
        <w:t xml:space="preserve">hooks on view descriptors.</w:t>
      </w:r>
    </w:p>
    <w:p>
      <w:pPr>
        <w:pStyle w:val="DefinitionTerm"/>
      </w:pPr>
      <w:r>
        <w:rPr>
          <w:bCs/>
          <w:b/>
        </w:rPr>
        <w:t xml:space="preserve">DESCRIPTION:</w:t>
      </w:r>
    </w:p>
    <w:p>
      <w:pPr>
        <w:pStyle w:val="Definition"/>
      </w:pPr>
      <w:r>
        <w:t xml:space="preserve">A data view is a view descriptor (</w:t>
      </w:r>
      <w:r>
        <w:rPr>
          <w:rStyle w:val="VerbatimChar"/>
        </w:rPr>
        <w:t xml:space="preserve">models/{model}/types/views/{view_name}.lua</w:t>
      </w:r>
      <w:r>
        <w:t xml:space="preserve">) that declares a</w:t>
      </w:r>
      <w:r>
        <w:t xml:space="preserve"> </w:t>
      </w:r>
      <w:r>
        <w:rPr>
          <w:rStyle w:val="VerbatimChar"/>
        </w:rPr>
        <w:t xml:space="preserve">dataset</w:t>
      </w:r>
      <w:r>
        <w:t xml:space="preserve"> </w:t>
      </w:r>
      <w:r>
        <w:t xml:space="preserve">data hook returning</w:t>
      </w:r>
      <w:r>
        <w:t xml:space="preserve"> </w:t>
      </w:r>
      <w:r>
        <w:rPr>
          <w:rStyle w:val="VerbatimChar"/>
        </w:rPr>
        <w:t xml:space="preserve">{ source = ... }</w:t>
      </w:r>
      <w:r>
        <w:t xml:space="preserve"> </w:t>
      </w:r>
      <w:r>
        <w:t xml:space="preserve">for the chart consumer:</w:t>
      </w:r>
    </w:p>
    <w:p>
      <w:pPr>
        <w:pStyle w:val="SourceCode"/>
      </w:pPr>
      <w:r>
        <w:rPr>
          <w:rStyle w:val="CommentTok"/>
        </w:rPr>
        <w:t xml:space="preserve">-- models/{model}/types/views/gaussian.lua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"GAUSSIAN"</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dataset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CommentTok"/>
        </w:rPr>
        <w:t xml:space="preserve">-- dctx.subject.params: user parameters from code block attributes</w:t>
      </w:r>
      <w:r>
        <w:br/>
      </w:r>
      <w:r>
        <w:rPr>
          <w:rStyle w:val="NormalTok"/>
        </w:rPr>
        <w:t xml:space="preserve">            </w:t>
      </w:r>
      <w:r>
        <w:rPr>
          <w:rStyle w:val="CommentTok"/>
        </w:rPr>
        <w:t xml:space="preserve">-- dctx.data: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rStyle w:val="VerbatimChar"/>
        </w:rPr>
        <w:t xml:space="preserve">data_loader.load_view</w:t>
      </w:r>
      <w:r>
        <w:t xml:space="preserve"> </w:t>
      </w:r>
      <w:r>
        <w:t xml:space="preserve">resolves the hook through the host index (</w:t>
      </w:r>
      <w:r>
        <w:rPr>
          <w:rStyle w:val="VerbatimChar"/>
        </w:rPr>
        <w:t xml:space="preserve">host:get_hook("view", NAME, "dataset")</w:t>
      </w:r>
      <w:r>
        <w:t xml:space="preserve">, already overlaid default -&gt; model), with a loose-module fallback for non-indexed fixture views.</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Cs/>
          <w:b/>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Handler Caching</w:t>
      </w:r>
      <w:bookmarkEnd w:id="17134"/>
    </w:p>
    <w:p>
      <w:pPr>
        <w:pStyle w:val="SpecObjectBody"/>
      </w:pPr>
      <w:r>
        <w:t xml:space="preserve">The system shall cache loaded type handlers to avoid repeated module loading.</w:t>
      </w:r>
    </w:p>
    <w:p>
      <w:pPr>
        <w:pStyle w:val="SpecObjectBody"/>
      </w:pPr>
      <w:r>
        <w:rPr>
          <w:iCs/>
          <w:i/>
        </w:rPr>
        <w:t xml:space="preserve">Retired in the Host Engine Refactor: the per-(model,type) handler caches (incl. the negative cache) are replaced by the eager</w:t>
      </w:r>
      <w:r>
        <w:rPr>
          <w:iCs/>
          <w:i/>
        </w:rPr>
        <w:t xml:space="preserve"> </w:t>
      </w:r>
      <w:r>
        <w:rPr>
          <w:rStyle w:val="VerbatimChar"/>
          <w:iCs/>
          <w:i/>
        </w:rPr>
        <w:t xml:space="preserve">(kind,id)-&gt;hook</w:t>
      </w:r>
      <w:r>
        <w:rPr>
          <w:iCs/>
          <w:i/>
        </w:rPr>
        <w:t xml:space="preserve"> </w:t>
      </w:r>
      <w:r>
        <w:rPr>
          <w:iCs/>
          <w:i/>
        </w:rPr>
        <w:t xml:space="preserve">index.</w:t>
      </w:r>
    </w:p>
    <w:p>
      <w:pPr>
        <w:pStyle w:val="DefinitionTerm"/>
      </w:pPr>
      <w:r>
        <w:rPr>
          <w:bCs/>
          <w:b/>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Cs/>
          <w:b/>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Cs/>
          <w:b/>
        </w:rPr>
        <w:t xml:space="preserve">STATUS:</w:t>
      </w:r>
    </w:p>
    <w:p>
      <w:pPr>
        <w:pStyle w:val="Definition"/>
      </w:pPr>
      <w:r>
        <w:t xml:space="preserve">Retired</w:t>
      </w:r>
    </w:p>
    <w:bookmarkEnd w:id="27"/>
    <w:bookmarkEnd w:id="28"/>
    <w:bookmarkStart w:id="29"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22"/>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22"/>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22"/>
        </w:numPr>
        <w:pStyle w:val="Compact"/>
      </w:pPr>
      <w:r>
        <w:rPr>
          <w:bCs/>
          <w:b/>
        </w:rPr>
        <w:t xml:space="preserve">Spec floats</w:t>
      </w:r>
      <w:r>
        <w:t xml:space="preserve">: Placeholder CodeBlocks for floats at their document positions (resolved later by the float emitter)</w:t>
      </w:r>
    </w:p>
    <w:p>
      <w:pPr>
        <w:numPr>
          <w:ilvl w:val="0"/>
          <w:numId w:val="1022"/>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23"/>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23"/>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23"/>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23"/>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24"/>
        </w:numPr>
        <w:pStyle w:val="Compact"/>
      </w:pPr>
      <w:r>
        <w:t xml:space="preserve">Queries all floats across all specifications, ordered by</w:t>
      </w:r>
      <w:r>
        <w:t xml:space="preserve"> </w:t>
      </w:r>
      <w:r>
        <w:rPr>
          <w:rStyle w:val="VerbatimChar"/>
        </w:rPr>
        <w:t xml:space="preserve">file_seq</w:t>
      </w:r>
    </w:p>
    <w:p>
      <w:pPr>
        <w:numPr>
          <w:ilvl w:val="0"/>
          <w:numId w:val="1024"/>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24"/>
        </w:numPr>
        <w:pStyle w:val="Compact"/>
      </w:pPr>
      <w:r>
        <w:t xml:space="preserve">Assigns monotonically increasing numbers within each group (starting at 1)</w:t>
      </w:r>
    </w:p>
    <w:p>
      <w:pPr>
        <w:numPr>
          <w:ilvl w:val="0"/>
          <w:numId w:val="1024"/>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5"/>
        </w:numPr>
        <w:pStyle w:val="Compact"/>
      </w:pPr>
      <w:r>
        <w:t xml:space="preserve">Serializes the assembled Pandoc document to an intermediate JSON file</w:t>
      </w:r>
    </w:p>
    <w:p>
      <w:pPr>
        <w:numPr>
          <w:ilvl w:val="0"/>
          <w:numId w:val="1025"/>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5"/>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5"/>
        </w:numPr>
        <w:pStyle w:val="Compact"/>
      </w:pPr>
      <w:r>
        <w:t xml:space="preserve">Invokes Pandoc for format conversion</w:t>
      </w:r>
    </w:p>
    <w:p>
      <w:pPr>
        <w:numPr>
          <w:ilvl w:val="0"/>
          <w:numId w:val="1025"/>
        </w:numPr>
        <w:pStyle w:val="Compact"/>
      </w:pPr>
      <w:r>
        <w:t xml:space="preserve">Runs format-specific postprocessors after Pandoc generation completes</w:t>
      </w:r>
    </w:p>
    <w:p>
      <w:pPr>
        <w:numPr>
          <w:ilvl w:val="0"/>
          <w:numId w:val="1025"/>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6"/>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6"/>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6"/>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6"/>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7"/>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7"/>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7"/>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7"/>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8"/>
        </w:numPr>
        <w:pStyle w:val="Compact"/>
      </w:pPr>
      <w:r>
        <w:rPr>
          <w:rStyle w:val="VerbatimChar"/>
          <w:bCs/>
          <w:b/>
        </w:rPr>
        <w:t xml:space="preserve">fts_objects</w:t>
      </w:r>
      <w:r>
        <w:t xml:space="preserve">: Indexes spec object titles and body text, keyed by identifier and spec_id</w:t>
      </w:r>
    </w:p>
    <w:p>
      <w:pPr>
        <w:numPr>
          <w:ilvl w:val="0"/>
          <w:numId w:val="1028"/>
        </w:numPr>
        <w:pStyle w:val="Compact"/>
      </w:pPr>
      <w:r>
        <w:rPr>
          <w:rStyle w:val="VerbatimChar"/>
          <w:bCs/>
          <w:b/>
        </w:rPr>
        <w:t xml:space="preserve">fts_attributes</w:t>
      </w:r>
      <w:r>
        <w:t xml:space="preserve">: Indexes attribute names and string values, keyed by owner_ref and spec_id</w:t>
      </w:r>
    </w:p>
    <w:p>
      <w:pPr>
        <w:numPr>
          <w:ilvl w:val="0"/>
          <w:numId w:val="1028"/>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9"/>
    <w:bookmarkStart w:id="30"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9"/>
        </w:numPr>
        <w:pStyle w:val="Compact"/>
      </w:pPr>
      <w:r>
        <w:t xml:space="preserve">Every node of the document’s build graph is compared against its current file hash</w:t>
      </w:r>
    </w:p>
    <w:p>
      <w:pPr>
        <w:numPr>
          <w:ilvl w:val="0"/>
          <w:numId w:val="1029"/>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9"/>
        </w:numPr>
        <w:pStyle w:val="Compact"/>
      </w:pPr>
      <w:r>
        <w:t xml:space="preserve">If any hash differs, a node file is missing, or no root node is recorded, the document is rebuilt from source</w:t>
      </w:r>
    </w:p>
    <w:p>
      <w:pPr>
        <w:numPr>
          <w:ilvl w:val="0"/>
          <w:numId w:val="1029"/>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30"/>
        </w:numPr>
        <w:pStyle w:val="Compact"/>
      </w:pPr>
      <w:r>
        <w:t xml:space="preserve">Resolving include paths relative to the source file directory</w:t>
      </w:r>
    </w:p>
    <w:p>
      <w:pPr>
        <w:numPr>
          <w:ilvl w:val="0"/>
          <w:numId w:val="1030"/>
        </w:numPr>
        <w:pStyle w:val="Compact"/>
      </w:pPr>
      <w:r>
        <w:t xml:space="preserve">Detecting circular includes via a processed-file set (raises error on cycle)</w:t>
      </w:r>
    </w:p>
    <w:p>
      <w:pPr>
        <w:numPr>
          <w:ilvl w:val="0"/>
          <w:numId w:val="1030"/>
        </w:numPr>
        <w:pStyle w:val="Compact"/>
      </w:pPr>
      <w:r>
        <w:t xml:space="preserve">Recursively expanding nested includes up to a bounded maximum depth</w:t>
      </w:r>
    </w:p>
    <w:p>
      <w:pPr>
        <w:numPr>
          <w:ilvl w:val="0"/>
          <w:numId w:val="1030"/>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31"/>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31"/>
        </w:numPr>
        <w:pStyle w:val="Compact"/>
      </w:pPr>
      <w:r>
        <w:rPr>
          <w:bCs/>
          <w:b/>
        </w:rPr>
        <w:t xml:space="preserve">Structured data</w:t>
      </w:r>
      <w:r>
        <w:t xml:space="preserve">: Each diagnostic record contains file path, line number, diagnostic key, and human-readable message</w:t>
      </w:r>
    </w:p>
    <w:p>
      <w:pPr>
        <w:numPr>
          <w:ilvl w:val="0"/>
          <w:numId w:val="1031"/>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31"/>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32"/>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32"/>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33"/>
        </w:numPr>
        <w:pStyle w:val="Compact"/>
      </w:pPr>
      <w:r>
        <w:rPr>
          <w:bCs/>
          <w:b/>
        </w:rPr>
        <w:t xml:space="preserve">Deterministic parsing</w:t>
      </w:r>
      <w:r>
        <w:t xml:space="preserve">: Content-addressable SHA1 identifiers ensure consistent object identity</w:t>
      </w:r>
    </w:p>
    <w:p>
      <w:pPr>
        <w:numPr>
          <w:ilvl w:val="0"/>
          <w:numId w:val="1033"/>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33"/>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33"/>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30"/>
    <w:bookmarkStart w:id="34"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34"/>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34"/>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1">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2">
        <w:r>
          <w:rPr>
            <w:rStyle w:val="Hyperlink"/>
          </w:rPr>
          <w:t xml:space="preserve">sdd: Float Emitter</w:t>
        </w:r>
      </w:hyperlink>
      <w:r>
        <w:t xml:space="preserve"> </w:t>
      </w:r>
      <w:r>
        <w:t xml:space="preserve">for floats,</w:t>
      </w:r>
      <w:r>
        <w:t xml:space="preserve"> </w:t>
      </w:r>
      <w:hyperlink r:id="rId33">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lineRule="auto" w:line="276" w:after="120" w:before="28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sdd.docx#CSU-034" TargetMode="External" /><Relationship Type="http://schemas.openxmlformats.org/officeDocument/2006/relationships/hyperlink" Id="rId32" Target="sdd.docx#CSU-035" TargetMode="External" /><Relationship Type="http://schemas.openxmlformats.org/officeDocument/2006/relationships/hyperlink" Id="rId33"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1" Target="sdd.docx#CSU-034" TargetMode="External" /><Relationship Type="http://schemas.openxmlformats.org/officeDocument/2006/relationships/hyperlink" Id="rId32" Target="sdd.docx#CSU-035" TargetMode="External" /><Relationship Type="http://schemas.openxmlformats.org/officeDocument/2006/relationships/hyperlink" Id="rId33"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2026-08-03T01:33:40Z</dcterms:created>
  <dcterms:modified xsi:type="dcterms:W3CDTF">2026-08-03T01:33:40Z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