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81.png" ContentType="image/png"/>
  <Override PartName="/word/media/rId27.png" ContentType="image/png"/>
  <Override PartName="/word/media/rId24.png" ContentType="image/png"/>
  <Override PartName="/word/media/rId59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880"/>
      </w:pPr>
    </w:p>
    <w:p>
      <w:pPr>
        <w:pStyle w:val="CoverTitle"/>
      </w:pPr>
      <w:r>
        <w:t xml:space="preserve">SpecCompiler Core User Manual</w:t>
      </w:r>
    </w:p>
    <w:p>
      <w:pPr>
        <w:pStyle w:val="CoverSubtitle"/>
      </w:pPr>
      <w:r>
        <w:t xml:space="preserve">Structured Document Processing Pipeline</w:t>
      </w:r>
    </w:p>
    <w:p>
      <w:pPr>
        <w:spacing w:before="2160"/>
      </w:pPr>
    </w:p>
    <w:p>
      <w:pPr>
        <w:pStyle w:val="CoverAuthor"/>
      </w:pPr>
      <w:r>
        <w:t xml:space="preserve">SpecCompiler Project</w:t>
      </w:r>
    </w:p>
    <w:p>
      <w:pPr>
        <w:pStyle w:val="CoverDate"/>
      </w:pPr>
      <w:r>
        <w:t xml:space="preserve">2026-02-21</w:t>
      </w:r>
    </w:p>
    <w:p>
      <w:pPr>
        <w:spacing w:before="1440"/>
      </w:pPr>
    </w:p>
    <w:p>
      <w:pPr>
        <w:pStyle w:val="CoverDocId"/>
      </w:pPr>
      <w:r>
        <w:t xml:space="preserve">SC-UM-001</w:t>
      </w:r>
    </w:p>
    <w:p>
      <w:pPr>
        <w:pStyle w:val="CoverVersion"/>
      </w:pPr>
      <w:r>
        <w:t xml:space="preserve">v1.0</w:t>
      </w:r>
    </w:p>
    <w:p>
      <w:r>
        <w:br w:type="page"/>
      </w:r>
    </w:p>
    <w:p>
      <w:pPr>
        <w:pStyle w:val="TOCHeading"/>
      </w:pPr>
      <w:r>
        <w:rPr>
          <w:color w:val="000000"/>
        </w:rPr>
        <w:t xml:space="preserve">INDEX</w:t>
      </w:r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31" w:name="MANUAL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0" w:name="MANUAL-sec2.1"/>
    <w:p>
      <w:pPr>
        <w:pStyle w:val="Heading2"/>
        <w:numPr>
          <w:ilvl w:val="1"/>
          <w:numId w:val="100"/>
        </w:numPr>
      </w:pPr>
      <w:r>
        <w:t xml:space="preserve">What is SpecCompiler?</w:t>
      </w:r>
    </w:p>
    <w:p>
      <w:pPr>
        <w:pStyle w:val="FirstParagraph"/>
      </w:pPr>
      <w:r>
        <w:t xml:space="preserve">SpecCompiler is a document processing pipeline that transforms structured Markdown specifications into multiple output formats (DOCX, HTML5). It provides: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Structured authoring</w:t>
      </w:r>
      <w:r>
        <w:t xml:space="preserve">: Define requirements, designs, and verification cases using a consistent syntax.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Traceability</w:t>
      </w:r>
      <w:r>
        <w:t xml:space="preserve">: Link objects together with Project Identifier (PID) and</w:t>
      </w:r>
      <w:r>
        <w:t xml:space="preserve"> </w:t>
      </w:r>
      <w:r>
        <w:rPr>
          <w:rStyle w:val="VerbatimChar"/>
        </w:rPr>
        <w:t xml:space="preserve">#label</w:t>
      </w:r>
      <w:r>
        <w:t xml:space="preserve"> </w:t>
      </w: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</w:t>
      </w:r>
      <w:r>
        <w:t xml:space="preserve">: Automatically verify data integrity through proof views backed by Structured Query Language (SQL) queries against the Specification Intermediate Representation (SpecIR).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Multi-format output</w:t>
      </w:r>
      <w:r>
        <w:t xml:space="preserve">: Generate Word documents and web content from a single source.</w:t>
      </w:r>
    </w:p>
    <w:p>
      <w:pPr>
        <w:pStyle w:val="FirstParagraph"/>
      </w:pPr>
      <w:r>
        <w:t xml:space="preserve">SpecCompiler processes documents through a five-phase pipeline: INITIALIZE, ANALYZE, TRANSFORM, VERIFY, and EMIT, as illustrated in</w:t>
      </w:r>
      <w:r>
        <w:t xml:space="preserve"> </w:t>
      </w:r>
      <w:hyperlink w:anchor="puml-diag-pipeline">
        <w:r>
          <w:rPr>
            <w:rStyle w:val="Hyperlink"/>
          </w:rPr>
          <w:t xml:space="preserve">Figure 1</w:t>
        </w:r>
      </w:hyperlink>
      <w:r>
        <w:t xml:space="preserve">.</w:t>
      </w:r>
    </w:p>
    <w:bookmarkEnd w:id="20"/>
    <w:bookmarkStart w:id="22" w:name="MANUAL-sec2.2"/>
    <w:p>
      <w:pPr>
        <w:pStyle w:val="Heading2"/>
        <w:numPr>
          <w:ilvl w:val="1"/>
          <w:numId w:val="100"/>
        </w:numPr>
      </w:pPr>
      <w:r>
        <w:t xml:space="preserve">Scope</w:t>
      </w:r>
    </w:p>
    <w:p>
      <w:pPr>
        <w:pStyle w:val="FirstParagraph"/>
      </w:pPr>
      <w:r>
        <w:t xml:space="preserve">This manual covers:</w:t>
      </w:r>
    </w:p>
    <w:p>
      <w:pPr>
        <w:pStyle w:val="Compact"/>
        <w:numPr>
          <w:ilvl w:val="0"/>
          <w:numId w:val="1002"/>
        </w:numPr>
      </w:pPr>
      <w:r>
        <w:t xml:space="preserve">Installation and verification of the SpecCompiler-Core Docker image (see</w:t>
      </w:r>
      <w:r>
        <w:t xml:space="preserve"> </w:t>
      </w:r>
      <w:hyperlink w:anchor="MANUAL-sec2">
        <w:r>
          <w:rPr>
            <w:rStyle w:val="Hyperlink"/>
          </w:rPr>
          <w:t xml:space="preserve">Introduction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Configuration of project files (</w:t>
      </w:r>
      <w:r>
        <w:rPr>
          <w:rStyle w:val="VerbatimChar"/>
        </w:rPr>
        <w:t xml:space="preserve">project.yaml</w:t>
      </w:r>
      <w:r>
        <w:t xml:space="preserve">) as described in</w:t>
      </w:r>
      <w:r>
        <w:t xml:space="preserve"> </w:t>
      </w:r>
      <w:hyperlink w:anchor="MANUAL-sec4">
        <w:r>
          <w:rPr>
            <w:rStyle w:val="Hyperlink"/>
          </w:rPr>
          <w:t xml:space="preserve">Project Configuration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Authoring specification documents using the SpecCompiler Markdown syntax (</w:t>
      </w:r>
      <w:hyperlink w:anchor="MANUAL-sec4">
        <w:r>
          <w:rPr>
            <w:rStyle w:val="Hyperlink"/>
          </w:rPr>
          <w:t xml:space="preserve">Project Configuration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Invocation of the tool and interpretation of its outputs (</w:t>
      </w:r>
      <w:hyperlink w:anchor="MANUAL-sec7">
        <w:r>
          <w:rPr>
            <w:rStyle w:val="Hyperlink"/>
          </w:rPr>
          <w:t xml:space="preserve">Invocation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Verification diagnostics and error code reference.</w:t>
      </w:r>
    </w:p>
    <w:p>
      <w:pPr>
        <w:pStyle w:val="Compact"/>
        <w:numPr>
          <w:ilvl w:val="0"/>
          <w:numId w:val="1002"/>
        </w:numPr>
      </w:pPr>
      <w:r>
        <w:t xml:space="preserve">Incremental build behavior and cache management.</w:t>
      </w:r>
    </w:p>
    <w:p>
      <w:pPr>
        <w:pStyle w:val="Compact"/>
        <w:numPr>
          <w:ilvl w:val="0"/>
          <w:numId w:val="1002"/>
        </w:numPr>
      </w:pPr>
      <w:r>
        <w:t xml:space="preserve">Type system configuration and custom model creation; for a detailed walkthrough, see</w:t>
      </w:r>
      <w:r>
        <w:t xml:space="preserve"> </w:t>
      </w:r>
      <w:hyperlink r:id="rId21">
        <w:r>
          <w:rPr>
            <w:rStyle w:val="Hyperlink"/>
          </w:rPr>
          <w:t xml:space="preserve">creating-a-model: Model Directory Layout</w:t>
        </w:r>
      </w:hyperlink>
      <w:r>
        <w:t xml:space="preserve"> </w:t>
      </w:r>
      <w:r>
        <w:t xml:space="preserve">in the companion model guide.</w:t>
      </w:r>
    </w:p>
    <w:p>
      <w:pPr>
        <w:pStyle w:val="Compact"/>
        <w:numPr>
          <w:ilvl w:val="0"/>
          <w:numId w:val="1002"/>
        </w:numPr>
      </w:pPr>
      <w:r>
        <w:t xml:space="preserve">Troubleshooting common problems.</w:t>
      </w:r>
    </w:p>
    <w:bookmarkEnd w:id="22"/>
    <w:bookmarkStart w:id="30" w:name="MANUAL-sec2.3"/>
    <w:p>
      <w:pPr>
        <w:pStyle w:val="Heading2"/>
        <w:numPr>
          <w:ilvl w:val="1"/>
          <w:numId w:val="100"/>
        </w:numPr>
      </w:pPr>
      <w:r>
        <w:t xml:space="preserve">Pipeline Summary</w:t>
      </w:r>
    </w:p>
    <w:p>
      <w:pPr>
        <w:pStyle w:val="FirstParagraph"/>
      </w:pPr>
      <w:r>
        <w:t xml:space="preserve">The processing pipeline consists of five phases: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INITIALIZE</w:t>
      </w:r>
      <w:r>
        <w:t xml:space="preserve"> </w:t>
      </w:r>
      <w:r>
        <w:t xml:space="preserve">– Parse Markdown input via Pandoc Abstract Syntax Tree (AST), extract specifications, spec objects, attributes, floats, relations, and views into the SpecIR stored in SQLite Database (SQLite).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ANALYZE</w:t>
      </w:r>
      <w:r>
        <w:t xml:space="preserve"> </w:t>
      </w:r>
      <w:r>
        <w:t xml:space="preserve">– Resolve relation types and cross-references using specificity-based inference rules (see</w:t>
      </w:r>
      <w:r>
        <w:t xml:space="preserve"> </w:t>
      </w:r>
      <w:hyperlink w:anchor="math-eq-specificity">
        <w:r>
          <w:rPr>
            <w:rStyle w:val="Hyperlink"/>
          </w:rPr>
          <w:t xml:space="preserve">Equation 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TRANSFORM</w:t>
      </w:r>
      <w:r>
        <w:t xml:space="preserve"> </w:t>
      </w:r>
      <w:r>
        <w:t xml:space="preserve">– Resolve floats (render PlantUML, charts, tables), materialize views, rewrite links, and render spec objects using type-specific handlers.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VERIFY</w:t>
      </w:r>
      <w:r>
        <w:t xml:space="preserve"> </w:t>
      </w:r>
      <w:r>
        <w:t xml:space="preserve">– Execute proof views (SQL queries) against the SpecIR database to detect constraint violations; see</w:t>
      </w:r>
      <w:r>
        <w:t xml:space="preserve"> </w:t>
      </w:r>
      <w:hyperlink r:id="rId23">
        <w:r>
          <w:rPr>
            <w:rStyle w:val="Hyperlink"/>
          </w:rPr>
          <w:t xml:space="preserve">creating-a-model: Validation Proofs</w:t>
        </w:r>
      </w:hyperlink>
      <w:r>
        <w:t xml:space="preserve"> </w:t>
      </w:r>
      <w:r>
        <w:t xml:space="preserve">in the model guide.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EMIT</w:t>
      </w:r>
      <w:r>
        <w:t xml:space="preserve"> </w:t>
      </w:r>
      <w:r>
        <w:t xml:space="preserve">– Assemble Pandoc documents from the SpecIR and generate output files in configured formats via parallel Pandoc subprocess invocations.</w:t>
      </w:r>
    </w:p>
    <w:bookmarkStart w:id="78556" w:name="puml-diag-pipeline"/>
    <w:p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Processing Pipeline</w:t>
      </w:r>
    </w:p>
    <w:p>
      <w:pPr>
        <w:pStyle w:val="FirstParagraph"/>
        <w:jc w:val="center"/>
      </w:pPr>
      <w:r>
        <w:drawing>
          <wp:inline>
            <wp:extent cx="5334000" cy="95155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iagrams/a64bd635eda9e687b01234986a60c1c29e4bbad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1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556"/>
    <w:bookmarkStart w:id="92874" w:name="echarts-chart-pipeline-ops"/>
    <w:p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Operations per Pipeline Phase</w:t>
      </w:r>
    </w:p>
    <w:p>
      <w:pPr>
        <w:pStyle w:val="BodyText"/>
        <w:jc w:val="center"/>
      </w:pPr>
      <w:r>
        <w:drawing>
          <wp:inline>
            <wp:extent cx="5334000" cy="3556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harts/901294d6a5a8829ba39dbcdf09ce790ba5ae8fb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874"/>
    <w:p>
      <w:pPr>
        <w:pStyle w:val="BodyText"/>
      </w:pPr>
      <w:r>
        <w:t xml:space="preserve">The handler counts shown in</w:t>
      </w:r>
      <w:r>
        <w:t xml:space="preserve"> </w:t>
      </w:r>
      <w:hyperlink w:anchor="echarts-chart-pipeline-ops">
        <w:r>
          <w:rPr>
            <w:rStyle w:val="Hyperlink"/>
          </w:rPr>
          <w:t xml:space="preserve">Figure 2</w:t>
        </w:r>
      </w:hyperlink>
      <w:r>
        <w:t xml:space="preserve"> </w:t>
      </w:r>
      <w:r>
        <w:t xml:space="preserve">reflect the default model. Custom models may add handlers in any phase.</w:t>
      </w:r>
    </w:p>
    <w:bookmarkEnd w:id="30"/>
    <w:bookmarkEnd w:id="31"/>
    <w:bookmarkStart w:id="36" w:name="MANUAL-sec3"/>
    <w:p>
      <w:pPr>
        <w:pStyle w:val="Heading1"/>
        <w:numPr>
          <w:ilvl w:val="0"/>
          <w:numId w:val="100"/>
        </w:numPr>
      </w:pPr>
      <w:r>
        <w:t xml:space="preserve">Installation</w:t>
      </w:r>
    </w:p>
    <w:bookmarkStart w:id="32" w:name="MANUAL-sec3.1"/>
    <w:p>
      <w:pPr>
        <w:pStyle w:val="Heading2"/>
        <w:numPr>
          <w:ilvl w:val="1"/>
          <w:numId w:val="100"/>
        </w:numPr>
      </w:pPr>
      <w:r>
        <w:t xml:space="preserve">Prerequisites</w:t>
      </w:r>
    </w:p>
    <w:p>
      <w:pPr>
        <w:pStyle w:val="FirstParagraph"/>
      </w:pPr>
      <w:r>
        <w:t xml:space="preserve">The following are required to run SpecCompiler-Core:</w:t>
      </w:r>
    </w:p>
    <w:bookmarkStart w:id="54024" w:name="csv-tbl-prerequisite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Runtime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Prerequisite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Minimum Version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Docker runtime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20.10+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Docker Desktop or Docker Engine (daemon must be running)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Disk space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For the Docker image and build artifacts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Host OS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Linux, macOS, or Windows (with WSL2)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The container runs Debian Bookworm (slim)</w:t>
            </w:r>
          </w:p>
        </w:tc>
      </w:tr>
    </w:tbl>
    <w:bookmarkEnd w:id="54024"/>
    <w:p>
      <w:pPr>
        <w:pStyle w:val="BodyText"/>
      </w:pPr>
      <w:r>
        <w:t xml:space="preserve">All dependency versions are pinned in</w:t>
      </w:r>
      <w:r>
        <w:t xml:space="preserve"> </w:t>
      </w:r>
      <w:r>
        <w:rPr>
          <w:rStyle w:val="VerbatimChar"/>
        </w:rPr>
        <w:t xml:space="preserve">scripts/versions.env</w:t>
      </w:r>
      <w:r>
        <w:t xml:space="preserve">.</w:t>
      </w:r>
    </w:p>
    <w:bookmarkEnd w:id="32"/>
    <w:bookmarkStart w:id="33" w:name="MANUAL-sec3.2"/>
    <w:p>
      <w:pPr>
        <w:pStyle w:val="Heading2"/>
        <w:numPr>
          <w:ilvl w:val="1"/>
          <w:numId w:val="100"/>
        </w:numPr>
      </w:pPr>
      <w:r>
        <w:t xml:space="preserve">Building the Image</w:t>
      </w:r>
    </w:p>
    <w:p>
      <w:pPr>
        <w:pStyle w:val="FirstParagraph"/>
      </w:pPr>
      <w:r>
        <w:t xml:space="preserve">Run the Docker installer from the repository root:</w:t>
      </w:r>
    </w:p>
    <w:bookmarkStart w:id="25099" w:name="listing-src-build-imag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Build and install via Docker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bookmarkEnd w:id="25099"/>
    <w:p>
      <w:pPr>
        <w:pStyle w:val="FirstParagraph"/>
      </w:pPr>
      <w:r>
        <w:t xml:space="preserve">This performs three steps: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Docker build</w:t>
      </w:r>
      <w:r>
        <w:t xml:space="preserve"> </w:t>
      </w:r>
      <w:r>
        <w:t xml:space="preserve">– Executes a multi-stage Docker build: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Toolchain</w:t>
      </w:r>
      <w:r>
        <w:t xml:space="preserve"> </w:t>
      </w:r>
      <w:r>
        <w:t xml:space="preserve">– Compiles Lua, Pandoc (with GHC), and native Lua extensions (luv, lsqlite3, zip) from source. Builds Deno TypeScript utilities. Downloads and wraps PlantUML with a minimal JRE. This stage is cached and only rebuilt when</w:t>
      </w:r>
      <w:r>
        <w:t xml:space="preserve"> </w:t>
      </w:r>
      <w:r>
        <w:rPr>
          <w:rStyle w:val="VerbatimChar"/>
        </w:rPr>
        <w:t xml:space="preserve">scripts/versions.env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scripts/build.sh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src/tools/</w:t>
      </w:r>
      <w:r>
        <w:t xml:space="preserve"> </w:t>
      </w:r>
      <w:r>
        <w:t xml:space="preserve">change.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Runtime-base</w:t>
      </w:r>
      <w:r>
        <w:t xml:space="preserve"> </w:t>
      </w:r>
      <w:r>
        <w:t xml:space="preserve">– Copies only runtime artifacts into a lean Debian Bookworm image without build tools. Installs runtime dependencies (Python/reqif, graphviz, lcov). This is the stable base for code-only updates.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– Overlays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onto runtime-base to produce the final image.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Wrapper generation</w:t>
      </w:r>
      <w:r>
        <w:t xml:space="preserve"> </w:t>
      </w:r>
      <w:r>
        <w:t xml:space="preserve">– Creates a</w:t>
      </w:r>
      <w:r>
        <w:t xml:space="preserve"> </w:t>
      </w:r>
      <w:r>
        <w:rPr>
          <w:rStyle w:val="VerbatimChar"/>
        </w:rPr>
        <w:t xml:space="preserve">specc</w:t>
      </w:r>
      <w:r>
        <w:t xml:space="preserve"> </w:t>
      </w:r>
      <w:r>
        <w:t xml:space="preserve">Command-Line Interface (CLI) command at</w:t>
      </w:r>
      <w:r>
        <w:t xml:space="preserve"> </w:t>
      </w:r>
      <w:r>
        <w:rPr>
          <w:rStyle w:val="VerbatimChar"/>
        </w:rPr>
        <w:t xml:space="preserve">~/.local/bin/specc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</w:t>
      </w:r>
      <w:r>
        <w:t xml:space="preserve"> </w:t>
      </w:r>
      <w:r>
        <w:t xml:space="preserve">– Writes the image reference to</w:t>
      </w:r>
      <w:r>
        <w:t xml:space="preserve"> </w:t>
      </w:r>
      <w:r>
        <w:rPr>
          <w:rStyle w:val="VerbatimChar"/>
        </w:rPr>
        <w:t xml:space="preserve">~/.config/speccompiler/env</w:t>
      </w:r>
      <w:r>
        <w:t xml:space="preserve">.</w:t>
      </w:r>
    </w:p>
    <w:p>
      <w:pPr>
        <w:pStyle w:val="FirstParagraph"/>
      </w:pPr>
      <w:r>
        <w:t xml:space="preserve">The installer supports three modes: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scripts/install.sh</w:t>
      </w:r>
      <w:r>
        <w:t xml:space="preserve">) – Builds the full image if not present.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scripts/install.sh --force</w:t>
      </w:r>
      <w:r>
        <w:t xml:space="preserve">) – Rebuilds everything from scratch, including the toolchain.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scripts/install.sh --code-only</w:t>
      </w:r>
      <w:r>
        <w:t xml:space="preserve">) – Updates only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 </w:t>
      </w:r>
      <w:r>
        <w:t xml:space="preserve">layers without recompiling the toolchain. Always builds from the stable</w:t>
      </w:r>
      <w:r>
        <w:t xml:space="preserve"> </w:t>
      </w:r>
      <w:r>
        <w:rPr>
          <w:rStyle w:val="VerbatimChar"/>
        </w:rPr>
        <w:t xml:space="preserve">runtime-base</w:t>
      </w:r>
      <w:r>
        <w:t xml:space="preserve"> </w:t>
      </w:r>
      <w:r>
        <w:t xml:space="preserve">image, preventing Docker layer accumulation. Dangling images from previous builds are automatically pruned.</w:t>
      </w:r>
    </w:p>
    <w:bookmarkEnd w:id="33"/>
    <w:bookmarkStart w:id="34" w:name="MANUAL-sec3.3"/>
    <w:p>
      <w:pPr>
        <w:pStyle w:val="Heading2"/>
        <w:numPr>
          <w:ilvl w:val="1"/>
          <w:numId w:val="100"/>
        </w:numPr>
      </w:pPr>
      <w:r>
        <w:t xml:space="preserve">Verifying Installation</w:t>
      </w:r>
    </w:p>
    <w:p>
      <w:pPr>
        <w:pStyle w:val="FirstParagraph"/>
      </w:pPr>
      <w:r>
        <w:t xml:space="preserve">After building, verify the image is available:</w:t>
      </w:r>
    </w:p>
    <w:bookmarkStart w:id="32282" w:name="listing-src-verify-imag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Verify Docker image availability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images speccompiler-core</w:t>
      </w:r>
    </w:p>
    <w:bookmarkEnd w:id="32282"/>
    <w:p>
      <w:pPr>
        <w:pStyle w:val="FirstParagraph"/>
      </w:pPr>
      <w:r>
        <w:t xml:space="preserve">To verify the tool runs correctly, navigate to a directory containing a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file and run:</w:t>
      </w:r>
    </w:p>
    <w:bookmarkStart w:id="13056" w:name="listing-src-run-wrapper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Run wrapper command</w:t>
      </w:r>
    </w:p>
    <w:p>
      <w:pPr>
        <w:pStyle w:val="SourceCode"/>
      </w:pPr>
      <w:r>
        <w:rPr>
          <w:rStyle w:val="ExtensionTok"/>
        </w:rPr>
        <w:t xml:space="preserve">specc</w:t>
      </w:r>
      <w:r>
        <w:rPr>
          <w:rStyle w:val="NormalTok"/>
        </w:rPr>
        <w:t xml:space="preserve"> build</w:t>
      </w:r>
    </w:p>
    <w:bookmarkEnd w:id="13056"/>
    <w:bookmarkEnd w:id="34"/>
    <w:bookmarkStart w:id="35" w:name="MANUAL-sec3.4"/>
    <w:p>
      <w:pPr>
        <w:pStyle w:val="Heading2"/>
        <w:numPr>
          <w:ilvl w:val="1"/>
          <w:numId w:val="100"/>
        </w:numPr>
      </w:pPr>
      <w:r>
        <w:t xml:space="preserve">The specc Wrapper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specc</w:t>
      </w:r>
      <w:r>
        <w:t xml:space="preserve"> </w:t>
      </w:r>
      <w:r>
        <w:t xml:space="preserve">command is a Docker wrapper generated by the installer. It supports three subcommands:</w:t>
      </w:r>
    </w:p>
    <w:bookmarkStart w:id="47129" w:name="csv-tbl-wrapper-command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Wrapper subcommands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Command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 build [project.yaml]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Build the project (default file:</w:t>
            </w:r>
            <w:r>
              <w:t xml:space="preserve"> </w:t>
            </w:r>
            <w:r>
              <w:rPr>
                <w:rStyle w:val="VerbatimChar"/>
              </w:rPr>
              <w:t xml:space="preserve">project.yaml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 clean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Remove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directory and</w:t>
            </w:r>
            <w:r>
              <w:t xml:space="preserve"> </w:t>
            </w:r>
            <w:r>
              <w:rPr>
                <w:rStyle w:val="VerbatimChar"/>
              </w:rPr>
              <w:t xml:space="preserve">specir.db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 shell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Open an interactive Bash shell inside the container</w:t>
            </w:r>
          </w:p>
        </w:tc>
      </w:tr>
    </w:tbl>
    <w:bookmarkEnd w:id="47129"/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subcommand runs</w:t>
      </w:r>
      <w:r>
        <w:t xml:space="preserve"> </w:t>
      </w:r>
      <w:r>
        <w:rPr>
          <w:rStyle w:val="VerbatimChar"/>
        </w:rPr>
        <w:t xml:space="preserve">docker run --rm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--user "$(id -u):$(id -g)"</w:t>
      </w:r>
      <w:r>
        <w:t xml:space="preserve"> </w:t>
      </w:r>
      <w:r>
        <w:t xml:space="preserve">– Preserves host UID/GID.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-v "$(pwd):/workspace"</w:t>
      </w:r>
      <w:r>
        <w:t xml:space="preserve"> </w:t>
      </w:r>
      <w:r>
        <w:t xml:space="preserve">– Mounts current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 "SPECCOMPILER_HOME=/opt/speccompiler"</w:t>
      </w:r>
      <w:r>
        <w:t xml:space="preserve"> </w:t>
      </w:r>
      <w:r>
        <w:t xml:space="preserve">– Sets installation root.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 "SPECCOMPILER_DIST=/opt/speccompiler"</w:t>
      </w:r>
      <w:r>
        <w:t xml:space="preserve"> </w:t>
      </w:r>
      <w:r>
        <w:t xml:space="preserve">– Sets distribution root.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 "SPECCOMPILER_LOG_LEVEL=${SPECCOMPILER_LOG_LEVEL:-INFO}"</w:t>
      </w:r>
      <w:r>
        <w:t xml:space="preserve"> </w:t>
      </w:r>
      <w:r>
        <w:t xml:space="preserve">– Passes log level.</w:t>
      </w:r>
    </w:p>
    <w:p>
      <w:pPr>
        <w:pStyle w:val="FirstParagraph"/>
      </w:pPr>
      <w:r>
        <w:t xml:space="preserve">Inside the container, the</w:t>
      </w:r>
      <w:r>
        <w:t xml:space="preserve"> </w:t>
      </w:r>
      <w:r>
        <w:rPr>
          <w:rStyle w:val="VerbatimChar"/>
        </w:rPr>
        <w:t xml:space="preserve">speccompiler-core</w:t>
      </w:r>
      <w:r>
        <w:t xml:space="preserve"> </w:t>
      </w:r>
      <w:r>
        <w:t xml:space="preserve">entry point invokes Pandoc with the SpecCompiler Lua filter. The</w:t>
      </w:r>
      <w:r>
        <w:t xml:space="preserve"> </w:t>
      </w:r>
      <w:r>
        <w:rPr>
          <w:rStyle w:val="VerbatimChar"/>
        </w:rPr>
        <w:t xml:space="preserve">-o /dev/null</w:t>
      </w:r>
      <w:r>
        <w:t xml:space="preserve"> </w:t>
      </w:r>
      <w:r>
        <w:t xml:space="preserve">Pandoc flag is intentional – actual output files are generated by the EMIT phase.</w:t>
      </w:r>
    </w:p>
    <w:bookmarkEnd w:id="35"/>
    <w:bookmarkEnd w:id="36"/>
    <w:bookmarkStart w:id="40" w:name="MANUAL-sec4"/>
    <w:p>
      <w:pPr>
        <w:pStyle w:val="Heading1"/>
        <w:numPr>
          <w:ilvl w:val="0"/>
          <w:numId w:val="100"/>
        </w:numPr>
      </w:pPr>
      <w:r>
        <w:t xml:space="preserve">Project Configuration</w:t>
      </w:r>
    </w:p>
    <w:p>
      <w:pPr>
        <w:pStyle w:val="FirstParagraph"/>
      </w:pPr>
      <w:r>
        <w:t xml:space="preserve">All project configuration is specified in a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file located in the project root directory.</w:t>
      </w:r>
    </w:p>
    <w:bookmarkStart w:id="37" w:name="MANUAL-sec4.1"/>
    <w:p>
      <w:pPr>
        <w:pStyle w:val="Heading2"/>
        <w:numPr>
          <w:ilvl w:val="1"/>
          <w:numId w:val="100"/>
        </w:numPr>
      </w:pPr>
      <w:r>
        <w:t xml:space="preserve">Complete Configuration Reference</w:t>
      </w:r>
    </w:p>
    <w:bookmarkStart w:id="30190" w:name="listing-src-project-yaml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project.yaml reference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Project Identification (REQUIRED)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MYPROJ</w:t>
      </w:r>
      <w:r>
        <w:rPr>
          <w:rStyle w:val="CommentTok"/>
        </w:rPr>
        <w:t xml:space="preserve">          # Project code identifier (string, required)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Project SRS</w:t>
      </w:r>
      <w:r>
        <w:rPr>
          <w:rStyle w:val="CommentTok"/>
        </w:rPr>
        <w:t xml:space="preserve">  # Human-readable project name (string, required)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Type Model (REQUIRED)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   # Type model name (string, default: "default")</w:t>
      </w:r>
      <w:r>
        <w:br/>
      </w:r>
      <w:r>
        <w:rPr>
          <w:rStyle w:val="CommentTok"/>
        </w:rPr>
        <w:t xml:space="preserve">                         # Must match a directory under models/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Logging Configuration (OPTIONAL)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logging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info</w:t>
      </w:r>
      <w:r>
        <w:rPr>
          <w:rStyle w:val="CommentTok"/>
        </w:rPr>
        <w:t xml:space="preserve">            # DEBUG | INFO | WARN | ERROR (default: "INFO")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# auto | json | text (default: "auto")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color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ANSI color codes (default: true)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Validation Policy (OPTIONAL)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missing_required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cardinality_over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invalid_cast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invalid_enum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invalid_date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bounds_violation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dangling_relation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unresolved_relation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Input Files (REQUIRED)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output_dir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</w:t>
      </w:r>
      <w:r>
        <w:rPr>
          <w:rStyle w:val="CommentTok"/>
        </w:rPr>
        <w:t xml:space="preserve">       # Base output directory (default: "build")</w:t>
      </w:r>
      <w:r>
        <w:br/>
      </w:r>
      <w:r>
        <w:br/>
      </w:r>
      <w:r>
        <w:rPr>
          <w:rStyle w:val="FunctionTok"/>
        </w:rPr>
        <w:t xml:space="preserve">doc_files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# Markdown files to process, in order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srs.md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sdd.md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Output Format Configurations (OPTIONAL)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outputs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build/docx/{spec_id}.docx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html5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build/www/{spec_id}.html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DOCX Configuration (OPTIONAL)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preset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rPr>
          <w:rStyle w:val="CommentTok"/>
        </w:rPr>
        <w:t xml:space="preserve">           # Style preset name (models/{template}/presets/)</w:t>
      </w:r>
      <w:r>
        <w:br/>
      </w:r>
      <w:r>
        <w:rPr>
          <w:rStyle w:val="CommentTok"/>
        </w:rPr>
        <w:t xml:space="preserve">  # reference_doc: assets/reference.docx  # Custom Word reference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HTML5 Configuration (OPTIONAL)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html5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number_sections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table_of_contents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toc_depth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standalone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embed_resources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resource_path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CommentTok"/>
        </w:rPr>
        <w:t xml:space="preserve"># Bibliography and Citations (OPTIONAL)</w:t>
      </w:r>
      <w:r>
        <w:br/>
      </w:r>
      <w:r>
        <w:rPr>
          <w:rStyle w:val="CommentTok"/>
        </w:rPr>
        <w:t xml:space="preserve"># ============================================================================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ieee.csl</w:t>
      </w:r>
    </w:p>
    <w:bookmarkEnd w:id="30190"/>
    <w:bookmarkEnd w:id="37"/>
    <w:bookmarkStart w:id="38" w:name="MANUAL-sec4.2"/>
    <w:p>
      <w:pPr>
        <w:pStyle w:val="Heading2"/>
        <w:numPr>
          <w:ilvl w:val="1"/>
          <w:numId w:val="100"/>
        </w:numPr>
      </w:pPr>
      <w:r>
        <w:t xml:space="preserve">Required Fields</w:t>
      </w:r>
    </w:p>
    <w:bookmarkStart w:id="21586" w:name="csv-tbl-required-field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Required project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project.code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Project code identifier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project.name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Human-readable project name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doc_files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One or more Markdown file paths to process</w:t>
            </w:r>
          </w:p>
        </w:tc>
      </w:tr>
    </w:tbl>
    <w:bookmarkEnd w:id="21586"/>
    <w:bookmarkEnd w:id="38"/>
    <w:bookmarkStart w:id="39" w:name="MANUAL-sec4.3"/>
    <w:p>
      <w:pPr>
        <w:pStyle w:val="Heading2"/>
        <w:numPr>
          <w:ilvl w:val="1"/>
          <w:numId w:val="100"/>
        </w:numPr>
      </w:pPr>
      <w:r>
        <w:t xml:space="preserve">Default Values</w:t>
      </w:r>
    </w:p>
    <w:bookmarkStart w:id="72517" w:name="csv-tbl-default-value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Default configuration values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template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Built-in base model is always loaded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Also stores</w:t>
            </w:r>
            <w:r>
              <w:t xml:space="preserve"> </w:t>
            </w:r>
            <w:r>
              <w:rPr>
                <w:rStyle w:val="VerbatimChar"/>
              </w:rPr>
              <w:t xml:space="preserve">specir.db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logging.level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Overridden by</w:t>
            </w:r>
            <w:r>
              <w:t xml:space="preserve"> </w:t>
            </w:r>
            <w:r>
              <w:rPr>
                <w:rStyle w:val="VerbatimChar"/>
              </w:rPr>
              <w:t xml:space="preserve">SPECCOMPILER_LOG_LEVEL</w:t>
            </w:r>
            <w:r>
              <w:t xml:space="preserve"> </w:t>
            </w:r>
            <w:r>
              <w:t xml:space="preserve">env var</w:t>
            </w:r>
          </w:p>
        </w:tc>
      </w:tr>
    </w:tbl>
    <w:bookmarkEnd w:id="72517"/>
    <w:bookmarkEnd w:id="39"/>
    <w:bookmarkEnd w:id="40"/>
    <w:bookmarkStart w:id="57" w:name="MANUAL-sec5"/>
    <w:p>
      <w:pPr>
        <w:pStyle w:val="Heading1"/>
        <w:numPr>
          <w:ilvl w:val="0"/>
          <w:numId w:val="100"/>
        </w:numPr>
      </w:pPr>
      <w:r>
        <w:t xml:space="preserve">Document Authoring</w:t>
      </w:r>
    </w:p>
    <w:p>
      <w:pPr>
        <w:pStyle w:val="FirstParagraph"/>
      </w:pPr>
      <w:r>
        <w:t xml:space="preserve">SpecCompiler extends standard Markdown with a structured overlay for specification documents. The syntax uses existing Markdown constructs (headers, blockquotes, code blocks, links) with specific patterns that the pipeline recognizes.</w:t>
      </w:r>
    </w:p>
    <w:bookmarkStart w:id="41" w:name="MANUAL-sec5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Level 1 headers declare the top-level document container.</w:t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rPr>
          <w:rStyle w:val="VerbatimChar"/>
        </w:rPr>
        <w:t xml:space="preserve"># type: Title @PID</w:t>
      </w:r>
    </w:p>
    <w:bookmarkStart w:id="78709" w:name="listing-src-specification-pattern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Specification declaration</w:t>
      </w:r>
    </w:p>
    <w:p>
      <w:pPr>
        <w:pStyle w:val="SourceCode"/>
      </w:pPr>
      <w:r>
        <w:rPr>
          <w:rStyle w:val="FunctionTok"/>
        </w:rPr>
        <w:t xml:space="preserve"># srs: Software Requirements Specification @SRS-001</w:t>
      </w:r>
    </w:p>
    <w:bookmarkEnd w:id="78709"/>
    <w:bookmarkEnd w:id="41"/>
    <w:bookmarkStart w:id="42" w:name="MANUAL-sec5.2"/>
    <w:p>
      <w:pPr>
        <w:pStyle w:val="Heading2"/>
        <w:numPr>
          <w:ilvl w:val="1"/>
          <w:numId w:val="100"/>
        </w:numPr>
      </w:pPr>
      <w:r>
        <w:t xml:space="preserve">Spec Objects</w:t>
      </w:r>
    </w:p>
    <w:p>
      <w:pPr>
        <w:pStyle w:val="FirstParagraph"/>
      </w:pPr>
      <w:r>
        <w:t xml:space="preserve">Level 2-6 headers declare requirements, design elements, sections, or any typed element.</w:t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rPr>
          <w:rStyle w:val="VerbatimChar"/>
        </w:rPr>
        <w:t xml:space="preserve">## type: Title @PID</w:t>
      </w:r>
    </w:p>
    <w:bookmarkStart w:id="57333" w:name="listing-src-object-pattern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Spec object declaration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rPr>
          <w:rStyle w:val="FunctionTok"/>
        </w:rPr>
        <w:t xml:space="preserve">### llr: Password Validation @LLR-001</w:t>
      </w:r>
      <w:r>
        <w:br/>
      </w:r>
      <w:r>
        <w:rPr>
          <w:rStyle w:val="FunctionTok"/>
        </w:rPr>
        <w:t xml:space="preserve">#### section: Implementation Notes</w:t>
      </w:r>
    </w:p>
    <w:bookmarkEnd w:id="57333"/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@PID</w:t>
      </w:r>
      <w:r>
        <w:t xml:space="preserve"> </w:t>
      </w:r>
      <w:r>
        <w:t xml:space="preserve">is omitted, a PID is auto-generated using the type’s</w:t>
      </w:r>
      <w:r>
        <w:t xml:space="preserve"> </w:t>
      </w:r>
      <w:r>
        <w:rPr>
          <w:rStyle w:val="VerbatimChar"/>
        </w:rPr>
        <w:t xml:space="preserve">pid_prefix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pid_format</w:t>
      </w:r>
      <w:r>
        <w:t xml:space="preserve">.</w:t>
      </w:r>
    </w:p>
    <w:bookmarkEnd w:id="42"/>
    <w:bookmarkStart w:id="43" w:name="MANUAL-sec5.3"/>
    <w:p>
      <w:pPr>
        <w:pStyle w:val="Heading2"/>
        <w:numPr>
          <w:ilvl w:val="1"/>
          <w:numId w:val="100"/>
        </w:numPr>
      </w:pPr>
      <w:r>
        <w:t xml:space="preserve">Attributes</w:t>
      </w:r>
    </w:p>
    <w:p>
      <w:pPr>
        <w:pStyle w:val="FirstParagraph"/>
      </w:pPr>
      <w:r>
        <w:t xml:space="preserve">Blockquotes declare attributes using the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 </w:t>
      </w:r>
      <w:r>
        <w:t xml:space="preserve">pattern. They belong to the most recently opened Specification or SpecObject header and do not need to appear immediately after it:</w:t>
      </w:r>
    </w:p>
    <w:bookmarkStart w:id="89902" w:name="listing-src-attribute-pattern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Attribute declaration</w:t>
      </w:r>
    </w:p>
    <w:p>
      <w:pPr>
        <w:pStyle w:val="SourceCode"/>
      </w:pPr>
      <w:r>
        <w:rPr>
          <w:rStyle w:val="FunctionTok"/>
        </w:rPr>
        <w:t xml:space="preserve">## hlr: User Authentication @HLR-001</w:t>
      </w:r>
      <w:r>
        <w:br/>
      </w:r>
      <w:r>
        <w:br/>
      </w:r>
      <w:r>
        <w:rPr>
          <w:rStyle w:val="AttributeTok"/>
        </w:rPr>
        <w:t xml:space="preserve">&gt; priority: High</w:t>
      </w:r>
      <w:r>
        <w:br/>
      </w:r>
      <w:r>
        <w:br/>
      </w:r>
      <w:r>
        <w:rPr>
          <w:rStyle w:val="AttributeTok"/>
        </w:rPr>
        <w:t xml:space="preserve">&gt; status: Draft</w:t>
      </w:r>
      <w:r>
        <w:br/>
      </w:r>
      <w:r>
        <w:br/>
      </w:r>
      <w:r>
        <w:rPr>
          <w:rStyle w:val="AttributeTok"/>
        </w:rPr>
        <w:t xml:space="preserve">&gt; rationale: Required by security policy</w:t>
      </w:r>
    </w:p>
    <w:bookmarkEnd w:id="89902"/>
    <w:p>
      <w:pPr>
        <w:pStyle w:val="FirstParagraph"/>
      </w:pPr>
      <w:r>
        <w:t xml:space="preserve">Rules:</w:t>
      </w:r>
    </w:p>
    <w:p>
      <w:pPr>
        <w:pStyle w:val="Compact"/>
        <w:numPr>
          <w:ilvl w:val="0"/>
          <w:numId w:val="1008"/>
        </w:numPr>
      </w:pPr>
      <w:r>
        <w:t xml:space="preserve">Each attribute blockquote must be separated by a blank line.</w:t>
      </w:r>
    </w:p>
    <w:p>
      <w:pPr>
        <w:pStyle w:val="Compact"/>
        <w:numPr>
          <w:ilvl w:val="0"/>
          <w:numId w:val="1008"/>
        </w:numPr>
      </w:pPr>
      <w:r>
        <w:t xml:space="preserve">The first line must match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[A-Za-z0-9_]+</w:t>
      </w:r>
      <w:r>
        <w:t xml:space="preserve">). If not, the blockquote is treated as prose. The key does not need to be a registered attribute type; unregistered keys default to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datatype.</w:t>
      </w:r>
    </w:p>
    <w:p>
      <w:pPr>
        <w:pStyle w:val="Compact"/>
        <w:numPr>
          <w:ilvl w:val="0"/>
          <w:numId w:val="1008"/>
        </w:numPr>
      </w:pPr>
      <w:r>
        <w:t xml:space="preserve">Multi-line values are supported: continuation lines append to the preceding attribute.</w:t>
      </w:r>
    </w:p>
    <w:p>
      <w:pPr>
        <w:pStyle w:val="Compact"/>
        <w:numPr>
          <w:ilvl w:val="0"/>
          <w:numId w:val="1008"/>
        </w:numPr>
      </w:pPr>
      <w:r>
        <w:t xml:space="preserve">Supported datatypes: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REAL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(YYYY-MM-DD),</w:t>
      </w:r>
      <w:r>
        <w:t xml:space="preserve"> </w:t>
      </w:r>
      <w:r>
        <w:rPr>
          <w:rStyle w:val="VerbatimChar"/>
        </w:rPr>
        <w:t xml:space="preserve">ENUM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</w:t>
      </w:r>
      <w:r>
        <w:t xml:space="preserve">.</w:t>
      </w:r>
    </w:p>
    <w:bookmarkEnd w:id="43"/>
    <w:bookmarkStart w:id="51" w:name="MANUAL-sec5.4"/>
    <w:p>
      <w:pPr>
        <w:pStyle w:val="Heading2"/>
        <w:numPr>
          <w:ilvl w:val="1"/>
          <w:numId w:val="100"/>
        </w:numPr>
      </w:pPr>
      <w:r>
        <w:t xml:space="preserve">Floats</w:t>
      </w:r>
    </w:p>
    <w:p>
      <w:pPr>
        <w:pStyle w:val="FirstParagraph"/>
      </w:pPr>
      <w:r>
        <w:t xml:space="preserve">Fenced code blocks with a typed first class declare numbered elements.</w:t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rPr>
          <w:rStyle w:val="VerbatimChar"/>
        </w:rPr>
        <w:t xml:space="preserve">```type.lang:label{key="val"}</w:t>
      </w:r>
    </w:p>
    <w:bookmarkStart w:id="44" w:name="MANUAL-sec5.4.1"/>
    <w:p>
      <w:pPr>
        <w:pStyle w:val="Heading3"/>
        <w:numPr>
          <w:ilvl w:val="2"/>
          <w:numId w:val="100"/>
        </w:numPr>
      </w:pPr>
      <w:r>
        <w:t xml:space="preserve">PlantUML Diagram</w:t>
      </w:r>
    </w:p>
    <w:bookmarkStart w:id="55431" w:name="listing-src-plantuml-float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PlantUML float syntax</w:t>
      </w:r>
    </w:p>
    <w:p>
      <w:pPr>
        <w:pStyle w:val="SourceCode"/>
      </w:pPr>
      <w:r>
        <w:rPr>
          <w:rStyle w:val="InformationTok"/>
        </w:rPr>
        <w:t xml:space="preserve">```plantuml:diag-state{caption="State Machine"}</w:t>
      </w:r>
      <w:r>
        <w:br/>
      </w:r>
      <w:r>
        <w:rPr>
          <w:rStyle w:val="InformationTok"/>
        </w:rPr>
        <w:t xml:space="preserve">@startuml</w:t>
      </w:r>
      <w:r>
        <w:br/>
      </w:r>
      <w:r>
        <w:rPr>
          <w:rStyle w:val="InformationTok"/>
        </w:rPr>
        <w:t xml:space="preserve">[*] --&gt; Active</w:t>
      </w:r>
      <w:r>
        <w:br/>
      </w:r>
      <w:r>
        <w:rPr>
          <w:rStyle w:val="InformationTok"/>
        </w:rPr>
        <w:t xml:space="preserve">Active --&gt; Inactive</w:t>
      </w:r>
      <w:r>
        <w:br/>
      </w:r>
      <w:r>
        <w:rPr>
          <w:rStyle w:val="InformationTok"/>
        </w:rPr>
        <w:t xml:space="preserve">@enduml</w:t>
      </w:r>
      <w:r>
        <w:br/>
      </w:r>
      <w:r>
        <w:rPr>
          <w:rStyle w:val="InformationTok"/>
        </w:rPr>
        <w:t xml:space="preserve">```</w:t>
      </w:r>
    </w:p>
    <w:bookmarkEnd w:id="55431"/>
    <w:bookmarkEnd w:id="44"/>
    <w:bookmarkStart w:id="45" w:name="MANUAL-sec5.4.2"/>
    <w:p>
      <w:pPr>
        <w:pStyle w:val="Heading3"/>
        <w:numPr>
          <w:ilvl w:val="2"/>
          <w:numId w:val="100"/>
        </w:numPr>
      </w:pPr>
      <w:r>
        <w:t xml:space="preserve">Table</w:t>
      </w:r>
    </w:p>
    <w:bookmarkStart w:id="10374" w:name="listing-src-table-float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Table float syntax</w:t>
      </w:r>
    </w:p>
    <w:p>
      <w:pPr>
        <w:pStyle w:val="SourceCode"/>
      </w:pPr>
      <w:r>
        <w:rPr>
          <w:rStyle w:val="InformationTok"/>
        </w:rPr>
        <w:t xml:space="preserve">```list-table:tbl-interfaces{caption="External Interfaces"}</w:t>
      </w:r>
      <w:r>
        <w:br/>
      </w:r>
      <w:r>
        <w:rPr>
          <w:rStyle w:val="InformationTok"/>
        </w:rPr>
        <w:t xml:space="preserve">&gt; header-rows: 1</w:t>
      </w:r>
      <w:r>
        <w:br/>
      </w:r>
      <w:r>
        <w:rPr>
          <w:rStyle w:val="InformationTok"/>
        </w:rPr>
        <w:t xml:space="preserve">&gt; aligns: l,l,l</w:t>
      </w:r>
      <w:r>
        <w:br/>
      </w:r>
      <w:r>
        <w:br/>
      </w:r>
      <w:r>
        <w:rPr>
          <w:rStyle w:val="InformationTok"/>
        </w:rPr>
        <w:t xml:space="preserve">* - Interface</w:t>
      </w:r>
      <w:r>
        <w:br/>
      </w:r>
      <w:r>
        <w:rPr>
          <w:rStyle w:val="InformationTok"/>
        </w:rPr>
        <w:t xml:space="preserve">  - Protocol</w:t>
      </w:r>
      <w:r>
        <w:br/>
      </w:r>
      <w:r>
        <w:rPr>
          <w:rStyle w:val="InformationTok"/>
        </w:rPr>
        <w:t xml:space="preserve">  - Direction</w:t>
      </w:r>
      <w:r>
        <w:br/>
      </w:r>
      <w:r>
        <w:rPr>
          <w:rStyle w:val="InformationTok"/>
        </w:rPr>
        <w:t xml:space="preserve">* - GPS</w:t>
      </w:r>
      <w:r>
        <w:br/>
      </w:r>
      <w:r>
        <w:rPr>
          <w:rStyle w:val="InformationTok"/>
        </w:rPr>
        <w:t xml:space="preserve">  - ARINC-429</w:t>
      </w:r>
      <w:r>
        <w:br/>
      </w:r>
      <w:r>
        <w:rPr>
          <w:rStyle w:val="InformationTok"/>
        </w:rPr>
        <w:t xml:space="preserve">  - Input</w:t>
      </w:r>
      <w:r>
        <w:br/>
      </w:r>
      <w:r>
        <w:rPr>
          <w:rStyle w:val="InformationTok"/>
        </w:rPr>
        <w:t xml:space="preserve">```</w:t>
      </w:r>
    </w:p>
    <w:bookmarkEnd w:id="10374"/>
    <w:bookmarkEnd w:id="45"/>
    <w:bookmarkStart w:id="46" w:name="MANUAL-sec5.4.3"/>
    <w:p>
      <w:pPr>
        <w:pStyle w:val="Heading3"/>
        <w:numPr>
          <w:ilvl w:val="2"/>
          <w:numId w:val="100"/>
        </w:numPr>
      </w:pPr>
      <w:r>
        <w:t xml:space="preserve">CSV Table</w:t>
      </w:r>
    </w:p>
    <w:p>
      <w:pPr>
        <w:pStyle w:val="FirstParagraph"/>
      </w:pPr>
      <w:r>
        <w:t xml:space="preserve">The Comma-Separated Values (CSV) float alias provides a compact syntax for tabular data:</w:t>
      </w:r>
    </w:p>
    <w:bookmarkStart w:id="55086" w:name="listing-src-csv-float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CSV float syntax</w:t>
      </w:r>
    </w:p>
    <w:p>
      <w:pPr>
        <w:pStyle w:val="SourceCode"/>
      </w:pPr>
      <w:r>
        <w:rPr>
          <w:rStyle w:val="InformationTok"/>
        </w:rPr>
        <w:t xml:space="preserve">```csv:tbl-data{caption="Sample Data"}</w:t>
      </w:r>
      <w:r>
        <w:br/>
      </w:r>
      <w:r>
        <w:rPr>
          <w:rStyle w:val="InformationTok"/>
        </w:rPr>
        <w:t xml:space="preserve">Name,Value,Unit</w:t>
      </w:r>
      <w:r>
        <w:br/>
      </w:r>
      <w:r>
        <w:rPr>
          <w:rStyle w:val="InformationTok"/>
        </w:rPr>
        <w:t xml:space="preserve">Temperature,72.5,F</w:t>
      </w:r>
      <w:r>
        <w:br/>
      </w:r>
      <w:r>
        <w:rPr>
          <w:rStyle w:val="InformationTok"/>
        </w:rPr>
        <w:t xml:space="preserve">Pressure,1013.25,hPa</w:t>
      </w:r>
      <w:r>
        <w:br/>
      </w:r>
      <w:r>
        <w:rPr>
          <w:rStyle w:val="InformationTok"/>
        </w:rPr>
        <w:t xml:space="preserve">```</w:t>
      </w:r>
    </w:p>
    <w:bookmarkEnd w:id="55086"/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produce TABLE floats. Use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for simple tabular data and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for tables with rich Markdown content in cells. See</w:t>
      </w:r>
      <w:r>
        <w:t xml:space="preserve"> </w:t>
      </w:r>
      <w:hyperlink w:anchor="MANUAL-sec6.2">
        <w:r>
          <w:rPr>
            <w:rStyle w:val="Hyperlink"/>
          </w:rPr>
          <w:t xml:space="preserve">Floats in Practice</w:t>
        </w:r>
      </w:hyperlink>
      <w:r>
        <w:t xml:space="preserve"> </w:t>
      </w:r>
      <w:r>
        <w:t xml:space="preserve">for live examples of each.</w:t>
      </w:r>
    </w:p>
    <w:bookmarkEnd w:id="46"/>
    <w:bookmarkStart w:id="47" w:name="MANUAL-sec5.4.4"/>
    <w:p>
      <w:pPr>
        <w:pStyle w:val="Heading3"/>
        <w:numPr>
          <w:ilvl w:val="2"/>
          <w:numId w:val="100"/>
        </w:numPr>
      </w:pPr>
      <w:r>
        <w:t xml:space="preserve">Listing (Code)</w:t>
      </w:r>
    </w:p>
    <w:bookmarkStart w:id="69456" w:name="listing-src-listing-float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Listing float syntax</w:t>
      </w:r>
    </w:p>
    <w:p>
      <w:pPr>
        <w:pStyle w:val="SourceCode"/>
      </w:pPr>
      <w:r>
        <w:rPr>
          <w:rStyle w:val="InformationTok"/>
        </w:rPr>
        <w:t xml:space="preserve">```listing.c:lst-init{caption="Initialization Routine"}</w:t>
      </w:r>
      <w:r>
        <w:br/>
      </w:r>
      <w:r>
        <w:rPr>
          <w:rStyle w:val="InformationTok"/>
        </w:rPr>
        <w:t xml:space="preserve">void init(void) {</w:t>
      </w:r>
      <w:r>
        <w:br/>
      </w:r>
      <w:r>
        <w:rPr>
          <w:rStyle w:val="InformationTok"/>
        </w:rPr>
        <w:t xml:space="preserve">    setup_hardware();</w:t>
      </w:r>
      <w:r>
        <w:br/>
      </w:r>
      <w:r>
        <w:rPr>
          <w:rStyle w:val="Information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bookmarkEnd w:id="69456"/>
    <w:bookmarkEnd w:id="47"/>
    <w:bookmarkStart w:id="48" w:name="MANUAL-sec5.4.5"/>
    <w:p>
      <w:pPr>
        <w:pStyle w:val="Heading3"/>
        <w:numPr>
          <w:ilvl w:val="2"/>
          <w:numId w:val="100"/>
        </w:numPr>
      </w:pPr>
      <w:r>
        <w:t xml:space="preserve">Chart (ECharts)</w:t>
      </w:r>
    </w:p>
    <w:bookmarkStart w:id="31094" w:name="listing-src-chart-float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Chart float syntax</w:t>
      </w:r>
    </w:p>
    <w:p>
      <w:pPr>
        <w:pStyle w:val="SourceCode"/>
      </w:pPr>
      <w:r>
        <w:rPr>
          <w:rStyle w:val="InformationTok"/>
        </w:rPr>
        <w:t xml:space="preserve">```chart:chart-coverage{caption="Test Coverage"}</w:t>
      </w:r>
      <w:r>
        <w:br/>
      </w:r>
      <w:r>
        <w:rPr>
          <w:rStyle w:val="InformationTok"/>
        </w:rPr>
        <w:t xml:space="preserve">{</w:t>
      </w:r>
      <w:r>
        <w:br/>
      </w:r>
      <w:r>
        <w:rPr>
          <w:rStyle w:val="InformationTok"/>
        </w:rPr>
        <w:t xml:space="preserve">  "xAxis": { "data": ["Module A", "Module B"] },</w:t>
      </w:r>
      <w:r>
        <w:br/>
      </w:r>
      <w:r>
        <w:rPr>
          <w:rStyle w:val="InformationTok"/>
        </w:rPr>
        <w:t xml:space="preserve">  "series": [{ "type": "bar", "data": [95, 87] }]</w:t>
      </w:r>
      <w:r>
        <w:br/>
      </w:r>
      <w:r>
        <w:rPr>
          <w:rStyle w:val="Information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bookmarkEnd w:id="31094"/>
    <w:p>
      <w:pPr>
        <w:pStyle w:val="FirstParagraph"/>
      </w:pPr>
      <w:r>
        <w:t xml:space="preserve">Charts support data injection via view modules. Add</w:t>
      </w:r>
      <w:r>
        <w:t xml:space="preserve"> </w:t>
      </w:r>
      <w:r>
        <w:rPr>
          <w:rStyle w:val="VerbatimChar"/>
        </w:rPr>
        <w:t xml:space="preserve">view="gauss"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params="mean=0,sigma=1"</w:t>
      </w:r>
      <w:r>
        <w:t xml:space="preserve"> </w:t>
      </w:r>
      <w:r>
        <w:t xml:space="preserve">to the code fence attributes to inject generated data into the ECharts configuration at render time. See</w:t>
      </w:r>
      <w:r>
        <w:t xml:space="preserve"> </w:t>
      </w:r>
      <w:hyperlink w:anchor="echarts-chart-gauss">
        <w:r>
          <w:rPr>
            <w:rStyle w:val="Hyperlink"/>
          </w:rPr>
          <w:t xml:space="preserve">Figure 5</w:t>
        </w:r>
      </w:hyperlink>
      <w:r>
        <w:t xml:space="preserve"> </w:t>
      </w:r>
      <w:r>
        <w:t xml:space="preserve">for a working example.</w:t>
      </w:r>
    </w:p>
    <w:bookmarkEnd w:id="48"/>
    <w:bookmarkStart w:id="49" w:name="MANUAL-sec5.4.6"/>
    <w:p>
      <w:pPr>
        <w:pStyle w:val="Heading3"/>
        <w:numPr>
          <w:ilvl w:val="2"/>
          <w:numId w:val="100"/>
        </w:numPr>
      </w:pPr>
      <w:r>
        <w:t xml:space="preserve">Math</w:t>
      </w:r>
    </w:p>
    <w:bookmarkStart w:id="22760" w:name="listing-src-math-float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Math float syntax</w:t>
      </w:r>
    </w:p>
    <w:p>
      <w:pPr>
        <w:pStyle w:val="SourceCode"/>
      </w:pPr>
      <w:r>
        <w:rPr>
          <w:rStyle w:val="InformationTok"/>
        </w:rPr>
        <w:t xml:space="preserve">```math:eq-force{caption="Newton's Second Law"}</w:t>
      </w:r>
      <w:r>
        <w:br/>
      </w:r>
      <w:r>
        <w:rPr>
          <w:rStyle w:val="InformationTok"/>
        </w:rPr>
        <w:t xml:space="preserve">F = ma</w:t>
      </w:r>
      <w:r>
        <w:br/>
      </w:r>
      <w:r>
        <w:rPr>
          <w:rStyle w:val="InformationTok"/>
        </w:rPr>
        <w:t xml:space="preserve">```</w:t>
      </w:r>
    </w:p>
    <w:bookmarkEnd w:id="22760"/>
    <w:p>
      <w:pPr>
        <w:pStyle w:val="FirstParagraph"/>
      </w:pPr>
      <w:r>
        <w:t xml:space="preserve">Math floats use AsciiMath notation and are rendered to MathML for HTML5 output and OMML for DOCX. See</w:t>
      </w:r>
      <w:r>
        <w:t xml:space="preserve"> </w:t>
      </w:r>
      <w:hyperlink w:anchor="math-eq-specificity">
        <w:r>
          <w:rPr>
            <w:rStyle w:val="Hyperlink"/>
          </w:rPr>
          <w:t xml:space="preserve">Equation 1</w:t>
        </w:r>
      </w:hyperlink>
      <w:r>
        <w:t xml:space="preserve"> </w:t>
      </w:r>
      <w:r>
        <w:t xml:space="preserve">and</w:t>
      </w:r>
      <w:r>
        <w:t xml:space="preserve"> </w:t>
      </w:r>
      <w:hyperlink w:anchor="math-eq-latency">
        <w:r>
          <w:rPr>
            <w:rStyle w:val="Hyperlink"/>
          </w:rPr>
          <w:t xml:space="preserve">Equation 2</w:t>
        </w:r>
      </w:hyperlink>
      <w:r>
        <w:t xml:space="preserve"> </w:t>
      </w:r>
      <w:r>
        <w:t xml:space="preserve">for live examples in this manual.</w:t>
      </w:r>
    </w:p>
    <w:bookmarkEnd w:id="49"/>
    <w:bookmarkStart w:id="50" w:name="MANUAL-sec5.4.7"/>
    <w:p>
      <w:pPr>
        <w:pStyle w:val="Heading3"/>
        <w:numPr>
          <w:ilvl w:val="2"/>
          <w:numId w:val="100"/>
        </w:numPr>
      </w:pPr>
      <w:r>
        <w:t xml:space="preserve">Float Syntax Summary</w:t>
      </w:r>
    </w:p>
    <w:bookmarkStart w:id="95403" w:name="csv-tbl-float-syntax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Float syntax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Component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Float type identifier (for example</w:t>
            </w:r>
            <w:r>
              <w:t xml:space="preserve"> </w:t>
            </w:r>
            <w:r>
              <w:rPr>
                <w:rStyle w:val="VerbatimChar"/>
              </w:rPr>
              <w:t xml:space="preserve">figure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plantuml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list-table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.lang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Optional language hint for syntax highlighting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:label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Float label for cross-referencing; must be unique within the specification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{key="val"}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Key-value attributes; common attribute: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</w:p>
        </w:tc>
      </w:tr>
    </w:tbl>
    <w:bookmarkEnd w:id="95403"/>
    <w:bookmarkEnd w:id="50"/>
    <w:bookmarkEnd w:id="51"/>
    <w:bookmarkStart w:id="53" w:name="MANUAL-sec5.5"/>
    <w:p>
      <w:pPr>
        <w:pStyle w:val="Heading2"/>
        <w:numPr>
          <w:ilvl w:val="1"/>
          <w:numId w:val="100"/>
        </w:numPr>
      </w:pPr>
      <w:r>
        <w:t xml:space="preserve">Relations (Links)</w:t>
      </w:r>
    </w:p>
    <w:p>
      <w:pPr>
        <w:pStyle w:val="FirstParagraph"/>
      </w:pPr>
      <w:r>
        <w:t xml:space="preserve">Links use the pattern</w:t>
      </w:r>
      <w:r>
        <w:t xml:space="preserve"> </w:t>
      </w:r>
      <w:r>
        <w:rPr>
          <w:rStyle w:val="VerbatimChar"/>
        </w:rPr>
        <w:t xml:space="preserve">[content](selector)</w:t>
      </w:r>
      <w:r>
        <w:t xml:space="preserve">. Selectors are</w:t>
      </w:r>
      <w:r>
        <w:t xml:space="preserve"> </w:t>
      </w:r>
      <w:r>
        <w:rPr>
          <w:b/>
          <w:bCs/>
        </w:rPr>
        <w:t xml:space="preserve">not hardcoded</w:t>
      </w:r>
      <w:r>
        <w:t xml:space="preserve"> </w:t>
      </w:r>
      <w:r>
        <w:t xml:space="preserve">– they are registered by relation types in the model’s type system. Each relation type declares a</w:t>
      </w:r>
      <w:r>
        <w:t xml:space="preserve"> </w:t>
      </w:r>
      <w:r>
        <w:rPr>
          <w:rStyle w:val="VerbatimChar"/>
        </w:rPr>
        <w:t xml:space="preserve">link_selector</w:t>
      </w:r>
      <w:r>
        <w:t xml:space="preserve"> </w:t>
      </w:r>
      <w:r>
        <w:t xml:space="preserve">field, and the pipeline uses it for resolution and type inference.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registers the following selectors:</w:t>
      </w:r>
    </w:p>
    <w:bookmarkStart w:id="48255" w:name="csv-tbl-selector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Default model selectors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Selector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Registered by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@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traceable</w:t>
            </w:r>
            <w:r>
              <w:t xml:space="preserve"> </w:t>
            </w:r>
            <w:r>
              <w:t xml:space="preserve">base (XREF_SEC, and model-specific types)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PID lookup: same-spec first, then cross-document fallback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xref</w:t>
            </w:r>
            <w:r>
              <w:t xml:space="preserve"> </w:t>
            </w:r>
            <w:r>
              <w:t xml:space="preserve">base (XREF_FIGURE, XREF_TABLE, XREF_LISTING, XREF_MATH, XREF_SECP)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Scoped label resolution: local scope, then same-spec, then global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@cite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XREF_CITATION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Rewritten to pandoc Cite element (parenthetical)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@citep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XREF_CITATION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Rewritten to pandoc Cite element (in-text)</w:t>
            </w:r>
          </w:p>
        </w:tc>
      </w:tr>
    </w:tbl>
    <w:bookmarkEnd w:id="48255"/>
    <w:p>
      <w:pPr>
        <w:pStyle w:val="BodyText"/>
      </w:pPr>
      <w:r>
        <w:t xml:space="preserve">Custom models can register additional selectors by defining relation types with new</w:t>
      </w:r>
      <w:r>
        <w:t xml:space="preserve"> </w:t>
      </w:r>
      <w:r>
        <w:rPr>
          <w:rStyle w:val="VerbatimChar"/>
        </w:rPr>
        <w:t xml:space="preserve">link_selector</w:t>
      </w:r>
      <w:r>
        <w:t xml:space="preserve"> </w:t>
      </w:r>
      <w:r>
        <w:t xml:space="preserve">values.</w:t>
      </w:r>
    </w:p>
    <w:bookmarkStart w:id="65471" w:name="csv-tbl-relation-syntax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Relation syntax patterns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Syntax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Example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[PID](@)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[HLR-001](@)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Reference by PID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[type:label](#)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[fig:diagram](#)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Typed float reference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[scope:type:label](#)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[REQ-001:fig:detail](#)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Scoped float reference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[key](@cite)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[smith2024](@cite)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Parenthetical citation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[key](@citep)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[smith2024](@citep)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In-text citation</w:t>
            </w:r>
          </w:p>
        </w:tc>
      </w:tr>
    </w:tbl>
    <w:bookmarkEnd w:id="65471"/>
    <w:bookmarkStart w:id="52" w:name="MANUAL-sec5.5.1"/>
    <w:p>
      <w:pPr>
        <w:pStyle w:val="Heading3"/>
        <w:numPr>
          <w:ilvl w:val="2"/>
          <w:numId w:val="100"/>
        </w:numPr>
      </w:pPr>
      <w:r>
        <w:t xml:space="preserve">Type Inference</w:t>
      </w:r>
    </w:p>
    <w:p>
      <w:pPr>
        <w:pStyle w:val="FirstParagraph"/>
      </w:pPr>
      <w:r>
        <w:t xml:space="preserve">After a link is resolved, the inference algorithm scores it against all registered relation types using 4 unweighted dimensions. Each matching dimension adds +1 to the specificity score. A constraint mismatch eliminates the candidate entirely. The total score for a candidate is computed as:</w:t>
      </w:r>
    </w:p>
    <w:p>
      <w:pPr>
        <w:tabs>
          <w:tab w:val="center" w:pos="4680"/>
          <w:tab w:val="right" w:pos="9360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S=</m:t>
        </m:r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4</m:t>
            </m:r>
          </m:sup>
          <m:e/>
        </m:nary>
        <m:sSub>
          <m:sSubPr>
            <m:ctrlPr/>
          </m:sSubPr>
          <m:e>
            <m:r>
              <m:t xml:space="preserve">d</m:t>
            </m:r>
          </m:e>
          <m:sub>
            <m:r>
              <m:t xml:space="preserve">i</m:t>
            </m:r>
          </m:sub>
        </m:sSub>
        <m:r>
          <m:t xml:space="preserve">,&amp;nbsp;&amp;nbsp;</m:t>
        </m:r>
        <m:sSub>
          <m:sSubPr>
            <m:ctrlPr/>
          </m:sSubPr>
          <m:e>
            <m:r>
              <m:t xml:space="preserve">d</m:t>
            </m:r>
          </m:e>
          <m:sub>
            <m:r>
              <m:t xml:space="preserve">i</m:t>
            </m:r>
          </m:sub>
        </m:sSub>
        <m:r>
          <m:t xml:space="preserve">∈</m:t>
        </m:r>
        <m:r>
          <m:t xml:space="preserve">{0,1}</m:t>
        </m:r>
      </m:oMath>
      <w:r>
        <w:tab/>
      </w:r>
      <w:bookmarkStart w:id="23201" w:name="math-eq-specificity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23201"/>
    </w:p>
    <w:p>
      <w:pPr>
        <w:pStyle w:val="BodyText"/>
      </w:pPr>
      <w:r>
        <w:t xml:space="preserve">The four dimensions (</w:t>
      </w: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d</m:t>
            </m:r>
          </m:e>
          <m:sub>
            <m:r>
              <m:t xml:space="preserve"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 xmlns:m="http://schemas.openxmlformats.org/officeDocument/2006/math" xmlns:w="http://schemas.openxmlformats.org/wordprocessingml/2006/main">
        <m:sSub>
          <m:sSubPr>
            <m:ctrlPr/>
          </m:sSubPr>
          <m:e>
            <m:r>
              <m:t xml:space="preserve">d</m:t>
            </m:r>
          </m:e>
          <m:sub>
            <m:r>
              <m:t xml:space="preserve">4</m:t>
            </m:r>
          </m:sub>
        </m:sSub>
      </m:oMath>
      <w:r>
        <w:t xml:space="preserve">) correspond to selector, source attribute, source type, and target type as shown in</w:t>
      </w:r>
      <w:r>
        <w:t xml:space="preserve"> </w:t>
      </w:r>
      <w:hyperlink w:anchor="csv-tbl-inference-scoring">
        <w:r>
          <w:rPr>
            <w:rStyle w:val="Hyperlink"/>
          </w:rPr>
          <w:t xml:space="preserve">Table 8</w:t>
        </w:r>
      </w:hyperlink>
      <w:r>
        <w:t xml:space="preserve">:</w:t>
      </w:r>
    </w:p>
    <w:bookmarkStart w:id="55430" w:name="csv-tbl-inference-scoring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Type inference scoring dimensions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Dimension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Match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Constraint mismatch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No constraint (NULL)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Selector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@cite</w:t>
            </w:r>
            <w:r>
              <w:t xml:space="preserve">, etc.)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Eliminated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+0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Source attribute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Eliminated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+0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Source type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Eliminated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+0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Target type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Eliminated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  <w:spacing w:lineRule="auto" w:after="40" w:line="240" w:before="40"/>
            </w:pPr>
            <w:r>
              <w:t xml:space="preserve">+0</w:t>
            </w:r>
          </w:p>
        </w:tc>
      </w:tr>
    </w:tbl>
    <w:bookmarkEnd w:id="55430"/>
    <w:p>
      <w:pPr>
        <w:pStyle w:val="BodyText"/>
      </w:pPr>
      <w:r>
        <w:t xml:space="preserve">The highest-scoring candidate wins. If two candidates tie, the relation is marked ambiguous. For example,</w:t>
      </w:r>
      <w:r>
        <w:t xml:space="preserve"> </w:t>
      </w:r>
      <w:r>
        <w:rPr>
          <w:rStyle w:val="VerbatimChar"/>
        </w:rPr>
        <w:t xml:space="preserve">[fig:diagram](#)</w:t>
      </w:r>
      <w:r>
        <w:t xml:space="preserve"> </w:t>
      </w:r>
      <w:r>
        <w:t xml:space="preserve">resolving to a FIGURE float will match XREF_FIGURE (selector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+ target type FIGURE = specificity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S=2</m:t>
        </m:r>
      </m:oMath>
      <w:r>
        <w:t xml:space="preserve">) over the generic xref base (selector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only = specificity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S=1</m:t>
        </m:r>
      </m:oMath>
      <w:r>
        <w:t xml:space="preserve">).</w:t>
      </w:r>
    </w:p>
    <w:bookmarkEnd w:id="52"/>
    <w:bookmarkEnd w:id="53"/>
    <w:bookmarkStart w:id="54" w:name="MANUAL-sec5.6"/>
    <w:p>
      <w:pPr>
        <w:pStyle w:val="Heading2"/>
        <w:numPr>
          <w:ilvl w:val="1"/>
          <w:numId w:val="100"/>
        </w:numPr>
      </w:pPr>
      <w:r>
        <w:t xml:space="preserve">Views</w:t>
      </w:r>
    </w:p>
    <w:p>
      <w:pPr>
        <w:pStyle w:val="FirstParagraph"/>
      </w:pPr>
      <w:r>
        <w:t xml:space="preserve">Inline code with a specific prefix declares view placeholders:</w:t>
      </w:r>
    </w:p>
    <w:bookmarkStart w:id="69768" w:name="listing-src-inline-view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Inline view placeholder</w:t>
      </w:r>
    </w:p>
    <w:p>
      <w:pPr>
        <w:pStyle w:val="SourceCode"/>
      </w:pPr>
      <w:r>
        <w:rPr>
          <w:rStyle w:val="InformationTok"/>
        </w:rPr>
        <w:t xml:space="preserve">`toc:`</w:t>
      </w:r>
    </w:p>
    <w:bookmarkEnd w:id="69768"/>
    <w:p>
      <w:pPr>
        <w:pStyle w:val="FirstParagraph"/>
      </w:pPr>
      <w:r>
        <w:t xml:space="preserve">Default model view types:</w:t>
      </w:r>
    </w:p>
    <w:bookmarkStart w:id="16648" w:name="csv-tbl-view-type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Default view types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Aliases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toc</w:t>
            </w:r>
            <w:r>
              <w:t xml:space="preserve"> </w:t>
            </w:r>
            <w:r>
              <w:t xml:space="preserve">- —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Table of Contents (TOC) from spec object headings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lof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lot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abbrev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sigla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acronym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abbrev_list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sigla_list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acronym_list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math_inline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gauss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gaussian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</w:p>
        </w:tc>
      </w:tr>
    </w:tbl>
    <w:bookmarkEnd w:id="16648"/>
    <w:bookmarkEnd w:id="54"/>
    <w:bookmarkStart w:id="55" w:name="MANUAL-sec5.7"/>
    <w:p>
      <w:pPr>
        <w:pStyle w:val="Heading2"/>
        <w:numPr>
          <w:ilvl w:val="1"/>
          <w:numId w:val="100"/>
        </w:numPr>
      </w:pPr>
      <w:r>
        <w:t xml:space="preserve">Body Content</w:t>
      </w:r>
    </w:p>
    <w:p>
      <w:pPr>
        <w:pStyle w:val="FirstParagraph"/>
      </w:pPr>
      <w:r>
        <w:t xml:space="preserve">Prose paragraphs, lists, and tables between headers accumulate to the most recently opened Specification or Spec Object.</w:t>
      </w:r>
    </w:p>
    <w:bookmarkEnd w:id="55"/>
    <w:bookmarkStart w:id="56" w:name="MANUAL-sec5.8"/>
    <w:p>
      <w:pPr>
        <w:pStyle w:val="Heading2"/>
        <w:numPr>
          <w:ilvl w:val="1"/>
          <w:numId w:val="100"/>
        </w:numPr>
      </w:pPr>
      <w:r>
        <w:t xml:space="preserve">File Includes</w:t>
      </w:r>
    </w:p>
    <w:p>
      <w:pPr>
        <w:pStyle w:val="FirstParagraph"/>
      </w:pPr>
      <w:r>
        <w:t xml:space="preserve">Split large documents into multiple files using fenced code blocks with the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class:</w:t>
      </w:r>
    </w:p>
    <w:bookmarkStart w:id="44202" w:name="listing-src-file-includ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Include directive syntax</w:t>
      </w:r>
    </w:p>
    <w:p>
      <w:pPr>
        <w:pStyle w:val="SourceCode"/>
      </w:pPr>
      <w:r>
        <w:rPr>
          <w:rStyle w:val="InformationTok"/>
        </w:rPr>
        <w:t xml:space="preserve">```include</w:t>
      </w:r>
      <w:r>
        <w:br/>
      </w:r>
      <w:r>
        <w:rPr>
          <w:rStyle w:val="InformationTok"/>
        </w:rPr>
        <w:t xml:space="preserve">path/to/chapter1.md</w:t>
      </w:r>
      <w:r>
        <w:br/>
      </w:r>
      <w:r>
        <w:rPr>
          <w:rStyle w:val="InformationTok"/>
        </w:rPr>
        <w:t xml:space="preserve">path/to/chapter2.md</w:t>
      </w:r>
      <w:r>
        <w:br/>
      </w:r>
      <w:r>
        <w:rPr>
          <w:rStyle w:val="InformationTok"/>
        </w:rPr>
        <w:t xml:space="preserve">```</w:t>
      </w:r>
    </w:p>
    <w:bookmarkEnd w:id="44202"/>
    <w:p>
      <w:pPr>
        <w:pStyle w:val="FirstParagraph"/>
      </w:pPr>
      <w:r>
        <w:t xml:space="preserve">Each line is a file path relative to the including document’s directory. Absolute paths are also supported. Lines 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are treated as comments and ignored.</w:t>
      </w:r>
    </w:p>
    <w:p>
      <w:pPr>
        <w:pStyle w:val="BodyText"/>
      </w:pPr>
      <w:r>
        <w:t xml:space="preserve">Include blocks are expanded recursively before the pipeline runs. Circular includes are detected and produce an error. The maximum nesting depth is 100 levels.</w:t>
      </w:r>
    </w:p>
    <w:p>
      <w:pPr>
        <w:pStyle w:val="BodyText"/>
      </w:pPr>
      <w:r>
        <w:t xml:space="preserve">Included files are tracked in the build graph for incremental builds – a change to any included file triggers a rebuild.</w:t>
      </w:r>
    </w:p>
    <w:bookmarkEnd w:id="56"/>
    <w:bookmarkEnd w:id="57"/>
    <w:bookmarkStart w:id="88" w:name="MANUAL-sec6"/>
    <w:p>
      <w:pPr>
        <w:pStyle w:val="Heading1"/>
        <w:numPr>
          <w:ilvl w:val="0"/>
          <w:numId w:val="100"/>
        </w:numPr>
      </w:pPr>
      <w:r>
        <w:t xml:space="preserve">Using the Default Model</w:t>
      </w:r>
    </w:p>
    <w:bookmarkStart w:id="58" w:name="MANUAL-sec6.1"/>
    <w:p>
      <w:pPr>
        <w:pStyle w:val="Heading2"/>
        <w:numPr>
          <w:ilvl w:val="1"/>
          <w:numId w:val="100"/>
        </w:numPr>
      </w:pPr>
      <w:r>
        <w:t xml:space="preserve">Rationale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ships a complete document authoring toolkit so that authors can write structured technical documents without defining custom types. It provides: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Numbered floats</w:t>
      </w:r>
      <w:r>
        <w:t xml:space="preserve"> </w:t>
      </w:r>
      <w:r>
        <w:t xml:space="preserve">– figures, tables, code listings, math equations, PlantUML diagrams, and ECharts charts, each with automatic numbering and captions.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Typed cross-references</w:t>
      </w:r>
      <w:r>
        <w:t xml:space="preserve"> </w:t>
      </w:r>
      <w:r>
        <w:t xml:space="preserve">– relation types that resolve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links to specific float and object categories, enabling the pipeline to render appropriate display text (for example,</w:t>
      </w:r>
      <w:r>
        <w:t xml:space="preserve"> </w:t>
      </w:r>
      <w:r>
        <w:t xml:space="preserve">“Figure 3”</w:t>
      </w:r>
      <w:r>
        <w:t xml:space="preserve"> </w:t>
      </w:r>
      <w:r>
        <w:t xml:space="preserve">or</w:t>
      </w:r>
      <w:r>
        <w:t xml:space="preserve"> </w:t>
      </w:r>
      <w:r>
        <w:t xml:space="preserve">“Table 1”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Bibliography citations</w:t>
      </w:r>
      <w:r>
        <w:t xml:space="preserve"> </w:t>
      </w:r>
      <w:r>
        <w:t xml:space="preserve">– integration with Pandoc’s citeproc for parenthetical and in-text citation rendering from BibTeX files.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Content views</w:t>
      </w:r>
      <w:r>
        <w:t xml:space="preserve"> </w:t>
      </w:r>
      <w:r>
        <w:t xml:space="preserve">– generated content blocks such as TOC, list of figures, abbreviation tables, and inline math.</w:t>
      </w:r>
    </w:p>
    <w:p>
      <w:pPr>
        <w:pStyle w:val="FirstParagraph"/>
      </w:pPr>
      <w:r>
        <w:t xml:space="preserve">The following subsections demonstrate these features with live floats and cross-references. Every float, view, and link shown below is processed by SpecCompiler when this manual is built.</w:t>
      </w:r>
    </w:p>
    <w:bookmarkEnd w:id="58"/>
    <w:bookmarkStart w:id="71" w:name="MANUAL-sec6.2"/>
    <w:p>
      <w:pPr>
        <w:pStyle w:val="Heading2"/>
        <w:numPr>
          <w:ilvl w:val="1"/>
          <w:numId w:val="100"/>
        </w:numPr>
      </w:pPr>
      <w:r>
        <w:t xml:space="preserve">Floats in Practice</w:t>
      </w:r>
    </w:p>
    <w:p>
      <w:pPr>
        <w:pStyle w:val="FirstParagraph"/>
      </w:pPr>
      <w:r>
        <w:t xml:space="preserve">A SpecCompiler document can use all default float types. Each float has a type prefix, a label for cross-referencing, and a caption. The examples below are live – they are rendered when this manual is processed.</w:t>
      </w:r>
    </w:p>
    <w:bookmarkStart w:id="62" w:name="MANUAL-sec6.2.1"/>
    <w:p>
      <w:pPr>
        <w:pStyle w:val="Heading3"/>
        <w:numPr>
          <w:ilvl w:val="2"/>
          <w:numId w:val="100"/>
        </w:numPr>
      </w:pPr>
      <w:r>
        <w:t xml:space="preserve">Architecture Diagram (PlantUML)</w:t>
      </w:r>
    </w:p>
    <w:bookmarkStart w:id="2748" w:name="puml-diag-layers"/>
    <w:p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Layered Architecture</w:t>
      </w:r>
    </w:p>
    <w:p>
      <w:pPr>
        <w:pStyle w:val="FirstParagraph"/>
        <w:jc w:val="center"/>
      </w:pPr>
      <w:r>
        <w:drawing>
          <wp:inline>
            <wp:extent cx="4305300" cy="4457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iagrams/ccaf214c9ff1f7a80a1494cd48152d222dd8ac4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48"/>
    <w:bookmarkEnd w:id="62"/>
    <w:bookmarkStart w:id="63" w:name="MANUAL-sec6.2.2"/>
    <w:p>
      <w:pPr>
        <w:pStyle w:val="Heading3"/>
        <w:numPr>
          <w:ilvl w:val="2"/>
          <w:numId w:val="100"/>
        </w:numPr>
      </w:pPr>
      <w:r>
        <w:t xml:space="preserve">Component Table (list-table)</w:t>
      </w:r>
    </w:p>
    <w:bookmarkStart w:id="61229" w:name="csv-tbl-component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System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Component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Layer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React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Auth Service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Node.js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Data Service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Persistence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PostgreSQL</w:t>
            </w:r>
          </w:p>
        </w:tc>
      </w:tr>
    </w:tbl>
    <w:bookmarkEnd w:id="61229"/>
    <w:bookmarkEnd w:id="63"/>
    <w:bookmarkStart w:id="64" w:name="MANUAL-sec6.2.3"/>
    <w:p>
      <w:pPr>
        <w:pStyle w:val="Heading3"/>
        <w:numPr>
          <w:ilvl w:val="2"/>
          <w:numId w:val="100"/>
        </w:numPr>
      </w:pPr>
      <w:r>
        <w:t xml:space="preserve">Performance Metrics (CSV)</w:t>
      </w:r>
    </w:p>
    <w:bookmarkStart w:id="70414" w:name="csv-tbl-metric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Performance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Metric</w:t>
            </w:r>
          </w:p>
        </w:tc>
        <w:tc>
          <w:tcPr>
            <w:shd w:color="auto" w:fill="E8E8E8" w:val="clear"/>
          </w:tcPr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Target</w:t>
            </w:r>
          </w:p>
        </w:tc>
        <w:tc>
          <w:tcPr>
            <w:shd w:color="auto" w:fill="E8E8E8" w:val="clear"/>
          </w:tcPr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Actual</w:t>
            </w:r>
          </w:p>
        </w:tc>
        <w:tc>
          <w:tcPr>
            <w:shd w:color="auto" w:fill="E8E8E8" w:val="clear"/>
          </w:tcPr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Response time (ms)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185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Throughput (req/s)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1000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1120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Error rate (%)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1.0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0.3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Memory usage (MB)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512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487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Pass</w:t>
            </w:r>
          </w:p>
        </w:tc>
      </w:tr>
    </w:tbl>
    <w:bookmarkEnd w:id="70414"/>
    <w:bookmarkEnd w:id="64"/>
    <w:bookmarkStart w:id="65" w:name="MANUAL-sec6.2.4"/>
    <w:p>
      <w:pPr>
        <w:pStyle w:val="Heading3"/>
        <w:numPr>
          <w:ilvl w:val="2"/>
          <w:numId w:val="100"/>
        </w:numPr>
      </w:pPr>
      <w:r>
        <w:t xml:space="preserve">Initialization Code (Listing)</w:t>
      </w:r>
    </w:p>
    <w:bookmarkStart w:id="92378" w:name="listing-lst-init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Service Initialization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initialize(config):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(config.db_url)</w:t>
      </w:r>
      <w:r>
        <w:br/>
      </w:r>
      <w:r>
        <w:rPr>
          <w:rStyle w:val="NormalTok"/>
        </w:rPr>
        <w:t xml:space="preserve">    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AuthService(db)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Application(auth, db)</w:t>
      </w:r>
    </w:p>
    <w:bookmarkEnd w:id="92378"/>
    <w:bookmarkEnd w:id="65"/>
    <w:bookmarkStart w:id="66" w:name="MANUAL-sec6.2.5"/>
    <w:p>
      <w:pPr>
        <w:pStyle w:val="Heading3"/>
        <w:numPr>
          <w:ilvl w:val="2"/>
          <w:numId w:val="100"/>
        </w:numPr>
      </w:pPr>
      <w:r>
        <w:t xml:space="preserve">Latency Model (Math)</w:t>
      </w:r>
    </w:p>
    <w:p>
      <w:pPr>
        <w:tabs>
          <w:tab w:val="center" w:pos="4680"/>
          <w:tab w:val="right" w:pos="9360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L=</m:t>
        </m:r>
        <m:sSub>
          <m:sSubPr>
            <m:ctrlPr/>
          </m:sSubPr>
          <m:e>
            <m:r>
              <m:t xml:space="preserve">T</m:t>
            </m:r>
          </m:e>
          <m:sub>
            <m:r>
              <m:t xml:space="preserve">≠twork</m:t>
            </m:r>
          </m:sub>
        </m:sSub>
        <m:r>
          <m:t xml:space="preserve">+</m:t>
        </m:r>
        <m:sSub>
          <m:sSubPr>
            <m:ctrlPr/>
          </m:sSubPr>
          <m:e>
            <m:r>
              <m:t xml:space="preserve">T</m:t>
            </m:r>
          </m:e>
          <m:sub>
            <m:r>
              <m:t xml:space="preserve">processing</m:t>
            </m:r>
          </m:sub>
        </m:sSub>
        <m:r>
          <m:t xml:space="preserve">+</m:t>
        </m:r>
        <m:sSub>
          <m:sSubPr>
            <m:ctrlPr/>
          </m:sSubPr>
          <m:e>
            <m:r>
              <m:t xml:space="preserve">T</m:t>
            </m:r>
          </m:e>
          <m:sub>
            <m:r>
              <m:t xml:space="preserve">db</m:t>
            </m:r>
          </m:sub>
        </m:sSub>
      </m:oMath>
      <w:r>
        <w:tab/>
      </w:r>
      <w:bookmarkStart w:id="22083" w:name="math-eq-latency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22083"/>
    </w:p>
    <w:bookmarkEnd w:id="66"/>
    <w:bookmarkStart w:id="70" w:name="MANUAL-sec6.2.6"/>
    <w:p>
      <w:pPr>
        <w:pStyle w:val="Heading3"/>
        <w:numPr>
          <w:ilvl w:val="2"/>
          <w:numId w:val="100"/>
        </w:numPr>
      </w:pPr>
      <w:r>
        <w:t xml:space="preserve">Throughput Chart (ECharts)</w:t>
      </w:r>
    </w:p>
    <w:bookmarkStart w:id="35981" w:name="echarts-chart-throughput"/>
    <w:p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Throughput by Module</w:t>
      </w:r>
    </w:p>
    <w:p>
      <w:pPr>
        <w:pStyle w:val="FirstParagraph"/>
        <w:jc w:val="center"/>
      </w:pPr>
      <w:r>
        <w:drawing>
          <wp:inline>
            <wp:extent cx="5334000" cy="355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harts/1fb101eb15ee05554a4e2804a92932285d31e452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981"/>
    <w:bookmarkEnd w:id="70"/>
    <w:bookmarkEnd w:id="71"/>
    <w:bookmarkStart w:id="73" w:name="MANUAL-sec6.3"/>
    <w:p>
      <w:pPr>
        <w:pStyle w:val="Heading2"/>
        <w:numPr>
          <w:ilvl w:val="1"/>
          <w:numId w:val="100"/>
        </w:numPr>
      </w:pPr>
      <w:r>
        <w:t xml:space="preserve">Cross-References</w:t>
      </w:r>
    </w:p>
    <w:p>
      <w:pPr>
        <w:pStyle w:val="FirstParagraph"/>
      </w:pPr>
      <w:r>
        <w:t xml:space="preserve">Every float and object defined above can be referenced from prose. The following paragraph demonstrates cross-reference resolution using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The system architecture is depicted in</w:t>
      </w:r>
      <w:r>
        <w:t xml:space="preserve"> </w:t>
      </w:r>
      <w:hyperlink w:anchor="puml-diag-layers">
        <w:r>
          <w:rPr>
            <w:rStyle w:val="Hyperlink"/>
          </w:rPr>
          <w:t xml:space="preserve">Figure 3</w:t>
        </w:r>
      </w:hyperlink>
      <w:r>
        <w:t xml:space="preserve">. Component details, including the technology stack for each layer, are listed in</w:t>
      </w:r>
      <w:r>
        <w:t xml:space="preserve"> </w:t>
      </w:r>
      <w:hyperlink w:anchor="csv-tbl-components">
        <w:r>
          <w:rPr>
            <w:rStyle w:val="Hyperlink"/>
          </w:rPr>
          <w:t xml:space="preserve">Table 10</w:t>
        </w:r>
      </w:hyperlink>
      <w:r>
        <w:t xml:space="preserve">. Performance targets and actuals are compared in</w:t>
      </w:r>
      <w:r>
        <w:t xml:space="preserve"> </w:t>
      </w:r>
      <w:hyperlink w:anchor="csv-tbl-metrics">
        <w:r>
          <w:rPr>
            <w:rStyle w:val="Hyperlink"/>
          </w:rPr>
          <w:t xml:space="preserve">Table 11</w:t>
        </w:r>
      </w:hyperlink>
      <w:r>
        <w:t xml:space="preserve"> </w:t>
      </w:r>
      <w:r>
        <w:t xml:space="preserve">– all four metrics pass their thresholds. The initialization logic is shown in</w:t>
      </w:r>
      <w:r>
        <w:t xml:space="preserve"> </w:t>
      </w:r>
      <w:hyperlink w:anchor="listing-lst-init">
        <w:r>
          <w:rPr>
            <w:rStyle w:val="Hyperlink"/>
          </w:rPr>
          <w:t xml:space="preserve">Listing 16</w:t>
        </w:r>
      </w:hyperlink>
      <w:r>
        <w:t xml:space="preserve">, and the latency model driving performance requirements is defined by</w:t>
      </w:r>
      <w:r>
        <w:t xml:space="preserve"> </w:t>
      </w:r>
      <w:hyperlink w:anchor="math-eq-latency">
        <w:r>
          <w:rPr>
            <w:rStyle w:val="Hyperlink"/>
          </w:rPr>
          <w:t xml:space="preserve">Equation 2</w:t>
        </w:r>
      </w:hyperlink>
      <w:r>
        <w:t xml:space="preserve">. Finally, throughput measurements by module are visualized in</w:t>
      </w:r>
      <w:r>
        <w:t xml:space="preserve"> </w:t>
      </w:r>
      <w:hyperlink w:anchor="echarts-chart-throughput">
        <w:r>
          <w:rPr>
            <w:rStyle w:val="Hyperlink"/>
          </w:rPr>
          <w:t xml:space="preserve">Figure 4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selector resolves by PID and works across documents. For example, this sentence references the introduction of this manual:</w:t>
      </w:r>
      <w:r>
        <w:t xml:space="preserve"> </w:t>
      </w:r>
      <w:hyperlink w:anchor="MANUAL-sec1">
        <w:r>
          <w:rPr>
            <w:rStyle w:val="Hyperlink"/>
          </w:rPr>
          <w:t xml:space="preserve">INDEX</w:t>
        </w:r>
      </w:hyperlink>
      <w:r>
        <w:t xml:space="preserve">. Cross-document references to the companion guides also work; see</w:t>
      </w:r>
      <w:r>
        <w:t xml:space="preserve"> </w:t>
      </w:r>
      <w:hyperlink r:id="rId21">
        <w:r>
          <w:rPr>
            <w:rStyle w:val="Hyperlink"/>
          </w:rPr>
          <w:t xml:space="preserve">creating-a-model: Model Directory Layout</w:t>
        </w:r>
      </w:hyperlink>
      <w:r>
        <w:t xml:space="preserve"> </w:t>
      </w:r>
      <w:r>
        <w:t xml:space="preserve">for the model directory layout and</w:t>
      </w:r>
      <w:r>
        <w:t xml:space="preserve"> </w:t>
      </w:r>
      <w:hyperlink r:id="rId72">
        <w:r>
          <w:rPr>
            <w:rStyle w:val="Hyperlink"/>
          </w:rPr>
          <w:t xml:space="preserve">docx-customization: Style Presets</w:t>
        </w:r>
      </w:hyperlink>
      <w:r>
        <w:t xml:space="preserve"> </w:t>
      </w:r>
      <w:r>
        <w:t xml:space="preserve">for DOCX style presets.</w:t>
      </w:r>
    </w:p>
    <w:bookmarkStart w:id="68857" w:name="csv-tbl-xref-selector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Cross-reference selector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Selector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Syntax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(PID)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[PID](@)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Exact PID lookup. Same-spec first, then cross-document fallback. Never ambiguous.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(Label)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[type:label](#)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Scoped resolution: local scope, then same specification, then global. May be ambiguous if multiple matches at the same scope level.</w:t>
            </w:r>
          </w:p>
        </w:tc>
      </w:tr>
    </w:tbl>
    <w:bookmarkEnd w:id="68857"/>
    <w:bookmarkEnd w:id="73"/>
    <w:bookmarkStart w:id="77" w:name="MANUAL-sec6.4"/>
    <w:p>
      <w:pPr>
        <w:pStyle w:val="Heading2"/>
        <w:numPr>
          <w:ilvl w:val="1"/>
          <w:numId w:val="100"/>
        </w:numPr>
      </w:pPr>
      <w:r>
        <w:t xml:space="preserve">Section References</w:t>
      </w:r>
    </w:p>
    <w:p>
      <w:pPr>
        <w:pStyle w:val="FirstParagraph"/>
      </w:pPr>
      <w:r>
        <w:t xml:space="preserve">Headers without an explicit</w:t>
      </w:r>
      <w:r>
        <w:t xml:space="preserve"> </w:t>
      </w:r>
      <w:r>
        <w:rPr>
          <w:rStyle w:val="VerbatimChar"/>
        </w:rPr>
        <w:t xml:space="preserve">TYPE:</w:t>
      </w:r>
      <w:r>
        <w:t xml:space="preserve"> </w:t>
      </w:r>
      <w:r>
        <w:t xml:space="preserve">prefix default to the SECTION type. Sections receive auto-generated PIDs and labels that can be used for cross-referencing: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PID 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{spec_pid}-sec{depth.numbers}</w:t>
      </w:r>
      <w:r>
        <w:t xml:space="preserve"> </w:t>
      </w:r>
      <w:r>
        <w:t xml:space="preserve">– for example,</w:t>
      </w:r>
      <w:r>
        <w:t xml:space="preserve"> </w:t>
      </w:r>
      <w:r>
        <w:rPr>
          <w:rStyle w:val="VerbatimChar"/>
        </w:rPr>
        <w:t xml:space="preserve">SRS-sec1</w:t>
      </w:r>
      <w:r>
        <w:t xml:space="preserve">,</w:t>
      </w:r>
      <w:r>
        <w:t xml:space="preserve"> </w:t>
      </w:r>
      <w:r>
        <w:rPr>
          <w:rStyle w:val="VerbatimChar"/>
        </w:rPr>
        <w:t xml:space="preserve">SRS-sec1.2</w:t>
      </w:r>
      <w:r>
        <w:t xml:space="preserve">,</w:t>
      </w:r>
      <w:r>
        <w:t xml:space="preserve"> </w:t>
      </w:r>
      <w:r>
        <w:rPr>
          <w:rStyle w:val="VerbatimChar"/>
        </w:rPr>
        <w:t xml:space="preserve">SRS-sec2.3.1</w:t>
      </w:r>
      <w:r>
        <w:t xml:space="preserve">. Use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selector:</w:t>
      </w:r>
      <w:r>
        <w:t xml:space="preserve"> </w:t>
      </w:r>
      <w:r>
        <w:rPr>
          <w:rStyle w:val="VerbatimChar"/>
        </w:rPr>
        <w:t xml:space="preserve">[SRS-sec1.2](@)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Label 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section:{title-slug}</w:t>
      </w:r>
      <w:r>
        <w:t xml:space="preserve"> </w:t>
      </w:r>
      <w:r>
        <w:t xml:space="preserve">– for example,</w:t>
      </w:r>
      <w:r>
        <w:t xml:space="preserve"> </w:t>
      </w:r>
      <w:r>
        <w:rPr>
          <w:rStyle w:val="VerbatimChar"/>
        </w:rPr>
        <w:t xml:space="preserve">## Introduction</w:t>
      </w:r>
      <w:r>
        <w:t xml:space="preserve"> </w:t>
      </w:r>
      <w:r>
        <w:t xml:space="preserve">produces the label</w:t>
      </w:r>
      <w:r>
        <w:t xml:space="preserve"> </w:t>
      </w:r>
      <w:r>
        <w:rPr>
          <w:rStyle w:val="VerbatimChar"/>
        </w:rPr>
        <w:t xml:space="preserve">section:introduction</w:t>
      </w:r>
      <w:r>
        <w:t xml:space="preserve">. Use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selector:</w:t>
      </w:r>
      <w:r>
        <w:t xml:space="preserve"> </w:t>
      </w:r>
      <w:r>
        <w:rPr>
          <w:rStyle w:val="VerbatimChar"/>
        </w:rPr>
        <w:t xml:space="preserve">[section:introduction](#)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selector performs an exact PID lookup and is never ambiguous.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selector uses scoped resolution (closest scope wins), which is useful when multiple specifications have sections with similar names.</w:t>
      </w:r>
    </w:p>
    <w:p>
      <w:pPr>
        <w:pStyle w:val="BodyText"/>
      </w:pPr>
      <w:r>
        <w:t xml:space="preserve">For cross-document section references with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selector, use the explicit scope syntax:</w:t>
      </w:r>
      <w:r>
        <w:t xml:space="preserve"> </w:t>
      </w:r>
      <w:r>
        <w:rPr>
          <w:rStyle w:val="VerbatimChar"/>
        </w:rPr>
        <w:t xml:space="preserve">[SPEC-A:section:design](#)</w:t>
      </w:r>
      <w:r>
        <w:t xml:space="preserve"> </w:t>
      </w:r>
      <w:r>
        <w:t xml:space="preserve">to target a section labeled</w:t>
      </w:r>
      <w:r>
        <w:t xml:space="preserve"> </w:t>
      </w:r>
      <w:r>
        <w:t xml:space="preserve">“design”</w:t>
      </w:r>
      <w:r>
        <w:t xml:space="preserve"> </w:t>
      </w:r>
      <w:r>
        <w:t xml:space="preserve">within the specification whose PID is</w:t>
      </w:r>
      <w:r>
        <w:t xml:space="preserve"> </w:t>
      </w:r>
      <w:r>
        <w:rPr>
          <w:rStyle w:val="VerbatimChar"/>
        </w:rPr>
        <w:t xml:space="preserve">SPEC-A</w:t>
      </w:r>
      <w:r>
        <w:t xml:space="preserve">.</w:t>
      </w:r>
    </w:p>
    <w:p>
      <w:pPr>
        <w:pStyle w:val="BodyText"/>
      </w:pPr>
      <w:r>
        <w:t xml:space="preserve">This manual references its own sections using both selectors. Here are examples that resolve within this document:</w:t>
      </w:r>
    </w:p>
    <w:p>
      <w:pPr>
        <w:pStyle w:val="Compact"/>
        <w:numPr>
          <w:ilvl w:val="0"/>
          <w:numId w:val="1011"/>
        </w:numPr>
      </w:pPr>
      <w:r>
        <w:t xml:space="preserve">By PID:</w:t>
      </w:r>
      <w:r>
        <w:t xml:space="preserve"> </w:t>
      </w:r>
      <w:hyperlink w:anchor="MANUAL-sec2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links to Installation,</w:t>
      </w:r>
      <w:r>
        <w:t xml:space="preserve"> </w:t>
      </w:r>
      <w:hyperlink w:anchor="MANUAL-sec4">
        <w:r>
          <w:rPr>
            <w:rStyle w:val="Hyperlink"/>
          </w:rPr>
          <w:t xml:space="preserve">Project Configuration</w:t>
        </w:r>
      </w:hyperlink>
      <w:r>
        <w:t xml:space="preserve"> </w:t>
      </w:r>
      <w:r>
        <w:t xml:space="preserve">links to Document Authoring.</w:t>
      </w:r>
    </w:p>
    <w:p>
      <w:pPr>
        <w:pStyle w:val="Compact"/>
        <w:numPr>
          <w:ilvl w:val="0"/>
          <w:numId w:val="1011"/>
        </w:numPr>
      </w:pPr>
      <w:r>
        <w:t xml:space="preserve">By label:</w:t>
      </w:r>
      <w:r>
        <w:t xml:space="preserve"> </w:t>
      </w:r>
      <w:hyperlink w:anchor="MANUAL-sec2.3">
        <w:r>
          <w:rPr>
            <w:rStyle w:val="Hyperlink"/>
          </w:rPr>
          <w:t xml:space="preserve">Pipeline Summary</w:t>
        </w:r>
      </w:hyperlink>
      <w:r>
        <w:t xml:space="preserve"> </w:t>
      </w:r>
      <w:r>
        <w:t xml:space="preserve">links to Pipeline Summary,</w:t>
      </w:r>
      <w:r>
        <w:t xml:space="preserve"> </w:t>
      </w:r>
      <w:hyperlink w:anchor="MANUAL-sec12">
        <w:r>
          <w:rPr>
            <w:rStyle w:val="Hyperlink"/>
          </w:rPr>
          <w:t xml:space="preserve">Troubleshooting</w:t>
        </w:r>
      </w:hyperlink>
      <w:r>
        <w:t xml:space="preserve"> </w:t>
      </w:r>
      <w:r>
        <w:t xml:space="preserve">links to Troubleshooting.</w:t>
      </w:r>
    </w:p>
    <w:p>
      <w:pPr>
        <w:pStyle w:val="FirstParagraph"/>
      </w:pPr>
      <w:r>
        <w:t xml:space="preserve">Cross-document references work identically. Because the companion guides are listed in the same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, these links resolve at build time:</w:t>
      </w:r>
    </w:p>
    <w:p>
      <w:pPr>
        <w:pStyle w:val="Compact"/>
        <w:numPr>
          <w:ilvl w:val="0"/>
          <w:numId w:val="1012"/>
        </w:numPr>
      </w:pPr>
      <w:hyperlink r:id="rId74">
        <w:r>
          <w:rPr>
            <w:rStyle w:val="Hyperlink"/>
          </w:rPr>
          <w:t xml:space="preserve">creating-a-model: Walkthrough: Custom Float Type</w:t>
        </w:r>
      </w:hyperlink>
      <w:r>
        <w:t xml:space="preserve"> </w:t>
      </w:r>
      <w:r>
        <w:t xml:space="preserve">links to the float walkthrough in the model guide.</w:t>
      </w:r>
    </w:p>
    <w:p>
      <w:pPr>
        <w:pStyle w:val="Compact"/>
        <w:numPr>
          <w:ilvl w:val="0"/>
          <w:numId w:val="1012"/>
        </w:numPr>
      </w:pPr>
      <w:hyperlink r:id="rId75">
        <w:r>
          <w:rPr>
            <w:rStyle w:val="Hyperlink"/>
          </w:rPr>
          <w:t xml:space="preserve">docx-customization: Postprocessors</w:t>
        </w:r>
      </w:hyperlink>
      <w:r>
        <w:t xml:space="preserve"> </w:t>
      </w:r>
      <w:r>
        <w:t xml:space="preserve">links to the DOCX customization guide.</w:t>
      </w:r>
    </w:p>
    <w:p>
      <w:pPr>
        <w:pStyle w:val="Compact"/>
        <w:numPr>
          <w:ilvl w:val="0"/>
          <w:numId w:val="1012"/>
        </w:numPr>
      </w:pPr>
      <w:hyperlink r:id="rId76">
        <w:r>
          <w:rPr>
            <w:rStyle w:val="Hyperlink"/>
          </w:rPr>
          <w:t xml:space="preserve">docx-customization: Preset Inheritance</w:t>
        </w:r>
      </w:hyperlink>
      <w:r>
        <w:t xml:space="preserve"> </w:t>
      </w:r>
      <w:r>
        <w:t xml:space="preserve">links to preset inheritance in the DOCX guide.</w:t>
      </w:r>
    </w:p>
    <w:bookmarkEnd w:id="77"/>
    <w:bookmarkStart w:id="78" w:name="MANUAL-sec6.5"/>
    <w:p>
      <w:pPr>
        <w:pStyle w:val="Heading2"/>
        <w:numPr>
          <w:ilvl w:val="1"/>
          <w:numId w:val="100"/>
        </w:numPr>
      </w:pPr>
      <w:r>
        <w:t xml:space="preserve">Citations and Bibliography</w:t>
      </w:r>
    </w:p>
    <w:p>
      <w:pPr>
        <w:pStyle w:val="FirstParagraph"/>
      </w:pPr>
      <w:r>
        <w:t xml:space="preserve">SpecCompiler integrates with Pandoc’s citeproc processor for scholarly citations.</w:t>
      </w:r>
    </w:p>
    <w:p>
      <w:pPr>
        <w:pStyle w:val="BodyText"/>
      </w:pPr>
      <w:r>
        <w:rPr>
          <w:b/>
          <w:bCs/>
        </w:rPr>
        <w:t xml:space="preserve">Step 1.</w:t>
      </w:r>
      <w:r>
        <w:t xml:space="preserve"> </w:t>
      </w:r>
      <w:r>
        <w:t xml:space="preserve">Add bibliography configuration to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bookmarkStart w:id="9127" w:name="listing-src-bib-config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Bibliography configuration in project.yaml</w:t>
      </w:r>
    </w:p>
    <w:p>
      <w:pPr>
        <w:pStyle w:val="SourceCode"/>
      </w:pP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ieee.csl</w:t>
      </w:r>
    </w:p>
    <w:bookmarkEnd w:id="9127"/>
    <w:p>
      <w:pPr>
        <w:pStyle w:val="FirstParagraph"/>
      </w:pPr>
      <w:r>
        <w:rPr>
          <w:b/>
          <w:bCs/>
        </w:rPr>
        <w:t xml:space="preserve">Step 2.</w:t>
      </w:r>
      <w:r>
        <w:t xml:space="preserve"> </w:t>
      </w:r>
      <w:r>
        <w:t xml:space="preserve">Create a BibTeX file (</w:t>
      </w:r>
      <w:r>
        <w:rPr>
          <w:rStyle w:val="VerbatimChar"/>
        </w:rPr>
        <w:t xml:space="preserve">refs.bib</w:t>
      </w:r>
      <w:r>
        <w:t xml:space="preserve">):</w:t>
      </w:r>
    </w:p>
    <w:bookmarkStart w:id="72833" w:name="listing-src-bib-fil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Example BibTeX file</w:t>
      </w:r>
    </w:p>
    <w:p>
      <w:pPr>
        <w:pStyle w:val="SourceCode"/>
      </w:pPr>
      <w:r>
        <w:rPr>
          <w:rStyle w:val="VariableTok"/>
        </w:rPr>
        <w:t xml:space="preserve">@article</w:t>
      </w:r>
      <w:r>
        <w:rPr>
          <w:rStyle w:val="NormalTok"/>
        </w:rPr>
        <w:t xml:space="preserve">{</w:t>
      </w:r>
      <w:r>
        <w:rPr>
          <w:rStyle w:val="OtherTok"/>
        </w:rPr>
        <w:t xml:space="preserve">smith2024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 = {Smith, John},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 = {Advances in Systems Engineering},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journal</w:t>
      </w:r>
      <w:r>
        <w:rPr>
          <w:rStyle w:val="NormalTok"/>
        </w:rPr>
        <w:t xml:space="preserve"> = {IEEE Transactions},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 = {2024}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VariableTok"/>
        </w:rPr>
        <w:t xml:space="preserve">@book</w:t>
      </w:r>
      <w:r>
        <w:rPr>
          <w:rStyle w:val="NormalTok"/>
        </w:rPr>
        <w:t xml:space="preserve">{</w:t>
      </w:r>
      <w:r>
        <w:rPr>
          <w:rStyle w:val="OtherTok"/>
        </w:rPr>
        <w:t xml:space="preserve">jones2023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   = {Jones, Alice},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   = {Software Architecture Patterns},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publisher</w:t>
      </w:r>
      <w:r>
        <w:rPr>
          <w:rStyle w:val="NormalTok"/>
        </w:rPr>
        <w:t xml:space="preserve"> = {O'Reilly},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   = {2023}</w:t>
      </w:r>
      <w:r>
        <w:br/>
      </w:r>
      <w:r>
        <w:rPr>
          <w:rStyle w:val="NormalTok"/>
        </w:rPr>
        <w:t xml:space="preserve">}</w:t>
      </w:r>
    </w:p>
    <w:bookmarkEnd w:id="72833"/>
    <w:p>
      <w:pPr>
        <w:pStyle w:val="FirstParagraph"/>
      </w:pPr>
      <w:r>
        <w:rPr>
          <w:b/>
          <w:bCs/>
        </w:rPr>
        <w:t xml:space="preserve">Step 3.</w:t>
      </w:r>
      <w:r>
        <w:t xml:space="preserve"> </w:t>
      </w:r>
      <w:r>
        <w:t xml:space="preserve">Use citation syntax in your document:</w:t>
      </w:r>
    </w:p>
    <w:bookmarkStart w:id="25784" w:name="listing-src-citation-syntax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Citation syntax examples</w:t>
      </w:r>
    </w:p>
    <w:p>
      <w:pPr>
        <w:pStyle w:val="SourceCode"/>
      </w:pPr>
      <w:r>
        <w:rPr>
          <w:rStyle w:val="NormalTok"/>
        </w:rPr>
        <w:t xml:space="preserve">Recent work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smith2024</w:t>
      </w:r>
      <w:r>
        <w:rPr>
          <w:rStyle w:val="CommentTok"/>
        </w:rPr>
        <w:t xml:space="preserve">](@cite)</w:t>
      </w:r>
      <w:r>
        <w:rPr>
          <w:rStyle w:val="NormalTok"/>
        </w:rPr>
        <w:t xml:space="preserve"> demonstrates the approach.</w:t>
      </w:r>
      <w:r>
        <w:br/>
      </w:r>
      <w:r>
        <w:br/>
      </w:r>
      <w:r>
        <w:rPr>
          <w:rStyle w:val="NormalTok"/>
        </w:rPr>
        <w:t xml:space="preserve">As Smith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smith2024</w:t>
      </w:r>
      <w:r>
        <w:rPr>
          <w:rStyle w:val="CommentTok"/>
        </w:rPr>
        <w:t xml:space="preserve">](@citep)</w:t>
      </w:r>
      <w:r>
        <w:rPr>
          <w:rStyle w:val="NormalTok"/>
        </w:rPr>
        <w:t xml:space="preserve"> argues, the method is effective.</w:t>
      </w:r>
      <w:r>
        <w:br/>
      </w:r>
      <w:r>
        <w:br/>
      </w:r>
      <w:r>
        <w:rPr>
          <w:rStyle w:val="NormalTok"/>
        </w:rPr>
        <w:t xml:space="preserve">Multiple sources support this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smith2024;jones2023</w:t>
      </w:r>
      <w:r>
        <w:rPr>
          <w:rStyle w:val="CommentTok"/>
        </w:rPr>
        <w:t xml:space="preserve">](@cite)</w:t>
      </w:r>
      <w:r>
        <w:rPr>
          <w:rStyle w:val="NormalTok"/>
        </w:rPr>
        <w:t xml:space="preserve">.</w:t>
      </w:r>
    </w:p>
    <w:bookmarkEnd w:id="25784"/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[key](@cite)</w:t>
      </w:r>
      <w:r>
        <w:t xml:space="preserve"> </w:t>
      </w:r>
      <w:r>
        <w:t xml:space="preserve">produces a</w:t>
      </w:r>
      <w:r>
        <w:t xml:space="preserve"> </w:t>
      </w:r>
      <w:r>
        <w:rPr>
          <w:b/>
          <w:bCs/>
        </w:rPr>
        <w:t xml:space="preserve">parenthetical</w:t>
      </w:r>
      <w:r>
        <w:t xml:space="preserve"> </w:t>
      </w:r>
      <w:r>
        <w:t xml:space="preserve">citation – for example,</w:t>
      </w:r>
      <w:r>
        <w:t xml:space="preserve"> </w:t>
      </w:r>
      <w:r>
        <w:t xml:space="preserve">“(Smith, 2024)”</w:t>
      </w:r>
      <w:r>
        <w:t xml:space="preserve"> </w:t>
      </w:r>
      <w:r>
        <w:t xml:space="preserve">in author-date styles or</w:t>
      </w:r>
      <w:r>
        <w:t xml:space="preserve"> </w:t>
      </w:r>
      <w:r>
        <w:t xml:space="preserve">“[1]”</w:t>
      </w:r>
      <w:r>
        <w:t xml:space="preserve"> </w:t>
      </w:r>
      <w:r>
        <w:t xml:space="preserve">in numeric styles.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[key](@citep)</w:t>
      </w:r>
      <w:r>
        <w:t xml:space="preserve"> </w:t>
      </w:r>
      <w:r>
        <w:t xml:space="preserve">produces an</w:t>
      </w:r>
      <w:r>
        <w:t xml:space="preserve"> </w:t>
      </w:r>
      <w:r>
        <w:rPr>
          <w:b/>
          <w:bCs/>
        </w:rPr>
        <w:t xml:space="preserve">in-text</w:t>
      </w:r>
      <w:r>
        <w:t xml:space="preserve"> </w:t>
      </w:r>
      <w:r>
        <w:t xml:space="preserve">citation – for example,</w:t>
      </w:r>
      <w:r>
        <w:t xml:space="preserve"> </w:t>
      </w:r>
      <w:r>
        <w:t xml:space="preserve">“Smith (2024)”</w:t>
      </w:r>
      <w:r>
        <w:t xml:space="preserve"> </w:t>
      </w:r>
      <w:r>
        <w:t xml:space="preserve">or</w:t>
      </w:r>
      <w:r>
        <w:t xml:space="preserve"> </w:t>
      </w:r>
      <w:r>
        <w:t xml:space="preserve">“Smith [1]”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Multiple keys separated by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produce a grouped citation.</w:t>
      </w:r>
    </w:p>
    <w:p>
      <w:pPr>
        <w:pStyle w:val="FirstParagraph"/>
      </w:pPr>
      <w:r>
        <w:rPr>
          <w:b/>
          <w:bCs/>
        </w:rPr>
        <w:t xml:space="preserve">Processing pipeline</w:t>
      </w:r>
      <w:r>
        <w:t xml:space="preserve">: During the TRANSFORM phase, citation links are rewritten to Pandoc</w:t>
      </w:r>
      <w:r>
        <w:t xml:space="preserve"> </w:t>
      </w:r>
      <w:r>
        <w:rPr>
          <w:rStyle w:val="VerbatimChar"/>
        </w:rPr>
        <w:t xml:space="preserve">Cite</w:t>
      </w:r>
      <w:r>
        <w:t xml:space="preserve"> </w:t>
      </w:r>
      <w:r>
        <w:t xml:space="preserve">elements. During EMIT, Pandoc’s citeproc processor formats citations and appends a bibliography list to the document according to the configured CSL style.</w:t>
      </w:r>
    </w:p>
    <w:bookmarkEnd w:id="78"/>
    <w:bookmarkStart w:id="87" w:name="MANUAL-sec6.6"/>
    <w:p>
      <w:pPr>
        <w:pStyle w:val="Heading2"/>
        <w:numPr>
          <w:ilvl w:val="1"/>
          <w:numId w:val="100"/>
        </w:numPr>
      </w:pPr>
      <w:r>
        <w:t xml:space="preserve">Views in Practice</w:t>
      </w:r>
    </w:p>
    <w:p>
      <w:pPr>
        <w:pStyle w:val="FirstParagraph"/>
      </w:pPr>
      <w:r>
        <w:t xml:space="preserve">Views generate content blocks from the SpecIR.</w:t>
      </w:r>
    </w:p>
    <w:bookmarkStart w:id="79" w:name="MANUAL-sec6.6.1"/>
    <w:p>
      <w:pPr>
        <w:pStyle w:val="Heading3"/>
        <w:numPr>
          <w:ilvl w:val="2"/>
          <w:numId w:val="100"/>
        </w:numPr>
      </w:pPr>
      <w:r>
        <w:t xml:space="preserve">Abbreviations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abbrev:</w:t>
      </w:r>
      <w:r>
        <w:t xml:space="preserve"> </w:t>
      </w:r>
      <w:r>
        <w:t xml:space="preserve">view defines abbreviations inline. On first use, the full meaning is displayed alongside the abbreviation. All definitions are collected for the</w:t>
      </w:r>
      <w:r>
        <w:t xml:space="preserve"> </w:t>
      </w:r>
      <w:r>
        <w:rPr>
          <w:rStyle w:val="VerbatimChar"/>
        </w:rPr>
        <w:t xml:space="preserve">abbrev_list</w:t>
      </w:r>
      <w:r>
        <w:t xml:space="preserve"> </w:t>
      </w:r>
      <w:r>
        <w:t xml:space="preserve">view shown in the</w:t>
      </w:r>
      <w:r>
        <w:t xml:space="preserve"> </w:t>
      </w:r>
      <w:hyperlink w:anchor="MANUAL-sec17">
        <w:r>
          <w:rPr>
            <w:rStyle w:val="Hyperlink"/>
          </w:rPr>
          <w:t xml:space="preserve">List of Abbreviations</w:t>
        </w:r>
      </w:hyperlink>
      <w:r>
        <w:t xml:space="preserve"> </w:t>
      </w:r>
      <w:r>
        <w:t xml:space="preserve">appendix.</w:t>
      </w:r>
    </w:p>
    <w:p>
      <w:pPr>
        <w:pStyle w:val="BodyText"/>
      </w:pPr>
      <w:r>
        <w:t xml:space="preserve">This manual defines abbreviations on first use throughout the text. For example, Entity-Attribute-Value (EAV) is the database pattern used for flexible attributes, and Newline-Delimited JSON (NDJSON) is the format used for diagnostic output.</w:t>
      </w:r>
    </w:p>
    <w:p>
      <w:pPr>
        <w:pStyle w:val="BodyText"/>
      </w:pPr>
      <w:r>
        <w:t xml:space="preserve">The syntax is:</w:t>
      </w:r>
      <w:r>
        <w:t xml:space="preserve"> </w:t>
      </w:r>
      <w:r>
        <w:rPr>
          <w:rStyle w:val="VerbatimChar"/>
        </w:rPr>
        <w:t xml:space="preserve">`abbrev: Full Meaning Text (ABBREVIATION)`</w:t>
      </w:r>
      <w:r>
        <w:t xml:space="preserve">. The abbreviation goes in parentheses at the end.</w:t>
      </w:r>
    </w:p>
    <w:bookmarkEnd w:id="79"/>
    <w:bookmarkStart w:id="80" w:name="MANUAL-sec6.6.2"/>
    <w:p>
      <w:pPr>
        <w:pStyle w:val="Heading3"/>
        <w:numPr>
          <w:ilvl w:val="2"/>
          <w:numId w:val="100"/>
        </w:numPr>
      </w:pPr>
      <w:r>
        <w:t xml:space="preserve">Inline Math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eq:</w:t>
      </w:r>
      <w:r>
        <w:t xml:space="preserve"> </w:t>
      </w:r>
      <w:r>
        <w:t xml:space="preserve">prefix renders inline math expressions using AsciiMath notation. For example, the quadratic formula is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 xml:space="preserve">, and Euler’s identity is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e</m:t>
            </m:r>
          </m:e>
          <m:sup>
            <m:r>
              <m:t xml:space="preserve">iπ</m:t>
            </m:r>
          </m:sup>
        </m:sSup>
        <m:r>
          <m:t xml:space="preserve">+1=0</m:t>
        </m:r>
      </m:oMath>
      <w:r>
        <w:t xml:space="preserve">.</w:t>
      </w:r>
    </w:p>
    <w:p>
      <w:pPr>
        <w:pStyle w:val="BodyText"/>
      </w:pPr>
      <w:r>
        <w:t xml:space="preserve">Inline math is useful for formulas within prose paragraphs, while block</w:t>
      </w:r>
      <w:r>
        <w:t xml:space="preserve"> </w:t>
      </w:r>
      <w:r>
        <w:rPr>
          <w:rStyle w:val="VerbatimChar"/>
        </w:rPr>
        <w:t xml:space="preserve">math:</w:t>
      </w:r>
      <w:r>
        <w:t xml:space="preserve"> </w:t>
      </w:r>
      <w:r>
        <w:t xml:space="preserve">floats (like</w:t>
      </w:r>
      <w:r>
        <w:t xml:space="preserve"> </w:t>
      </w:r>
      <w:hyperlink w:anchor="math-eq-specificity">
        <w:r>
          <w:rPr>
            <w:rStyle w:val="Hyperlink"/>
          </w:rPr>
          <w:t xml:space="preserve">Equation 1</w:t>
        </w:r>
      </w:hyperlink>
      <w:r>
        <w:t xml:space="preserve"> </w:t>
      </w:r>
      <w:r>
        <w:t xml:space="preserve">and</w:t>
      </w:r>
      <w:r>
        <w:t xml:space="preserve"> </w:t>
      </w:r>
      <w:hyperlink w:anchor="math-eq-latency">
        <w:r>
          <w:rPr>
            <w:rStyle w:val="Hyperlink"/>
          </w:rPr>
          <w:t xml:space="preserve">Equation 2</w:t>
        </w:r>
      </w:hyperlink>
      <w:r>
        <w:t xml:space="preserve">) provide numbered equations with captions.</w:t>
      </w:r>
    </w:p>
    <w:bookmarkEnd w:id="80"/>
    <w:bookmarkStart w:id="85" w:name="MANUAL-sec6.6.3"/>
    <w:p>
      <w:pPr>
        <w:pStyle w:val="Heading3"/>
        <w:numPr>
          <w:ilvl w:val="2"/>
          <w:numId w:val="100"/>
        </w:numPr>
      </w:pPr>
      <w:r>
        <w:t xml:space="preserve">Chart with Data View Injection (Gauss)</w:t>
      </w:r>
    </w:p>
    <w:p>
      <w:pPr>
        <w:pStyle w:val="FirstParagraph"/>
      </w:pPr>
      <w:r>
        <w:t xml:space="preserve">Charts can load data dynamically from view modules using the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attribute. The</w:t>
      </w:r>
      <w:r>
        <w:t xml:space="preserve"> </w:t>
      </w:r>
      <w:r>
        <w:rPr>
          <w:rStyle w:val="VerbatimChar"/>
        </w:rPr>
        <w:t xml:space="preserve">gauss</w:t>
      </w:r>
      <w:r>
        <w:t xml:space="preserve"> </w:t>
      </w:r>
      <w:r>
        <w:t xml:space="preserve">view generates a Gaussian probability density function and injects it into the ECharts dataset. The chart below demonstrates this – the</w:t>
      </w:r>
      <w:r>
        <w:t xml:space="preserve"> </w:t>
      </w:r>
      <w:r>
        <w:rPr>
          <w:rStyle w:val="VerbatimChar"/>
        </w:rPr>
        <w:t xml:space="preserve">view="gauss"</w:t>
      </w:r>
      <w:r>
        <w:t xml:space="preserve"> </w:t>
      </w:r>
      <w:r>
        <w:t xml:space="preserve">attribute triggers the data injection pipeline:</w:t>
      </w:r>
    </w:p>
    <w:bookmarkStart w:id="83674" w:name="echarts-chart-gauss"/>
    <w:p>
      <w:pPr>
        <w:pStyle w:val="Caption"/>
        <w:keepNext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Standard Normal Distribution</w:t>
      </w:r>
    </w:p>
    <w:p>
      <w:pPr>
        <w:pStyle w:val="BodyText"/>
        <w:jc w:val="center"/>
      </w:pPr>
      <w:r>
        <w:drawing>
          <wp:inline>
            <wp:extent cx="5334000" cy="3556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charts/7ef7ee309feaead857317ab44ef31f57790fbd0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674"/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attribute passes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xmin</w:t>
      </w:r>
      <w:r>
        <w:t xml:space="preserve">,</w:t>
      </w:r>
      <w:r>
        <w:t xml:space="preserve"> </w:t>
      </w:r>
      <w:r>
        <w:rPr>
          <w:rStyle w:val="VerbatimChar"/>
        </w:rPr>
        <w:t xml:space="preserve">xmax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to the Gauss view’s</w:t>
      </w:r>
      <w:r>
        <w:t xml:space="preserve"> </w:t>
      </w:r>
      <w:r>
        <w:rPr>
          <w:rStyle w:val="VerbatimChar"/>
        </w:rPr>
        <w:t xml:space="preserve">generate()</w:t>
      </w:r>
      <w:r>
        <w:t xml:space="preserve"> </w:t>
      </w:r>
      <w:r>
        <w:t xml:space="preserve">function. The function returns an ECharts dataset that replaces the chart’s placeholder data at render time. This same mechanism supports custom data views that query the SpecIR database; see</w:t>
      </w:r>
      <w:r>
        <w:t xml:space="preserve"> </w:t>
      </w:r>
      <w:hyperlink r:id="rId84">
        <w:r>
          <w:rPr>
            <w:rStyle w:val="Hyperlink"/>
          </w:rPr>
          <w:t xml:space="preserve">creating-a-model: Walkthrough: Custom View</w:t>
        </w:r>
      </w:hyperlink>
      <w:r>
        <w:t xml:space="preserve"> </w:t>
      </w:r>
      <w:r>
        <w:t xml:space="preserve">in the model guide for details on creating view modules.</w:t>
      </w:r>
    </w:p>
    <w:bookmarkEnd w:id="85"/>
    <w:bookmarkStart w:id="86" w:name="MANUAL-sec6.6.4"/>
    <w:p>
      <w:pPr>
        <w:pStyle w:val="Heading3"/>
        <w:numPr>
          <w:ilvl w:val="2"/>
          <w:numId w:val="100"/>
        </w:numPr>
      </w:pPr>
      <w:r>
        <w:t xml:space="preserve">Generated Lists</w:t>
      </w:r>
    </w:p>
    <w:p>
      <w:pPr>
        <w:pStyle w:val="FirstParagraph"/>
      </w:pPr>
      <w:r>
        <w:t xml:space="preserve">The [LOF] and [LOT] views produce navigable lists of figures and tables. These are rendered in the appendices of this manual:</w:t>
      </w:r>
    </w:p>
    <w:p>
      <w:pPr>
        <w:pStyle w:val="Compact"/>
        <w:numPr>
          <w:ilvl w:val="0"/>
          <w:numId w:val="1014"/>
        </w:numPr>
      </w:pPr>
      <w:hyperlink w:anchor="MANUAL-sec14">
        <w:r>
          <w:rPr>
            <w:rStyle w:val="Hyperlink"/>
          </w:rPr>
          <w:t xml:space="preserve">List of Figures</w:t>
        </w:r>
      </w:hyperlink>
      <w:r>
        <w:t xml:space="preserve"> </w:t>
      </w:r>
      <w:r>
        <w:t xml:space="preserve">– generated by [LOF]</w:t>
      </w:r>
    </w:p>
    <w:p>
      <w:pPr>
        <w:pStyle w:val="Compact"/>
        <w:numPr>
          <w:ilvl w:val="0"/>
          <w:numId w:val="1014"/>
        </w:numPr>
      </w:pPr>
      <w:hyperlink w:anchor="MANUAL-sec15">
        <w:r>
          <w:rPr>
            <w:rStyle w:val="Hyperlink"/>
          </w:rPr>
          <w:t xml:space="preserve">List of Tables</w:t>
        </w:r>
      </w:hyperlink>
      <w:r>
        <w:t xml:space="preserve"> </w:t>
      </w:r>
      <w:r>
        <w:t xml:space="preserve">– generated by [LOT]</w:t>
      </w:r>
    </w:p>
    <w:p>
      <w:pPr>
        <w:pStyle w:val="Compact"/>
        <w:numPr>
          <w:ilvl w:val="0"/>
          <w:numId w:val="1014"/>
        </w:numPr>
      </w:pPr>
      <w:hyperlink w:anchor="MANUAL-sec17">
        <w:r>
          <w:rPr>
            <w:rStyle w:val="Hyperlink"/>
          </w:rPr>
          <w:t xml:space="preserve">List of Abbreviations</w:t>
        </w:r>
      </w:hyperlink>
      <w:r>
        <w:t xml:space="preserve"> </w:t>
      </w:r>
      <w:r>
        <w:t xml:space="preserve">– generated by</w:t>
      </w:r>
      <w:r>
        <w:t xml:space="preserve"> </w:t>
      </w:r>
      <w:r>
        <w:rPr>
          <w:rStyle w:val="VerbatimChar"/>
        </w:rPr>
        <w:t xml:space="preserve">abbrev_list</w:t>
      </w:r>
    </w:p>
    <w:bookmarkEnd w:id="86"/>
    <w:bookmarkEnd w:id="87"/>
    <w:bookmarkEnd w:id="88"/>
    <w:bookmarkStart w:id="92" w:name="MANUAL-sec7"/>
    <w:p>
      <w:pPr>
        <w:pStyle w:val="Heading1"/>
        <w:numPr>
          <w:ilvl w:val="0"/>
          <w:numId w:val="100"/>
        </w:numPr>
      </w:pPr>
      <w:r>
        <w:t xml:space="preserve">Invocation</w:t>
      </w:r>
    </w:p>
    <w:bookmarkStart w:id="89" w:name="MANUAL-sec7.1"/>
    <w:p>
      <w:pPr>
        <w:pStyle w:val="Heading2"/>
        <w:numPr>
          <w:ilvl w:val="1"/>
          <w:numId w:val="100"/>
        </w:numPr>
      </w:pPr>
      <w:r>
        <w:t xml:space="preserve">Basic Usage</w:t>
      </w:r>
    </w:p>
    <w:bookmarkStart w:id="1073" w:name="listing-src-basic-usag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Basic invocation</w:t>
      </w:r>
    </w:p>
    <w:p>
      <w:pPr>
        <w:pStyle w:val="SourceCode"/>
      </w:pPr>
      <w:r>
        <w:rPr>
          <w:rStyle w:val="ExtensionTok"/>
        </w:rPr>
        <w:t xml:space="preserve">specc</w:t>
      </w:r>
      <w:r>
        <w:rPr>
          <w:rStyle w:val="NormalTok"/>
        </w:rPr>
        <w:t xml:space="preserve"> build</w:t>
      </w:r>
    </w:p>
    <w:bookmarkEnd w:id="1073"/>
    <w:p>
      <w:pPr>
        <w:pStyle w:val="FirstParagraph"/>
      </w:pPr>
      <w:r>
        <w:t xml:space="preserve">Processes all files from</w:t>
      </w:r>
      <w:r>
        <w:t xml:space="preserve"> </w:t>
      </w:r>
      <w:r>
        <w:rPr>
          <w:rStyle w:val="VerbatimChar"/>
        </w:rPr>
        <w:t xml:space="preserve">doc_files</w:t>
      </w:r>
      <w:r>
        <w:t xml:space="preserve"> </w:t>
      </w:r>
      <w:r>
        <w:t xml:space="preserve">in the current directory’s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An alternative project file can be specified:</w:t>
      </w:r>
      <w:r>
        <w:t xml:space="preserve"> </w:t>
      </w:r>
      <w:r>
        <w:rPr>
          <w:rStyle w:val="VerbatimChar"/>
        </w:rPr>
        <w:t xml:space="preserve">specc build my-project.yaml</w:t>
      </w:r>
      <w:r>
        <w:t xml:space="preserve">.</w:t>
      </w:r>
    </w:p>
    <w:bookmarkEnd w:id="89"/>
    <w:bookmarkStart w:id="90" w:name="MANUAL-sec7.2"/>
    <w:p>
      <w:pPr>
        <w:pStyle w:val="Heading2"/>
        <w:numPr>
          <w:ilvl w:val="1"/>
          <w:numId w:val="100"/>
        </w:numPr>
      </w:pPr>
      <w:r>
        <w:t xml:space="preserve">Environment Variables</w:t>
      </w:r>
    </w:p>
    <w:bookmarkStart w:id="23843" w:name="csv-tbl-env-var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Environment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Variable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SPECCOMPILER_LOG_LEVEL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Override log level: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SPECCOMPILER_HOME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/opt/speccompiler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SpecCompiler installation root (model and binary lookup)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SPECCOMPILER_DIST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/opt/speccompiler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Distribution root (used internally for external renderers)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SPECCOMPILER_IMAGE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speccompiler-core:latest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Docker image reference (overrides default in wrapper)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NO_COLOR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(unset)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Disable ANSI color codes in output</w:t>
            </w:r>
          </w:p>
        </w:tc>
      </w:tr>
    </w:tbl>
    <w:bookmarkEnd w:id="23843"/>
    <w:bookmarkEnd w:id="90"/>
    <w:bookmarkStart w:id="91" w:name="MANUAL-sec7.3"/>
    <w:p>
      <w:pPr>
        <w:pStyle w:val="Heading2"/>
        <w:numPr>
          <w:ilvl w:val="1"/>
          <w:numId w:val="100"/>
        </w:numPr>
      </w:pPr>
      <w:r>
        <w:t xml:space="preserve">Exit Codes</w:t>
      </w:r>
    </w:p>
    <w:bookmarkStart w:id="82958" w:name="csv-tbl-exit-code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Exit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Code</w:t>
            </w:r>
          </w:p>
        </w:tc>
        <w:tc>
          <w:tcPr>
            <w:shd w:color="auto" w:fill="E8E8E8" w:val="clear"/>
          </w:tcPr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0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Success: all documents processed and outputs generated</w:t>
            </w:r>
          </w:p>
        </w:tc>
      </w:tr>
      <w:tr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1</w:t>
            </w:r>
          </w:p>
        </w:tc>
        <w:tc>
          <w:tcPr/>
          <w:p>
            <w:pPr>
              <w:pStyle w:val="Compact"/>
              <w:ind w:right="0" w:firstLine="0" w:left="0"/>
              <w:spacing w:lineRule="auto" w:after="40" w:line="240" w:before="40"/>
            </w:pPr>
            <w:r>
              <w:t xml:space="preserve">Failure: Docker not running or missing config or pipeline error</w:t>
            </w:r>
          </w:p>
        </w:tc>
      </w:tr>
    </w:tbl>
    <w:bookmarkEnd w:id="82958"/>
    <w:bookmarkEnd w:id="91"/>
    <w:bookmarkEnd w:id="92"/>
    <w:bookmarkStart w:id="97" w:name="MANUAL-sec8"/>
    <w:p>
      <w:pPr>
        <w:pStyle w:val="Heading1"/>
        <w:numPr>
          <w:ilvl w:val="0"/>
          <w:numId w:val="100"/>
        </w:numPr>
      </w:pPr>
      <w:r>
        <w:t xml:space="preserve">Output Formats</w:t>
      </w:r>
    </w:p>
    <w:p>
      <w:pPr>
        <w:pStyle w:val="FirstParagraph"/>
      </w:pPr>
      <w:r>
        <w:t xml:space="preserve">Four output formats are supported. Multiple formats can be generated in a single run.</w:t>
      </w:r>
    </w:p>
    <w:bookmarkStart w:id="93" w:name="MANUAL-sec8.1"/>
    <w:p>
      <w:pPr>
        <w:pStyle w:val="Heading2"/>
        <w:numPr>
          <w:ilvl w:val="1"/>
          <w:numId w:val="100"/>
        </w:numPr>
      </w:pPr>
      <w:r>
        <w:t xml:space="preserve">DOCX (Microsoft Word)</w:t>
      </w:r>
    </w:p>
    <w:p>
      <w:pPr>
        <w:pStyle w:val="Compact"/>
        <w:numPr>
          <w:ilvl w:val="0"/>
          <w:numId w:val="1015"/>
        </w:numPr>
      </w:pPr>
      <w:r>
        <w:t xml:space="preserve">Style presets via</w:t>
      </w:r>
      <w:r>
        <w:t xml:space="preserve"> </w:t>
      </w:r>
      <w:r>
        <w:rPr>
          <w:rStyle w:val="VerbatimChar"/>
        </w:rPr>
        <w:t xml:space="preserve">docx.preset</w:t>
      </w:r>
      <w:r>
        <w:t xml:space="preserve"> </w:t>
      </w:r>
      <w:r>
        <w:t xml:space="preserve">or custom</w:t>
      </w:r>
      <w:r>
        <w:t xml:space="preserve"> </w:t>
      </w:r>
      <w:r>
        <w:rPr>
          <w:rStyle w:val="VerbatimChar"/>
        </w:rPr>
        <w:t xml:space="preserve">docx.reference_doc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Model-specific postprocessors for format transformations.</w:t>
      </w:r>
    </w:p>
    <w:p>
      <w:pPr>
        <w:pStyle w:val="FirstParagraph"/>
      </w:pPr>
      <w:r>
        <w:t xml:space="preserve">For a complete guide on customizing DOCX output – including paragraph styles, table styles, caption configuration, and postprocessors – see</w:t>
      </w:r>
      <w:r>
        <w:t xml:space="preserve"> </w:t>
      </w:r>
      <w:hyperlink r:id="rId72">
        <w:r>
          <w:rPr>
            <w:rStyle w:val="Hyperlink"/>
          </w:rPr>
          <w:t xml:space="preserve">docx-customization: Style Presets</w:t>
        </w:r>
      </w:hyperlink>
      <w:r>
        <w:t xml:space="preserve"> </w:t>
      </w:r>
      <w:r>
        <w:t xml:space="preserve">and</w:t>
      </w:r>
      <w:r>
        <w:t xml:space="preserve"> </w:t>
      </w:r>
      <w:hyperlink r:id="rId75">
        <w:r>
          <w:rPr>
            <w:rStyle w:val="Hyperlink"/>
          </w:rPr>
          <w:t xml:space="preserve">docx-customization: Postprocessors</w:t>
        </w:r>
      </w:hyperlink>
      <w:r>
        <w:t xml:space="preserve"> </w:t>
      </w:r>
      <w:r>
        <w:t xml:space="preserve">in the companion</w:t>
      </w:r>
      <w:r>
        <w:t xml:space="preserve"> </w:t>
      </w:r>
      <w:r>
        <w:rPr>
          <w:i/>
          <w:iCs/>
        </w:rPr>
        <w:t xml:space="preserve">DOCX Customization</w:t>
      </w:r>
      <w:r>
        <w:t xml:space="preserve"> </w:t>
      </w:r>
      <w:r>
        <w:t xml:space="preserve">guide.</w:t>
      </w:r>
    </w:p>
    <w:bookmarkEnd w:id="93"/>
    <w:bookmarkStart w:id="94" w:name="MANUAL-sec8.2"/>
    <w:p>
      <w:pPr>
        <w:pStyle w:val="Heading2"/>
        <w:numPr>
          <w:ilvl w:val="1"/>
          <w:numId w:val="100"/>
        </w:numPr>
      </w:pPr>
      <w:r>
        <w:t xml:space="preserve">HTML5</w:t>
      </w:r>
    </w:p>
    <w:bookmarkStart w:id="92230" w:name="csv-tbl-html5-option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HTML5 output options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Option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number_sections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Add section numbering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table_of_contents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Generate table of contents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toc_depth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Heading depth for TOC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standalone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Produce complete HTML document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embed_resources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Embed CSS and images inline</w:t>
            </w:r>
          </w:p>
        </w:tc>
      </w:tr>
    </w:tbl>
    <w:bookmarkEnd w:id="92230"/>
    <w:bookmarkEnd w:id="94"/>
    <w:bookmarkStart w:id="95" w:name="MANUAL-sec8.3"/>
    <w:p>
      <w:pPr>
        <w:pStyle w:val="Heading2"/>
        <w:numPr>
          <w:ilvl w:val="1"/>
          <w:numId w:val="100"/>
        </w:numPr>
      </w:pPr>
      <w:r>
        <w:t xml:space="preserve">Markdown (GitHub-Flavored Markdown (GFM))</w:t>
      </w:r>
    </w:p>
    <w:p>
      <w:pPr>
        <w:pStyle w:val="FirstParagraph"/>
      </w:pPr>
      <w:r>
        <w:t xml:space="preserve">GitHub-Flavored Markdown. Useful for review platforms and static site generators.</w:t>
      </w:r>
    </w:p>
    <w:bookmarkEnd w:id="95"/>
    <w:bookmarkStart w:id="96" w:name="MANUAL-sec8.4"/>
    <w:p>
      <w:pPr>
        <w:pStyle w:val="Heading2"/>
        <w:numPr>
          <w:ilvl w:val="1"/>
          <w:numId w:val="100"/>
        </w:numPr>
      </w:pPr>
      <w:r>
        <w:t xml:space="preserve">JSON (Pandoc AST)</w:t>
      </w:r>
    </w:p>
    <w:p>
      <w:pPr>
        <w:pStyle w:val="FirstParagraph"/>
      </w:pPr>
      <w:r>
        <w:t xml:space="preserve">Full Pandoc AST for programmatic integration with other tools.</w:t>
      </w:r>
    </w:p>
    <w:bookmarkEnd w:id="96"/>
    <w:bookmarkEnd w:id="97"/>
    <w:bookmarkStart w:id="101" w:name="MANUAL-sec9"/>
    <w:p>
      <w:pPr>
        <w:pStyle w:val="Heading1"/>
        <w:numPr>
          <w:ilvl w:val="0"/>
          <w:numId w:val="100"/>
        </w:numPr>
      </w:pPr>
      <w:r>
        <w:t xml:space="preserve">Verification and Diagnostics</w:t>
      </w:r>
    </w:p>
    <w:bookmarkStart w:id="98" w:name="MANUAL-sec9.1"/>
    <w:p>
      <w:pPr>
        <w:pStyle w:val="Heading2"/>
        <w:numPr>
          <w:ilvl w:val="1"/>
          <w:numId w:val="100"/>
        </w:numPr>
      </w:pPr>
      <w:r>
        <w:t xml:space="preserve">Diagnostic Output</w:t>
      </w:r>
    </w:p>
    <w:p>
      <w:pPr>
        <w:pStyle w:val="FirstParagraph"/>
      </w:pPr>
      <w:r>
        <w:t xml:space="preserve">Diagnostics are emitted in NDJSON format to stderr:</w:t>
      </w:r>
    </w:p>
    <w:bookmarkStart w:id="24499" w:name="listing-src-diagnostic-ndjson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Diagnostic NDJSON example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"[object_missing_required] Object missing required attribute 'priority' on HLR-001"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"srs.md"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}</w:t>
      </w:r>
    </w:p>
    <w:bookmarkEnd w:id="24499"/>
    <w:bookmarkEnd w:id="98"/>
    <w:bookmarkStart w:id="99" w:name="MANUAL-sec9.2"/>
    <w:p>
      <w:pPr>
        <w:pStyle w:val="Heading2"/>
        <w:numPr>
          <w:ilvl w:val="1"/>
          <w:numId w:val="100"/>
        </w:numPr>
      </w:pPr>
      <w:r>
        <w:t xml:space="preserve">Diagnostic Reference</w:t>
      </w:r>
    </w:p>
    <w:bookmarkStart w:id="98060" w:name="csv-tbl-error-codes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Validation diagnostics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Policy Key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spec_missing_required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Specification missing required attribute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spec_invalid_type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Invalid specification type reference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object_missing_required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Spec object missing required attribute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object_cardinality_over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Attribute cardinality exceeded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object_cast_failures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Attribute type cast failure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object_invalid_enum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Invalid enum value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object_invalid_date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Invalid date format (expected YYYY-MM-DD)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object_bounds_violation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Value outside declared bounds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object_duplicate_pid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Duplicate PID across spec objects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float_orphan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Float has no parent object (orphan)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float_duplicate_label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Duplicate float label in specification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float_render_failure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External render failure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float_invalid_type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Invalid float type reference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relation_unresolved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Unresolved link (PIDs are case-sensitive)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relation_dangling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Dangling relation (target not found)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relation_ambiguous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Ambiguous float reference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view_materialization_failure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View materialization failure</w:t>
            </w:r>
          </w:p>
        </w:tc>
      </w:tr>
    </w:tbl>
    <w:bookmarkEnd w:id="98060"/>
    <w:bookmarkEnd w:id="99"/>
    <w:bookmarkStart w:id="100" w:name="MANUAL-sec9.3"/>
    <w:p>
      <w:pPr>
        <w:pStyle w:val="Heading2"/>
        <w:numPr>
          <w:ilvl w:val="1"/>
          <w:numId w:val="100"/>
        </w:numPr>
      </w:pPr>
      <w:r>
        <w:t xml:space="preserve">Suppressing Validation Rules</w:t>
      </w:r>
    </w:p>
    <w:p>
      <w:pPr>
        <w:pStyle w:val="FirstParagraph"/>
      </w:pPr>
      <w:r>
        <w:t xml:space="preserve">Every diagnostic listed in</w:t>
      </w:r>
      <w:r>
        <w:t xml:space="preserve"> </w:t>
      </w:r>
      <w:hyperlink w:anchor="csv-tbl-error-codes">
        <w:r>
          <w:rPr>
            <w:rStyle w:val="Hyperlink"/>
          </w:rPr>
          <w:t xml:space="preserve">Table 16</w:t>
        </w:r>
      </w:hyperlink>
      <w:r>
        <w:t xml:space="preserve"> </w:t>
      </w:r>
      <w:r>
        <w:t xml:space="preserve">can be suppressed or downgraded 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 </w:t>
      </w:r>
      <w:r>
        <w:t xml:space="preserve">using its policy key:</w:t>
      </w:r>
    </w:p>
    <w:bookmarkStart w:id="14565" w:name="listing-src-suppress-exampl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Suppressing a validation rule</w:t>
      </w:r>
    </w:p>
    <w:p>
      <w:pPr>
        <w:pStyle w:val="SourceCode"/>
      </w:pPr>
      <w:r>
        <w:rPr>
          <w:rStyle w:val="FunctionTok"/>
        </w:rPr>
        <w:t xml:space="preserve">validation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float_orphan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ignore</w:t>
      </w:r>
      <w:r>
        <w:rPr>
          <w:rStyle w:val="CommentTok"/>
        </w:rPr>
        <w:t xml:space="preserve">              # suppress entirely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relation_unresolved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rPr>
          <w:rStyle w:val="CommentTok"/>
        </w:rPr>
        <w:t xml:space="preserve">         # downgrade to warning</w:t>
      </w:r>
    </w:p>
    <w:bookmarkEnd w:id="14565"/>
    <w:p>
      <w:pPr>
        <w:pStyle w:val="FirstParagraph"/>
      </w:pPr>
      <w:r>
        <w:t xml:space="preserve">All proofs default to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(halt the build). Set a key to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to emit a warning without halting, or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to suppress the diagnostic entirely. Custom proofs can define their own policy keys; see</w:t>
      </w:r>
      <w:r>
        <w:t xml:space="preserve"> </w:t>
      </w:r>
      <w:hyperlink r:id="rId23">
        <w:r>
          <w:rPr>
            <w:rStyle w:val="Hyperlink"/>
          </w:rPr>
          <w:t xml:space="preserve">creating-a-model: Validation Proofs</w:t>
        </w:r>
      </w:hyperlink>
      <w:r>
        <w:t xml:space="preserve"> </w:t>
      </w:r>
      <w:r>
        <w:t xml:space="preserve">in the model guide.</w:t>
      </w:r>
    </w:p>
    <w:bookmarkEnd w:id="100"/>
    <w:bookmarkEnd w:id="101"/>
    <w:bookmarkStart w:id="104" w:name="MANUAL-sec10"/>
    <w:p>
      <w:pPr>
        <w:pStyle w:val="Heading1"/>
        <w:numPr>
          <w:ilvl w:val="0"/>
          <w:numId w:val="100"/>
        </w:numPr>
      </w:pPr>
      <w:r>
        <w:t xml:space="preserve">Incremental Builds</w:t>
      </w:r>
    </w:p>
    <w:bookmarkStart w:id="102" w:name="MANUAL-sec10.1"/>
    <w:p>
      <w:pPr>
        <w:pStyle w:val="Heading2"/>
        <w:numPr>
          <w:ilvl w:val="1"/>
          <w:numId w:val="100"/>
        </w:numPr>
      </w:pPr>
      <w:r>
        <w:t xml:space="preserve">Build Cache Mechanism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 hashing</w:t>
      </w:r>
      <w:r>
        <w:t xml:space="preserve"> </w:t>
      </w:r>
      <w:r>
        <w:t xml:space="preserve">– SHA-1 hash of each input file.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Include dependency tracking</w:t>
      </w:r>
      <w:r>
        <w:t xml:space="preserve"> </w:t>
      </w:r>
      <w:r>
        <w:t xml:space="preserve">– Tracked in</w:t>
      </w:r>
      <w:r>
        <w:t xml:space="preserve"> </w:t>
      </w:r>
      <w:r>
        <w:rPr>
          <w:rStyle w:val="VerbatimChar"/>
        </w:rPr>
        <w:t xml:space="preserve">build_graph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Cache comparison</w:t>
      </w:r>
      <w:r>
        <w:t xml:space="preserve"> </w:t>
      </w:r>
      <w:r>
        <w:t xml:space="preserve">– Current hashes vs</w:t>
      </w:r>
      <w:r>
        <w:t xml:space="preserve"> </w:t>
      </w:r>
      <w:r>
        <w:rPr>
          <w:rStyle w:val="VerbatimChar"/>
        </w:rPr>
        <w:t xml:space="preserve">build_cache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Skip decision</w:t>
      </w:r>
      <w:r>
        <w:t xml:space="preserve"> </w:t>
      </w:r>
      <w:r>
        <w:t xml:space="preserve">– Unchanged documents reuse cached SpecIR data.</w:t>
      </w:r>
    </w:p>
    <w:bookmarkEnd w:id="102"/>
    <w:bookmarkStart w:id="103" w:name="MANUAL-sec10.2"/>
    <w:p>
      <w:pPr>
        <w:pStyle w:val="Heading2"/>
        <w:numPr>
          <w:ilvl w:val="1"/>
          <w:numId w:val="100"/>
        </w:numPr>
      </w:pPr>
      <w:r>
        <w:t xml:space="preserve">Forcing a Full Rebuild</w:t>
      </w:r>
    </w:p>
    <w:bookmarkStart w:id="55656" w:name="listing-src-force-rebuild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Force full rebuild</w:t>
      </w:r>
    </w:p>
    <w:p>
      <w:pPr>
        <w:pStyle w:val="SourceCode"/>
      </w:pPr>
      <w:r>
        <w:rPr>
          <w:rStyle w:val="ExtensionTok"/>
        </w:rPr>
        <w:t xml:space="preserve">specc</w:t>
      </w:r>
      <w:r>
        <w:rPr>
          <w:rStyle w:val="NormalTok"/>
        </w:rPr>
        <w:t xml:space="preserve"> clean</w:t>
      </w:r>
      <w:r>
        <w:br/>
      </w:r>
      <w:r>
        <w:rPr>
          <w:rStyle w:val="ExtensionTok"/>
        </w:rPr>
        <w:t xml:space="preserve">specc</w:t>
      </w:r>
      <w:r>
        <w:rPr>
          <w:rStyle w:val="NormalTok"/>
        </w:rPr>
        <w:t xml:space="preserve"> build</w:t>
      </w:r>
    </w:p>
    <w:bookmarkEnd w:id="55656"/>
    <w:bookmarkEnd w:id="103"/>
    <w:bookmarkEnd w:id="104"/>
    <w:bookmarkStart w:id="113" w:name="MANUAL-sec11"/>
    <w:p>
      <w:pPr>
        <w:pStyle w:val="Heading1"/>
        <w:numPr>
          <w:ilvl w:val="0"/>
          <w:numId w:val="100"/>
        </w:numPr>
      </w:pPr>
      <w:r>
        <w:t xml:space="preserve">Type System and Models</w:t>
      </w:r>
    </w:p>
    <w:bookmarkStart w:id="108" w:name="MANUAL-sec11.1"/>
    <w:p>
      <w:pPr>
        <w:pStyle w:val="Heading2"/>
        <w:numPr>
          <w:ilvl w:val="1"/>
          <w:numId w:val="100"/>
        </w:numPr>
      </w:pPr>
      <w:r>
        <w:t xml:space="preserve">Custom Models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template: mymodel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 Types load in order: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models/default/types/</w:t>
      </w:r>
      <w:r>
        <w:t xml:space="preserve"> </w:t>
      </w:r>
      <w:r>
        <w:t xml:space="preserve">– Always loaded first.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models/mymodel/types/</w:t>
      </w:r>
      <w:r>
        <w:t xml:space="preserve"> </w:t>
      </w:r>
      <w:r>
        <w:t xml:space="preserve">– Loaded as overlay.</w:t>
      </w:r>
    </w:p>
    <w:p>
      <w:pPr>
        <w:pStyle w:val="FirstParagraph"/>
      </w:pPr>
      <w:r>
        <w:t xml:space="preserve">For a complete walkthrough on creating custom types, including object types, float types, relation types with inference rules, and view types, see the companion</w:t>
      </w:r>
      <w:r>
        <w:t xml:space="preserve"> </w:t>
      </w:r>
      <w:r>
        <w:rPr>
          <w:i/>
          <w:iCs/>
        </w:rPr>
        <w:t xml:space="preserve">Creating a Custom Model</w:t>
      </w:r>
      <w:r>
        <w:t xml:space="preserve"> </w:t>
      </w:r>
      <w:r>
        <w:t xml:space="preserve">guide. Key sections include:</w:t>
      </w:r>
    </w:p>
    <w:p>
      <w:pPr>
        <w:pStyle w:val="Compact"/>
        <w:numPr>
          <w:ilvl w:val="0"/>
          <w:numId w:val="1018"/>
        </w:numPr>
      </w:pPr>
      <w:hyperlink r:id="rId21">
        <w:r>
          <w:rPr>
            <w:rStyle w:val="Hyperlink"/>
          </w:rPr>
          <w:t xml:space="preserve">creating-a-model: Model Directory Layout</w:t>
        </w:r>
      </w:hyperlink>
      <w:r>
        <w:t xml:space="preserve"> </w:t>
      </w:r>
      <w:r>
        <w:t xml:space="preserve">– Directory structure for models.</w:t>
      </w:r>
    </w:p>
    <w:p>
      <w:pPr>
        <w:pStyle w:val="Compact"/>
        <w:numPr>
          <w:ilvl w:val="0"/>
          <w:numId w:val="1018"/>
        </w:numPr>
      </w:pPr>
      <w:hyperlink r:id="rId105">
        <w:r>
          <w:rPr>
            <w:rStyle w:val="Hyperlink"/>
          </w:rPr>
          <w:t xml:space="preserve">creating-a-model: Type Definition Pattern</w:t>
        </w:r>
      </w:hyperlink>
      <w:r>
        <w:t xml:space="preserve"> </w:t>
      </w:r>
      <w:r>
        <w:t xml:space="preserve">– Schema keys by category and handler lifecycle.</w:t>
      </w:r>
    </w:p>
    <w:p>
      <w:pPr>
        <w:pStyle w:val="Compact"/>
        <w:numPr>
          <w:ilvl w:val="0"/>
          <w:numId w:val="1018"/>
        </w:numPr>
      </w:pPr>
      <w:hyperlink r:id="rId106">
        <w:r>
          <w:rPr>
            <w:rStyle w:val="Hyperlink"/>
          </w:rPr>
          <w:t xml:space="preserve">creating-a-model: Walkthrough: Custom Object Type</w:t>
        </w:r>
      </w:hyperlink>
      <w:r>
        <w:t xml:space="preserve"> </w:t>
      </w:r>
      <w:r>
        <w:t xml:space="preserve">– Custom object type with attributes.</w:t>
      </w:r>
    </w:p>
    <w:p>
      <w:pPr>
        <w:pStyle w:val="Compact"/>
        <w:numPr>
          <w:ilvl w:val="0"/>
          <w:numId w:val="1018"/>
        </w:numPr>
      </w:pPr>
      <w:hyperlink r:id="rId107">
        <w:r>
          <w:rPr>
            <w:rStyle w:val="Hyperlink"/>
          </w:rPr>
          <w:t xml:space="preserve">creating-a-model: Walkthrough: Custom Relation with Inference Rules</w:t>
        </w:r>
      </w:hyperlink>
      <w:r>
        <w:t xml:space="preserve"> </w:t>
      </w:r>
      <w:r>
        <w:t xml:space="preserve">– Relation inference scoring.</w:t>
      </w:r>
    </w:p>
    <w:p>
      <w:pPr>
        <w:pStyle w:val="Compact"/>
        <w:numPr>
          <w:ilvl w:val="0"/>
          <w:numId w:val="1018"/>
        </w:numPr>
      </w:pPr>
      <w:hyperlink r:id="rId23">
        <w:r>
          <w:rPr>
            <w:rStyle w:val="Hyperlink"/>
          </w:rPr>
          <w:t xml:space="preserve">creating-a-model: Validation Proofs</w:t>
        </w:r>
      </w:hyperlink>
      <w:r>
        <w:t xml:space="preserve"> </w:t>
      </w:r>
      <w:r>
        <w:t xml:space="preserve">– SQL-based proof views for the VERIFY phase.</w:t>
      </w:r>
    </w:p>
    <w:bookmarkEnd w:id="108"/>
    <w:bookmarkStart w:id="109" w:name="MANUAL-sec11.2"/>
    <w:p>
      <w:pPr>
        <w:pStyle w:val="Heading2"/>
        <w:numPr>
          <w:ilvl w:val="1"/>
          <w:numId w:val="100"/>
        </w:numPr>
      </w:pPr>
      <w:r>
        <w:t xml:space="preserve">Built-in Models</w:t>
      </w:r>
    </w:p>
    <w:p>
      <w:pPr>
        <w:pStyle w:val="FirstParagraph"/>
      </w:pPr>
      <w:r>
        <w:t xml:space="preserve">SpecCompiler ships with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sw_docs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model provides general-purpose types (specifications, sections, floats, cross-references, views). The</w:t>
      </w:r>
      <w:r>
        <w:t xml:space="preserve"> </w:t>
      </w:r>
      <w:r>
        <w:rPr>
          <w:rStyle w:val="VerbatimChar"/>
        </w:rPr>
        <w:t xml:space="preserve">sw_docs</w:t>
      </w:r>
      <w:r>
        <w:t xml:space="preserve"> </w:t>
      </w:r>
      <w:r>
        <w:t xml:space="preserve">model overlays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with types for requirements engineering and traceability: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 types</w:t>
      </w:r>
      <w:r>
        <w:t xml:space="preserve">: HLR, LLR, NFR, VC, TR, FD, CSC, CSU, DIC, DD, SF (all extend a common TRACEABLE base 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attribute and PID auto-generation)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Specification types</w:t>
      </w:r>
      <w:r>
        <w:t xml:space="preserve">: SRS, SDD, SVC, SUM, TRR (document templates with version, status, date)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Relation types</w:t>
      </w:r>
      <w:r>
        <w:t xml:space="preserve">: TRACES_TO, BELONGS, REALIZES, XREF_DECOMPOSITION, XREF_DIC (traceability links with specificity-based inference)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View types</w:t>
      </w:r>
      <w:r>
        <w:t xml:space="preserve">: TRACEABILITY_MATRIX, TEST_RESULTS_MATRIX, TEST_EXECUTION_MATRIX, COVERAGE_SUMMARY, REQUIREMENTS_SUMMARY (query-based tables materialized from the SpecIR)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Proofs</w:t>
      </w:r>
      <w:r>
        <w:t xml:space="preserve">: Traceability chain validation (VC-HLR, TR-VC, FD-CSC/CSU coverage)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Postprocessor</w:t>
      </w:r>
      <w:r>
        <w:t xml:space="preserve">: Interactive single-file HTML5 web application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docs/engineering_docs/</w:t>
      </w:r>
      <w:r>
        <w:t xml:space="preserve"> </w:t>
      </w:r>
      <w:r>
        <w:t xml:space="preserve">directory in this repository uses</w:t>
      </w:r>
      <w:r>
        <w:t xml:space="preserve"> </w:t>
      </w:r>
      <w:r>
        <w:rPr>
          <w:rStyle w:val="VerbatimChar"/>
        </w:rPr>
        <w:t xml:space="preserve">sw_docs</w:t>
      </w:r>
      <w:r>
        <w:t xml:space="preserve"> </w:t>
      </w:r>
      <w:r>
        <w:t xml:space="preserve">and serves as a living example of the model in practice.</w:t>
      </w:r>
    </w:p>
    <w:bookmarkEnd w:id="109"/>
    <w:bookmarkStart w:id="110" w:name="MANUAL-sec11.3"/>
    <w:p>
      <w:pPr>
        <w:pStyle w:val="Heading2"/>
        <w:numPr>
          <w:ilvl w:val="1"/>
          <w:numId w:val="100"/>
        </w:numPr>
      </w:pPr>
      <w:r>
        <w:t xml:space="preserve">Type Directory Structure</w:t>
      </w:r>
    </w:p>
    <w:bookmarkStart w:id="11264" w:name="listing-src-type-directory-tre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Type model directory structure</w:t>
      </w:r>
    </w:p>
    <w:p>
      <w:pPr>
        <w:pStyle w:val="SourceCode"/>
      </w:pPr>
      <w:r>
        <w:rPr>
          <w:rStyle w:val="VerbatimChar"/>
        </w:rPr>
        <w:t xml:space="preserve">models/{template}/</w:t>
      </w:r>
      <w:r>
        <w:br/>
      </w:r>
      <w:r>
        <w:rPr>
          <w:rStyle w:val="VerbatimChar"/>
        </w:rPr>
        <w:t xml:space="preserve">  types/</w:t>
      </w:r>
      <w:r>
        <w:br/>
      </w:r>
      <w:r>
        <w:rPr>
          <w:rStyle w:val="VerbatimChar"/>
        </w:rPr>
        <w:t xml:space="preserve">    objects/          # Spec object types</w:t>
      </w:r>
      <w:r>
        <w:br/>
      </w:r>
      <w:r>
        <w:rPr>
          <w:rStyle w:val="VerbatimChar"/>
        </w:rPr>
        <w:t xml:space="preserve">    floats/           # Float types</w:t>
      </w:r>
      <w:r>
        <w:br/>
      </w:r>
      <w:r>
        <w:rPr>
          <w:rStyle w:val="VerbatimChar"/>
        </w:rPr>
        <w:t xml:space="preserve">    relations/        # Relation types</w:t>
      </w:r>
      <w:r>
        <w:br/>
      </w:r>
      <w:r>
        <w:rPr>
          <w:rStyle w:val="VerbatimChar"/>
        </w:rPr>
        <w:t xml:space="preserve">    views/            # View types</w:t>
      </w:r>
      <w:r>
        <w:br/>
      </w:r>
      <w:r>
        <w:rPr>
          <w:rStyle w:val="VerbatimChar"/>
        </w:rPr>
        <w:t xml:space="preserve">    specifications/   # Specification types</w:t>
      </w:r>
      <w:r>
        <w:br/>
      </w:r>
      <w:r>
        <w:rPr>
          <w:rStyle w:val="VerbatimChar"/>
        </w:rPr>
        <w:t xml:space="preserve">  postprocessors/     # Format-specific post-processing</w:t>
      </w:r>
      <w:r>
        <w:br/>
      </w:r>
      <w:r>
        <w:rPr>
          <w:rStyle w:val="VerbatimChar"/>
        </w:rPr>
        <w:t xml:space="preserve">  styles/             # DOCX style presets</w:t>
      </w:r>
      <w:r>
        <w:br/>
      </w:r>
      <w:r>
        <w:rPr>
          <w:rStyle w:val="VerbatimChar"/>
        </w:rPr>
        <w:t xml:space="preserve">  filters/            # Pandoc Lua filters per output format</w:t>
      </w:r>
    </w:p>
    <w:bookmarkEnd w:id="11264"/>
    <w:bookmarkEnd w:id="110"/>
    <w:bookmarkStart w:id="111" w:name="MANUAL-sec11.4"/>
    <w:p>
      <w:pPr>
        <w:pStyle w:val="Heading2"/>
        <w:numPr>
          <w:ilvl w:val="1"/>
          <w:numId w:val="100"/>
        </w:numPr>
      </w:pPr>
      <w:r>
        <w:t xml:space="preserve">Type Module Structure</w:t>
      </w:r>
    </w:p>
    <w:p>
      <w:pPr>
        <w:pStyle w:val="FirstParagraph"/>
      </w:pPr>
      <w:r>
        <w:rPr>
          <w:b/>
          <w:bCs/>
        </w:rPr>
        <w:t xml:space="preserve">Object type:</w:t>
      </w:r>
    </w:p>
    <w:bookmarkStart w:id="90468" w:name="listing-src-object-type-modul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Object type module example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long_name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"High-Level Requirement"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pid_prefix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pid_format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"%s-%03d"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attributes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"PRIORITY_ENUM"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min_occurs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max_occurs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values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"High"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90468"/>
    <w:p>
      <w:pPr>
        <w:pStyle w:val="FirstParagraph"/>
      </w:pPr>
      <w:r>
        <w:rPr>
          <w:b/>
          <w:bCs/>
        </w:rPr>
        <w:t xml:space="preserve">Relation type:</w:t>
      </w:r>
    </w:p>
    <w:bookmarkStart w:id="55809" w:name="listing-src-relation-type-module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Relation type module example</w:t>
      </w:r>
    </w:p>
    <w:p>
      <w:pPr>
        <w:pStyle w:val="SourceCode"/>
      </w:pPr>
      <w:r>
        <w:rPr>
          <w:rStyle w:val="KeywordTok"/>
        </w:rPr>
        <w:t xml:space="preserve">local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ConstantTok"/>
        </w:rPr>
        <w:t xml:space="preserve">M</w:t>
      </w:r>
      <w:r>
        <w:rPr>
          <w:rStyle w:val="OperatorTok"/>
        </w:rPr>
        <w:t xml:space="preserve">.</w:t>
      </w:r>
      <w:r>
        <w:rPr>
          <w:rStyle w:val="VariableTok"/>
        </w:rPr>
        <w:t xml:space="preserve">relation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"TRACES_TO"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link_selector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source_type_ref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target_type_ref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"HLR"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</w:p>
    <w:bookmarkEnd w:id="55809"/>
    <w:bookmarkEnd w:id="111"/>
    <w:bookmarkStart w:id="112" w:name="MANUAL-sec11.5"/>
    <w:p>
      <w:pPr>
        <w:pStyle w:val="Heading2"/>
        <w:numPr>
          <w:ilvl w:val="1"/>
          <w:numId w:val="100"/>
        </w:numPr>
      </w:pPr>
      <w:r>
        <w:t xml:space="preserve">Attribute Schema Fields</w:t>
      </w:r>
    </w:p>
    <w:bookmarkStart w:id="26825" w:name="csv-tbl-attribute-schema"/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Attribute schema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Field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Type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Default</w:t>
            </w:r>
          </w:p>
        </w:tc>
        <w:tc>
          <w:tcPr>
            <w:shd w:color="auto" w:fill="E8E8E8" w:val="clear"/>
          </w:tcPr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Attribute identifier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STRING, INTEGER, REAL, BOOLEAN, DATE, ENUM, XHTML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Minimum values (0 optional, 1 required)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Maximum values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Lower bound for numeric values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Upper bound for numeric values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nil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Valid enum values</w:t>
            </w:r>
          </w:p>
        </w:tc>
      </w:tr>
    </w:tbl>
    <w:bookmarkEnd w:id="26825"/>
    <w:bookmarkEnd w:id="112"/>
    <w:bookmarkEnd w:id="113"/>
    <w:bookmarkStart w:id="120" w:name="MANUAL-sec12"/>
    <w:p>
      <w:pPr>
        <w:pStyle w:val="Heading1"/>
        <w:numPr>
          <w:ilvl w:val="0"/>
          <w:numId w:val="100"/>
        </w:numPr>
      </w:pPr>
      <w:r>
        <w:t xml:space="preserve">Troubleshooting</w:t>
      </w:r>
    </w:p>
    <w:bookmarkStart w:id="114" w:name="MANUAL-sec12.1"/>
    <w:p>
      <w:pPr>
        <w:pStyle w:val="Heading2"/>
        <w:numPr>
          <w:ilvl w:val="1"/>
          <w:numId w:val="100"/>
        </w:numPr>
      </w:pPr>
      <w:r>
        <w:t xml:space="preserve">Docker Not Running</w:t>
      </w:r>
    </w:p>
    <w:p>
      <w:pPr>
        <w:pStyle w:val="FirstParagraph"/>
      </w:pPr>
      <w:r>
        <w:rPr>
          <w:rStyle w:val="VerbatimChar"/>
        </w:rPr>
        <w:t xml:space="preserve">Error: Docker is not running</w:t>
      </w:r>
      <w:r>
        <w:t xml:space="preserve"> </w:t>
      </w:r>
      <w:r>
        <w:t xml:space="preserve">– Start Docker daemon, verify with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.</w:t>
      </w:r>
    </w:p>
    <w:bookmarkEnd w:id="114"/>
    <w:bookmarkStart w:id="115" w:name="MANUAL-sec12.2"/>
    <w:p>
      <w:pPr>
        <w:pStyle w:val="Heading2"/>
        <w:numPr>
          <w:ilvl w:val="1"/>
          <w:numId w:val="100"/>
        </w:numPr>
      </w:pPr>
      <w:r>
        <w:t xml:space="preserve">No project.yaml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specc build</w:t>
      </w:r>
      <w:r>
        <w:t xml:space="preserve"> </w:t>
      </w:r>
      <w:r>
        <w:t xml:space="preserve">from the directory containing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bookmarkEnd w:id="115"/>
    <w:bookmarkStart w:id="116" w:name="MANUAL-sec12.3"/>
    <w:p>
      <w:pPr>
        <w:pStyle w:val="Heading2"/>
        <w:numPr>
          <w:ilvl w:val="1"/>
          <w:numId w:val="100"/>
        </w:numPr>
      </w:pPr>
      <w:r>
        <w:t xml:space="preserve">PlantUML Render Failure</w:t>
      </w:r>
    </w:p>
    <w:p>
      <w:pPr>
        <w:pStyle w:val="FirstParagraph"/>
      </w:pPr>
      <w:r>
        <w:t xml:space="preserve">Verify PlantUML syntax, ensure Docker image has Java JRE, check</w:t>
      </w:r>
      <w:r>
        <w:t xml:space="preserve"> </w:t>
      </w:r>
      <w:r>
        <w:rPr>
          <w:rStyle w:val="VerbatimChar"/>
        </w:rPr>
        <w:t xml:space="preserve">@startuml</w:t>
      </w:r>
      <w:r>
        <w:t xml:space="preserve">/</w:t>
      </w:r>
      <w:r>
        <w:rPr>
          <w:rStyle w:val="VerbatimChar"/>
        </w:rPr>
        <w:t xml:space="preserve">@enduml</w:t>
      </w:r>
      <w:r>
        <w:t xml:space="preserve"> </w:t>
      </w:r>
      <w:r>
        <w:t xml:space="preserve">markers.</w:t>
      </w:r>
    </w:p>
    <w:bookmarkEnd w:id="116"/>
    <w:bookmarkStart w:id="117" w:name="MANUAL-sec12.4"/>
    <w:p>
      <w:pPr>
        <w:pStyle w:val="Heading2"/>
        <w:numPr>
          <w:ilvl w:val="1"/>
          <w:numId w:val="100"/>
        </w:numPr>
      </w:pPr>
      <w:r>
        <w:t xml:space="preserve">Unresolved Relations</w:t>
      </w:r>
    </w:p>
    <w:p>
      <w:pPr>
        <w:pStyle w:val="FirstParagraph"/>
      </w:pPr>
      <w:r>
        <w:t xml:space="preserve">PIDs are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. Verify target PID exists in</w:t>
      </w:r>
      <w:r>
        <w:t xml:space="preserve"> </w:t>
      </w:r>
      <w:r>
        <w:rPr>
          <w:rStyle w:val="VerbatimChar"/>
        </w:rPr>
        <w:t xml:space="preserve">doc_files</w:t>
      </w:r>
      <w:r>
        <w:t xml:space="preserve">. For cross-document references, ensure both documents are listed in the same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.</w:t>
      </w:r>
    </w:p>
    <w:bookmarkEnd w:id="117"/>
    <w:bookmarkStart w:id="118" w:name="MANUAL-sec12.5"/>
    <w:p>
      <w:pPr>
        <w:pStyle w:val="Heading2"/>
        <w:numPr>
          <w:ilvl w:val="1"/>
          <w:numId w:val="100"/>
        </w:numPr>
      </w:pPr>
      <w:r>
        <w:t xml:space="preserve">Build Seems Stale</w:t>
      </w:r>
    </w:p>
    <w:bookmarkStart w:id="2501" w:name="listing-src-clean-stale-build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Clean stale build cache</w:t>
      </w:r>
    </w:p>
    <w:p>
      <w:pPr>
        <w:pStyle w:val="SourceCode"/>
      </w:pPr>
      <w:r>
        <w:rPr>
          <w:rStyle w:val="ExtensionTok"/>
        </w:rPr>
        <w:t xml:space="preserve">specc</w:t>
      </w:r>
      <w:r>
        <w:rPr>
          <w:rStyle w:val="NormalTok"/>
        </w:rPr>
        <w:t xml:space="preserve"> clean</w:t>
      </w:r>
      <w:r>
        <w:br/>
      </w:r>
      <w:r>
        <w:rPr>
          <w:rStyle w:val="ExtensionTok"/>
        </w:rPr>
        <w:t xml:space="preserve">specc</w:t>
      </w:r>
      <w:r>
        <w:rPr>
          <w:rStyle w:val="NormalTok"/>
        </w:rPr>
        <w:t xml:space="preserve"> build</w:t>
      </w:r>
    </w:p>
    <w:bookmarkEnd w:id="2501"/>
    <w:bookmarkEnd w:id="118"/>
    <w:bookmarkStart w:id="119" w:name="MANUAL-sec12.6"/>
    <w:p>
      <w:pPr>
        <w:pStyle w:val="Heading2"/>
        <w:numPr>
          <w:ilvl w:val="1"/>
          <w:numId w:val="100"/>
        </w:numPr>
      </w:pPr>
      <w:r>
        <w:t xml:space="preserve">Debugging</w:t>
      </w:r>
    </w:p>
    <w:bookmarkStart w:id="88848" w:name="listing-src-debug-log-level"/>
    <w:p>
      <w:pPr>
        <w:pStyle w:val="Caption"/>
        <w:keepNext/>
      </w:pPr>
      <w:r>
        <w:t xml:space="preserve">Listing </w:t>
      </w:r>
      <w:r>
        <w:fldChar w:fldCharType="begin"/>
      </w:r>
      <w:r>
        <w:instrText xml:space="preserve"> SEQ LISTING \* ARABIC </w:instrText>
      </w:r>
      <w:r>
        <w:fldChar w:fldCharType="separate"/>
      </w:r>
      <w:r>
        <w:t>1</w:t>
      </w:r>
      <w:r>
        <w:fldChar w:fldCharType="end"/>
      </w:r>
      <w:r>
        <w:t xml:space="preserve"> :  Enable debug logging</w:t>
      </w:r>
    </w:p>
    <w:p>
      <w:pPr>
        <w:pStyle w:val="SourceCode"/>
      </w:pPr>
      <w:r>
        <w:rPr>
          <w:rStyle w:val="VariableTok"/>
        </w:rPr>
        <w:t xml:space="preserve">SPECCOMPILER_LOG_LEVEL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 </w:t>
      </w:r>
      <w:r>
        <w:rPr>
          <w:rStyle w:val="ExtensionTok"/>
        </w:rPr>
        <w:t xml:space="preserve">specc</w:t>
      </w:r>
      <w:r>
        <w:rPr>
          <w:rStyle w:val="NormalTok"/>
        </w:rPr>
        <w:t xml:space="preserve"> build</w:t>
      </w:r>
    </w:p>
    <w:bookmarkEnd w:id="88848"/>
    <w:bookmarkEnd w:id="119"/>
    <w:bookmarkEnd w:id="120"/>
    <w:bookmarkStart w:id="121" w:name="MANUAL-sec13"/>
    <w:p>
      <w:pPr>
        <w:pStyle w:val="Heading1"/>
        <w:numPr>
          <w:ilvl w:val="0"/>
          <w:numId w:val="100"/>
        </w:numPr>
      </w:pPr>
      <w:r>
        <w:t xml:space="preserve">Known Limitations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 interactive validation</w:t>
      </w:r>
      <w:r>
        <w:t xml:space="preserve"> </w:t>
      </w:r>
      <w:r>
        <w:t xml:space="preserve">– Batch mode only, no LSP or watch mode.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Docker-only distribution</w:t>
      </w:r>
      <w:r>
        <w:t xml:space="preserve"> </w:t>
      </w:r>
      <w:r>
        <w:t xml:space="preserve">– Native install requires replicating the full build environment (</w:t>
      </w:r>
      <w:r>
        <w:rPr>
          <w:rStyle w:val="VerbatimChar"/>
        </w:rPr>
        <w:t xml:space="preserve">scripts/build.sh --install</w:t>
      </w:r>
      <w:r>
        <w:t xml:space="preserve"> </w:t>
      </w:r>
      <w:r>
        <w:t xml:space="preserve">is provided but requires all system dependencies).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Single-writer SQLite</w:t>
      </w:r>
      <w:r>
        <w:t xml:space="preserve"> </w:t>
      </w:r>
      <w:r>
        <w:t xml:space="preserve">– Concurrent builds cause locking errors; use separate output directories.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Float labels per-specification</w:t>
      </w:r>
      <w:r>
        <w:t xml:space="preserve"> </w:t>
      </w:r>
      <w:r>
        <w:t xml:space="preserve">– Same label can exist across specs; use scoped syntax for cross-spec references.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PID case sensitivity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[hlr-001](@)</w:t>
      </w:r>
      <w:r>
        <w:t xml:space="preserve"> </w:t>
      </w:r>
      <w:r>
        <w:t xml:space="preserve">will not match</w:t>
      </w:r>
      <w:r>
        <w:t xml:space="preserve"> </w:t>
      </w:r>
      <w:r>
        <w:rPr>
          <w:rStyle w:val="VerbatimChar"/>
        </w:rPr>
        <w:t xml:space="preserve">@HLR-001</w:t>
      </w:r>
      <w:r>
        <w:t xml:space="preserve">.</w:t>
      </w:r>
    </w:p>
    <w:bookmarkEnd w:id="121"/>
    <w:bookmarkStart w:id="122" w:name="MANUAL-sec14"/>
    <w:p>
      <w:pPr>
        <w:pStyle w:val="Heading1"/>
        <w:numPr>
          <w:ilvl w:val="0"/>
          <w:numId w:val="100"/>
        </w:numPr>
      </w:pPr>
      <w:r>
        <w:t xml:space="preserve">List of Figures</w:t>
      </w:r>
    </w:p>
    <w:p>
      <w:pPr>
        <w:pStyle w:val="Compact"/>
        <w:numPr>
          <w:ilvl w:val="0"/>
          <w:numId w:val="1021"/>
        </w:numPr>
      </w:pPr>
      <w:hyperlink w:anchor="puml-diag-pipeline">
        <w:r>
          <w:rPr>
            <w:rStyle w:val="Hyperlink"/>
          </w:rPr>
          <w:t xml:space="preserve">Figure 1 - Processing Pipeline</w:t>
        </w:r>
      </w:hyperlink>
    </w:p>
    <w:p>
      <w:pPr>
        <w:pStyle w:val="Compact"/>
        <w:numPr>
          <w:ilvl w:val="0"/>
          <w:numId w:val="1021"/>
        </w:numPr>
      </w:pPr>
      <w:hyperlink w:anchor="echarts-chart-pipeline-ops">
        <w:r>
          <w:rPr>
            <w:rStyle w:val="Hyperlink"/>
          </w:rPr>
          <w:t xml:space="preserve">Figure 2 - Operations per Pipeline Phase</w:t>
        </w:r>
      </w:hyperlink>
    </w:p>
    <w:p>
      <w:pPr>
        <w:pStyle w:val="Compact"/>
        <w:numPr>
          <w:ilvl w:val="0"/>
          <w:numId w:val="1021"/>
        </w:numPr>
      </w:pPr>
      <w:hyperlink w:anchor="puml-diag-layers">
        <w:r>
          <w:rPr>
            <w:rStyle w:val="Hyperlink"/>
          </w:rPr>
          <w:t xml:space="preserve">Figure 3 - Layered Architecture</w:t>
        </w:r>
      </w:hyperlink>
    </w:p>
    <w:p>
      <w:pPr>
        <w:pStyle w:val="Compact"/>
        <w:numPr>
          <w:ilvl w:val="0"/>
          <w:numId w:val="1021"/>
        </w:numPr>
      </w:pPr>
      <w:hyperlink w:anchor="echarts-chart-throughput">
        <w:r>
          <w:rPr>
            <w:rStyle w:val="Hyperlink"/>
          </w:rPr>
          <w:t xml:space="preserve">Figure 4 - Throughput by Module</w:t>
        </w:r>
      </w:hyperlink>
    </w:p>
    <w:p>
      <w:pPr>
        <w:pStyle w:val="Compact"/>
        <w:numPr>
          <w:ilvl w:val="0"/>
          <w:numId w:val="1021"/>
        </w:numPr>
      </w:pPr>
      <w:hyperlink w:anchor="echarts-chart-gauss">
        <w:r>
          <w:rPr>
            <w:rStyle w:val="Hyperlink"/>
          </w:rPr>
          <w:t xml:space="preserve">Figure 5 - Standard Normal Distribution</w:t>
        </w:r>
      </w:hyperlink>
    </w:p>
    <w:bookmarkEnd w:id="122"/>
    <w:bookmarkStart w:id="123" w:name="MANUAL-sec15"/>
    <w:p>
      <w:pPr>
        <w:pStyle w:val="Heading1"/>
        <w:numPr>
          <w:ilvl w:val="0"/>
          <w:numId w:val="100"/>
        </w:numPr>
      </w:pPr>
      <w:r>
        <w:t xml:space="preserve">List of Tables</w:t>
      </w:r>
    </w:p>
    <w:p>
      <w:pPr>
        <w:pStyle w:val="Compact"/>
        <w:numPr>
          <w:ilvl w:val="0"/>
          <w:numId w:val="1022"/>
        </w:numPr>
      </w:pPr>
      <w:hyperlink w:anchor="csv-tbl-prerequisites">
        <w:r>
          <w:rPr>
            <w:rStyle w:val="Hyperlink"/>
          </w:rPr>
          <w:t xml:space="preserve">Table 1 - Runtime prerequisites</w:t>
        </w:r>
      </w:hyperlink>
    </w:p>
    <w:p>
      <w:pPr>
        <w:pStyle w:val="Compact"/>
        <w:numPr>
          <w:ilvl w:val="0"/>
          <w:numId w:val="1022"/>
        </w:numPr>
      </w:pPr>
      <w:hyperlink w:anchor="csv-tbl-wrapper-commands">
        <w:r>
          <w:rPr>
            <w:rStyle w:val="Hyperlink"/>
          </w:rPr>
          <w:t xml:space="preserve">Table 2 - Wrapper subcommands</w:t>
        </w:r>
      </w:hyperlink>
    </w:p>
    <w:p>
      <w:pPr>
        <w:pStyle w:val="Compact"/>
        <w:numPr>
          <w:ilvl w:val="0"/>
          <w:numId w:val="1022"/>
        </w:numPr>
      </w:pPr>
      <w:hyperlink w:anchor="csv-tbl-required-fields">
        <w:r>
          <w:rPr>
            <w:rStyle w:val="Hyperlink"/>
          </w:rPr>
          <w:t xml:space="preserve">Table 3 - Required project fields</w:t>
        </w:r>
      </w:hyperlink>
    </w:p>
    <w:p>
      <w:pPr>
        <w:pStyle w:val="Compact"/>
        <w:numPr>
          <w:ilvl w:val="0"/>
          <w:numId w:val="1022"/>
        </w:numPr>
      </w:pPr>
      <w:hyperlink w:anchor="csv-tbl-default-values">
        <w:r>
          <w:rPr>
            <w:rStyle w:val="Hyperlink"/>
          </w:rPr>
          <w:t xml:space="preserve">Table 4 - Default configuration values</w:t>
        </w:r>
      </w:hyperlink>
    </w:p>
    <w:p>
      <w:pPr>
        <w:pStyle w:val="Compact"/>
        <w:numPr>
          <w:ilvl w:val="0"/>
          <w:numId w:val="1022"/>
        </w:numPr>
      </w:pPr>
      <w:hyperlink w:anchor="csv-tbl-float-syntax">
        <w:r>
          <w:rPr>
            <w:rStyle w:val="Hyperlink"/>
          </w:rPr>
          <w:t xml:space="preserve">Table 5 - Float syntax components</w:t>
        </w:r>
      </w:hyperlink>
    </w:p>
    <w:p>
      <w:pPr>
        <w:pStyle w:val="Compact"/>
        <w:numPr>
          <w:ilvl w:val="0"/>
          <w:numId w:val="1022"/>
        </w:numPr>
      </w:pPr>
      <w:hyperlink w:anchor="csv-tbl-selectors">
        <w:r>
          <w:rPr>
            <w:rStyle w:val="Hyperlink"/>
          </w:rPr>
          <w:t xml:space="preserve">Table 6 - Default model selectors</w:t>
        </w:r>
      </w:hyperlink>
    </w:p>
    <w:p>
      <w:pPr>
        <w:pStyle w:val="Compact"/>
        <w:numPr>
          <w:ilvl w:val="0"/>
          <w:numId w:val="1022"/>
        </w:numPr>
      </w:pPr>
      <w:hyperlink w:anchor="csv-tbl-relation-syntax">
        <w:r>
          <w:rPr>
            <w:rStyle w:val="Hyperlink"/>
          </w:rPr>
          <w:t xml:space="preserve">Table 7 - Relation syntax patterns</w:t>
        </w:r>
      </w:hyperlink>
    </w:p>
    <w:p>
      <w:pPr>
        <w:pStyle w:val="Compact"/>
        <w:numPr>
          <w:ilvl w:val="0"/>
          <w:numId w:val="1022"/>
        </w:numPr>
      </w:pPr>
      <w:hyperlink w:anchor="csv-tbl-inference-scoring">
        <w:r>
          <w:rPr>
            <w:rStyle w:val="Hyperlink"/>
          </w:rPr>
          <w:t xml:space="preserve">Table 8 - Type inference scoring dimensions</w:t>
        </w:r>
      </w:hyperlink>
    </w:p>
    <w:p>
      <w:pPr>
        <w:pStyle w:val="Compact"/>
        <w:numPr>
          <w:ilvl w:val="0"/>
          <w:numId w:val="1022"/>
        </w:numPr>
      </w:pPr>
      <w:hyperlink w:anchor="csv-tbl-view-types">
        <w:r>
          <w:rPr>
            <w:rStyle w:val="Hyperlink"/>
          </w:rPr>
          <w:t xml:space="preserve">Table 9 - Default view types</w:t>
        </w:r>
      </w:hyperlink>
    </w:p>
    <w:p>
      <w:pPr>
        <w:pStyle w:val="Compact"/>
        <w:numPr>
          <w:ilvl w:val="0"/>
          <w:numId w:val="1022"/>
        </w:numPr>
      </w:pPr>
      <w:hyperlink w:anchor="csv-tbl-components">
        <w:r>
          <w:rPr>
            <w:rStyle w:val="Hyperlink"/>
          </w:rPr>
          <w:t xml:space="preserve">Table 10 - System Components</w:t>
        </w:r>
      </w:hyperlink>
    </w:p>
    <w:p>
      <w:pPr>
        <w:pStyle w:val="Compact"/>
        <w:numPr>
          <w:ilvl w:val="0"/>
          <w:numId w:val="1022"/>
        </w:numPr>
      </w:pPr>
      <w:hyperlink w:anchor="csv-tbl-metrics">
        <w:r>
          <w:rPr>
            <w:rStyle w:val="Hyperlink"/>
          </w:rPr>
          <w:t xml:space="preserve">Table 11 - Performance Metrics</w:t>
        </w:r>
      </w:hyperlink>
    </w:p>
    <w:p>
      <w:pPr>
        <w:pStyle w:val="Compact"/>
        <w:numPr>
          <w:ilvl w:val="0"/>
          <w:numId w:val="1022"/>
        </w:numPr>
      </w:pPr>
      <w:hyperlink w:anchor="csv-tbl-xref-selectors">
        <w:r>
          <w:rPr>
            <w:rStyle w:val="Hyperlink"/>
          </w:rPr>
          <w:t xml:space="preserve">Table 12 - Cross-reference selector comparison</w:t>
        </w:r>
      </w:hyperlink>
    </w:p>
    <w:p>
      <w:pPr>
        <w:pStyle w:val="Compact"/>
        <w:numPr>
          <w:ilvl w:val="0"/>
          <w:numId w:val="1022"/>
        </w:numPr>
      </w:pPr>
      <w:hyperlink w:anchor="csv-tbl-env-vars">
        <w:r>
          <w:rPr>
            <w:rStyle w:val="Hyperlink"/>
          </w:rPr>
          <w:t xml:space="preserve">Table 13 - Environment variables</w:t>
        </w:r>
      </w:hyperlink>
    </w:p>
    <w:p>
      <w:pPr>
        <w:pStyle w:val="Compact"/>
        <w:numPr>
          <w:ilvl w:val="0"/>
          <w:numId w:val="1022"/>
        </w:numPr>
      </w:pPr>
      <w:hyperlink w:anchor="csv-tbl-exit-codes">
        <w:r>
          <w:rPr>
            <w:rStyle w:val="Hyperlink"/>
          </w:rPr>
          <w:t xml:space="preserve">Table 14 - Exit Codes</w:t>
        </w:r>
      </w:hyperlink>
    </w:p>
    <w:p>
      <w:pPr>
        <w:pStyle w:val="Compact"/>
        <w:numPr>
          <w:ilvl w:val="0"/>
          <w:numId w:val="1022"/>
        </w:numPr>
      </w:pPr>
      <w:hyperlink w:anchor="csv-tbl-html5-options">
        <w:r>
          <w:rPr>
            <w:rStyle w:val="Hyperlink"/>
          </w:rPr>
          <w:t xml:space="preserve">Table 15 - HTML5 output options</w:t>
        </w:r>
      </w:hyperlink>
    </w:p>
    <w:p>
      <w:pPr>
        <w:pStyle w:val="Compact"/>
        <w:numPr>
          <w:ilvl w:val="0"/>
          <w:numId w:val="1022"/>
        </w:numPr>
      </w:pPr>
      <w:hyperlink w:anchor="csv-tbl-error-codes">
        <w:r>
          <w:rPr>
            <w:rStyle w:val="Hyperlink"/>
          </w:rPr>
          <w:t xml:space="preserve">Table 16 - Validation diagnostics</w:t>
        </w:r>
      </w:hyperlink>
    </w:p>
    <w:p>
      <w:pPr>
        <w:pStyle w:val="Compact"/>
        <w:numPr>
          <w:ilvl w:val="0"/>
          <w:numId w:val="1022"/>
        </w:numPr>
      </w:pPr>
      <w:hyperlink w:anchor="csv-tbl-attribute-schema">
        <w:r>
          <w:rPr>
            <w:rStyle w:val="Hyperlink"/>
          </w:rPr>
          <w:t xml:space="preserve">Table 17 - Attribute schema fields</w:t>
        </w:r>
      </w:hyperlink>
    </w:p>
    <w:bookmarkEnd w:id="123"/>
    <w:bookmarkStart w:id="124" w:name="MANUAL-sec16"/>
    <w:p>
      <w:pPr>
        <w:pStyle w:val="Heading1"/>
        <w:numPr>
          <w:ilvl w:val="0"/>
          <w:numId w:val="100"/>
        </w:numPr>
      </w:pPr>
      <w:r>
        <w:t xml:space="preserve">List of Listings</w:t>
      </w:r>
    </w:p>
    <w:p>
      <w:pPr>
        <w:pStyle w:val="Compact"/>
        <w:numPr>
          <w:ilvl w:val="0"/>
          <w:numId w:val="1023"/>
        </w:numPr>
      </w:pPr>
      <w:hyperlink w:anchor="puml-diag-pipeline">
        <w:r>
          <w:rPr>
            <w:rStyle w:val="Hyperlink"/>
          </w:rPr>
          <w:t xml:space="preserve">Figure 1 - Processing Pipeline</w:t>
        </w:r>
      </w:hyperlink>
    </w:p>
    <w:p>
      <w:pPr>
        <w:pStyle w:val="Compact"/>
        <w:numPr>
          <w:ilvl w:val="0"/>
          <w:numId w:val="1023"/>
        </w:numPr>
      </w:pPr>
      <w:hyperlink w:anchor="echarts-chart-pipeline-ops">
        <w:r>
          <w:rPr>
            <w:rStyle w:val="Hyperlink"/>
          </w:rPr>
          <w:t xml:space="preserve">Figure 2 - Operations per Pipeline Phase</w:t>
        </w:r>
      </w:hyperlink>
    </w:p>
    <w:p>
      <w:pPr>
        <w:pStyle w:val="Compact"/>
        <w:numPr>
          <w:ilvl w:val="0"/>
          <w:numId w:val="1023"/>
        </w:numPr>
      </w:pPr>
      <w:hyperlink w:anchor="puml-diag-layers">
        <w:r>
          <w:rPr>
            <w:rStyle w:val="Hyperlink"/>
          </w:rPr>
          <w:t xml:space="preserve">Figure 3 - Layered Architecture</w:t>
        </w:r>
      </w:hyperlink>
    </w:p>
    <w:p>
      <w:pPr>
        <w:pStyle w:val="Compact"/>
        <w:numPr>
          <w:ilvl w:val="0"/>
          <w:numId w:val="1023"/>
        </w:numPr>
      </w:pPr>
      <w:hyperlink w:anchor="echarts-chart-throughput">
        <w:r>
          <w:rPr>
            <w:rStyle w:val="Hyperlink"/>
          </w:rPr>
          <w:t xml:space="preserve">Figure 4 - Throughput by Module</w:t>
        </w:r>
      </w:hyperlink>
    </w:p>
    <w:p>
      <w:pPr>
        <w:pStyle w:val="Compact"/>
        <w:numPr>
          <w:ilvl w:val="0"/>
          <w:numId w:val="1023"/>
        </w:numPr>
      </w:pPr>
      <w:hyperlink w:anchor="echarts-chart-gauss">
        <w:r>
          <w:rPr>
            <w:rStyle w:val="Hyperlink"/>
          </w:rPr>
          <w:t xml:space="preserve">Figure 5 - Standard Normal Distribution</w:t>
        </w:r>
      </w:hyperlink>
    </w:p>
    <w:bookmarkEnd w:id="124"/>
    <w:bookmarkStart w:id="125" w:name="MANUAL-sec17"/>
    <w:p>
      <w:pPr>
        <w:pStyle w:val="Heading1"/>
        <w:numPr>
          <w:ilvl w:val="0"/>
          <w:numId w:val="100"/>
        </w:numPr>
      </w:pPr>
      <w:r>
        <w:t xml:space="preserve">List of Abbreviations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color="000000" w:sz="6" w:space="0" w:val="single"/>
          <w:left w:color="000000" w:sz="6" w:space="0" w:val="single"/>
          <w:bottom w:color="000000" w:sz="6" w:space="0" w:val="single"/>
          <w:right w:color="000000" w:sz="6" w:space="0" w:val="single"/>
          <w:insideH w:color="000000" w:sz="6" w:space="0" w:val="single"/>
          <w:insideV w:color="000000" w:sz="6" w:space="0" w:val="single"/>
        </w:tblBorders>
        <w:tblCellMar>
          <w:top w:w="57" w:type="dxa"/>
          <w:left w:w="108" w:type="dxa"/>
          <w:bottom w:w="57" w:type="dxa"/>
          <w:right w:w="108" w:type="dxa"/>
        </w:tblCellMar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AST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Pandoc Abstract Syntax Tree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Command-Line Interface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EAV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Entity-Attribute-Value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GitHub-Flavored Markdown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NDJSON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Newline-Delimited JSON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SpecIR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Specification Intermediate Representation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SQL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rPr>
                <w:b/>
                <w:bCs/>
              </w:rPr>
              <w:t xml:space="preserve">SQLite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  <w:spacing w:lineRule="auto" w:after="40" w:line="240" w:before="40"/>
            </w:pPr>
            <w:r>
              <w:t xml:space="preserve">SQLite Database</w:t>
            </w:r>
          </w:p>
        </w:tc>
      </w:tr>
    </w:tbl>
    <w:bookmarkEnd w:id="125"/>
    <w:sectPr>
      <w:footerReference r:id="rId9200" w:type="default"/>
      <w:headerReference r:id="rId9101" w:type="default"/>
      <w:headerReference r:id="rId9100" w:type="firs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5000" w:type="pct"/>
      <w:tblBorders>
        <w:top w:color="CCCCCC" w:sz="4" w:space="1" w:val="single"/>
        <w:bottom w:color="auto" w:sz="0" w:space="0" w:val="none"/>
        <w:left w:color="auto" w:sz="0" w:space="0" w:val="none"/>
        <w:right w:color="auto" w:sz="0" w:space="0" w:val="none"/>
        <w:insideH w:color="auto" w:sz="0" w:space="0" w:val="none"/>
        <w:insideV w:color="auto" w:sz="0" w:space="0" w:val="none"/>
      </w:tblBorders>
      <w:tblLayout w:type="fixed"/>
    </w:tblPr>
    <w:tblGrid>
      <w:gridCol w:w="3009"/>
      <w:gridCol w:w="3009"/>
      <w:gridCol w:w="3009"/>
    </w:tblGrid>
    <w:tr>
      <w:tc>
        <w:tcPr>
          <w:tcW w:w="1667" w:type="pct"/>
        </w:tcPr>
        <w:p>
          <w:pPr>
            <w:pStyle w:val="Footer"/>
            <w:jc w:val="left"/>
          </w:pPr>
          <w:r>
            <w:t xml:space="preserve">SC-UM-001  |  v1.0</w:t>
          </w:r>
        </w:p>
      </w:tc>
      <w:tc>
        <w:tcPr>
          <w:tcW w:w="1667" w:type="pct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w="1667" w:type="pct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ageBreakBefore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styleId="VerbatimChar" w:type="character" w:customStyle="1">
    <w:name w:val="Verbatim Char"/>
    <w:rPr>
      <w:rFonts w:hAnsi="Courier New" w:cs="Courier New" w:ascii="Courier New"/>
      <w:sz w:val="20"/>
      <w:szCs w:val="20"/>
    </w:rPr>
  </w:style>
  <w:style w:styleId="SourceCode" w:type="paragraph" w:customStyle="1">
    <w:name w:val="Source Code"/>
    <w:basedOn w:val="Normal"/>
    <w:pPr>
      <w:spacing w:lineRule="auto" w:after="0" w:line="240" w:before="0"/>
      <w:jc w:val="left"/>
      <w:pBdr>
        <w:top w:color="CCCCCC" w:sz="4" w:space="1" w:val="single"/>
        <w:bottom w:color="CCCCCC" w:sz="4" w:space="1" w:val="single"/>
        <w:left w:color="CCCCCC" w:sz="4" w:space="1" w:val="single"/>
        <w:right w:color="CCCCCC" w:sz="4" w:space="1" w:val="single"/>
      </w:pBdr>
      <w:shd w:color="auto" w:fill="F5F5F5" w:val="clear"/>
    </w:pPr>
    <w:rPr>
      <w:rFonts w:hAnsi="Courier New" w:cs="Courier New" w:ascii="Courier New"/>
      <w:sz w:val="20"/>
      <w:szCs w:val="20"/>
    </w:rPr>
  </w:style>
  <w:style w:styleId="TOC1" w:type="paragraph">
    <w:name w:val="TOC 1"/>
    <w:basedOn w:val="Normal"/>
    <w:qFormat/>
    <w:uiPriority w:val="99"/>
    <w:pPr>
      <w:widowControl/>
      <w:spacing w:lineRule="auto" w:after="0" w:line="276" w:before="120"/>
      <w:ind w:firstLine="0"/>
    </w:pPr>
    <w:rPr>
      <w:rFonts w:eastAsia="Calibri" w:hAnsi="Calibri" w:cs="Calibri" w:ascii="Calibri"/>
      <w:b/>
      <w:bCs/>
      <w:sz w:val="24"/>
      <w:szCs w:val="24"/>
      <w:color w:val="000000"/>
    </w:rPr>
  </w:style>
  <w:style w:styleId="CoverSubtitle" w:type="paragraph" w:customStyle="1">
    <w:name w:val="Cover Subtitle"/>
    <w:basedOn w:val="Normal"/>
    <w:qFormat/>
    <w:uiPriority w:val="99"/>
    <w:pPr>
      <w:widowControl/>
      <w:spacing w:lineRule="auto" w:after="160" w:line="240" w:before="0"/>
      <w:ind w:firstLine="0"/>
      <w:jc w:val="center"/>
    </w:pPr>
    <w:rPr>
      <w:rFonts w:eastAsia="Calibri" w:hAnsi="Calibri" w:cs="Calibri" w:ascii="Calibri"/>
      <w:sz w:val="32"/>
      <w:szCs w:val="32"/>
      <w:color w:val="444444"/>
    </w:rPr>
  </w:style>
  <w:style w:styleId="TOC3" w:type="paragraph">
    <w:name w:val="TOC 3"/>
    <w:basedOn w:val="Normal"/>
    <w:qFormat/>
    <w:uiPriority w:val="99"/>
    <w:pPr>
      <w:widowControl/>
      <w:spacing w:lineRule="auto" w:after="0" w:line="276" w:before="0"/>
      <w:ind w:firstLine="0" w:left="720"/>
    </w:pPr>
    <w:rPr>
      <w:rFonts w:eastAsia="Calibri" w:hAnsi="Calibri" w:cs="Calibri" w:ascii="Calibri"/>
      <w:sz w:val="24"/>
      <w:szCs w:val="24"/>
      <w:color w:val="000000"/>
    </w:rPr>
  </w:style>
  <w:style w:styleId="Reference" w:type="paragraph" w:customStyle="1">
    <w:name w:val="Reference"/>
    <w:basedOn w:val="Normal"/>
    <w:qFormat/>
    <w:uiPriority w:val="99"/>
    <w:pPr>
      <w:widowControl/>
      <w:spacing w:lineRule="auto" w:after="120" w:line="276" w:before="0"/>
      <w:ind w:left="720" w:hanging="720"/>
    </w:pPr>
    <w:rPr>
      <w:rFonts w:eastAsia="Calibri" w:hAnsi="Calibri" w:cs="Calibri" w:ascii="Calibri"/>
      <w:sz w:val="24"/>
      <w:szCs w:val="24"/>
    </w:rPr>
  </w:style>
  <w:style w:styleId="CoverDocId" w:type="paragraph" w:customStyle="1">
    <w:name w:val="Cover Document ID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sz w:val="20"/>
      <w:szCs w:val="20"/>
      <w:color w:val="888888"/>
    </w:rPr>
  </w:style>
  <w:style w:styleId="Quote" w:type="paragraph">
    <w:name w:val="Quote"/>
    <w:basedOn w:val="Normal"/>
    <w:qFormat/>
    <w:uiPriority w:val="99"/>
    <w:pPr>
      <w:widowControl/>
      <w:spacing w:lineRule="auto" w:after="160" w:line="276" w:before="200"/>
      <w:ind w:right="720" w:firstLine="0" w:left="720"/>
    </w:pPr>
    <w:rPr>
      <w:rFonts w:eastAsia="Calibri" w:hAnsi="Calibri" w:cs="Calibri" w:ascii="Calibri"/>
      <w:i/>
      <w:iCs/>
      <w:sz w:val="24"/>
      <w:szCs w:val="24"/>
      <w:color w:val="404040"/>
    </w:rPr>
  </w:style>
  <w:style w:styleId="CoverDate" w:type="paragraph" w:customStyle="1">
    <w:name w:val="Cover Date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i/>
      <w:iCs/>
      <w:sz w:val="24"/>
      <w:szCs w:val="24"/>
      <w:color w:val="666666"/>
    </w:rPr>
  </w:style>
  <w:style w:styleId="Source" w:type="paragraph" w:customStyle="1">
    <w:name w:val="Source"/>
    <w:basedOn w:val="Normal"/>
    <w:qFormat/>
    <w:uiPriority w:val="99"/>
    <w:pPr>
      <w:widowControl/>
      <w:spacing w:lineRule="auto" w:after="80" w:line="240" w:before="0"/>
      <w:ind w:firstLine="0"/>
    </w:pPr>
    <w:rPr>
      <w:rFonts w:eastAsia="Calibri" w:hAnsi="Calibri" w:cs="Calibri" w:ascii="Calibri"/>
      <w:sz w:val="18"/>
      <w:szCs w:val="18"/>
    </w:rPr>
  </w:style>
  <w:style w:styleId="CoverTitle" w:type="paragraph" w:customStyle="1">
    <w:name w:val="Cover Title"/>
    <w:basedOn w:val="Normal"/>
    <w:qFormat/>
    <w:uiPriority w:val="99"/>
    <w:pPr>
      <w:widowControl/>
      <w:spacing w:lineRule="auto" w:after="240" w:line="240" w:before="0"/>
      <w:ind w:firstLine="0"/>
      <w:jc w:val="center"/>
    </w:pPr>
    <w:rPr>
      <w:rFonts w:eastAsia="Calibri" w:hAnsi="Calibri" w:cs="Calibri" w:ascii="Calibri"/>
      <w:b/>
      <w:bCs/>
      <w:sz w:val="56"/>
      <w:szCs w:val="56"/>
      <w:color w:val="000000"/>
    </w:rPr>
  </w:style>
  <w:style w:styleId="TOC2" w:type="paragraph">
    <w:name w:val="TOC 2"/>
    <w:basedOn w:val="Normal"/>
    <w:qFormat/>
    <w:uiPriority w:val="99"/>
    <w:pPr>
      <w:widowControl/>
      <w:spacing w:lineRule="auto" w:after="0" w:line="276" w:before="0"/>
      <w:ind w:firstLine="0" w:left="360"/>
    </w:pPr>
    <w:rPr>
      <w:rFonts w:eastAsia="Calibri" w:hAnsi="Calibri" w:cs="Calibri" w:ascii="Calibri"/>
      <w:sz w:val="24"/>
      <w:szCs w:val="24"/>
      <w:color w:val="000000"/>
    </w:rPr>
  </w:style>
  <w:style w:styleId="Header" w:type="paragraph" w:customStyle="1">
    <w:name w:val="Header"/>
    <w:basedOn w:val="Normal"/>
    <w:qFormat/>
    <w:uiPriority w:val="99"/>
    <w:pPr>
      <w:widowControl/>
      <w:spacing w:after="0" w:lineRule="auto" w:line="240"/>
      <w:ind w:firstLine="0"/>
    </w:pPr>
    <w:rPr>
      <w:rFonts w:eastAsia="Calibri" w:hAnsi="Calibri" w:cs="Calibri" w:ascii="Calibri"/>
      <w:sz w:val="20"/>
      <w:szCs w:val="20"/>
    </w:rPr>
  </w:style>
  <w:style w:styleId="FigureCenter" w:type="paragraph" w:customStyle="1">
    <w:name w:val="Figure Center"/>
    <w:basedOn w:val="Normal"/>
    <w:qFormat/>
    <w:uiPriority w:val="99"/>
    <w:pPr>
      <w:widowControl/>
      <w:spacing w:lineRule="auto" w:after="120" w:line="240" w:before="120"/>
      <w:ind w:firstLine="0"/>
      <w:jc w:val="center"/>
    </w:pPr>
  </w:style>
  <w:style w:styleId="CoverAuthor" w:type="paragraph" w:customStyle="1">
    <w:name w:val="Cover Author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sz w:val="24"/>
      <w:szCs w:val="24"/>
      <w:color w:val="000000"/>
    </w:rPr>
  </w:style>
  <w:style w:styleId="Footer" w:type="paragraph" w:customStyle="1">
    <w:name w:val="Footer"/>
    <w:basedOn w:val="Normal"/>
    <w:qFormat/>
    <w:uiPriority w:val="99"/>
    <w:pPr>
      <w:widowControl/>
      <w:spacing w:after="0" w:lineRule="auto" w:line="240"/>
      <w:ind w:firstLine="0"/>
    </w:pPr>
    <w:rPr>
      <w:rFonts w:eastAsia="Calibri" w:hAnsi="Calibri" w:cs="Calibri" w:ascii="Calibri"/>
      <w:sz w:val="20"/>
      <w:szCs w:val="20"/>
    </w:rPr>
  </w:style>
  <w:style w:styleId="CoverVersion" w:type="paragraph" w:customStyle="1">
    <w:name w:val="Cover Version"/>
    <w:basedOn w:val="Normal"/>
    <w:qFormat/>
    <w:uiPriority w:val="99"/>
    <w:pPr>
      <w:widowControl/>
      <w:spacing w:lineRule="auto" w:after="80" w:line="240" w:before="0"/>
      <w:ind w:firstLine="0"/>
      <w:jc w:val="center"/>
    </w:pPr>
    <w:rPr>
      <w:rFonts w:eastAsia="Calibri" w:hAnsi="Calibri" w:cs="Calibri" w:ascii="Calibri"/>
      <w:sz w:val="20"/>
      <w:szCs w:val="20"/>
      <w:color w:val="88888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image" Id="rId67" Target="media/rId67.png"/><Relationship Type="http://schemas.openxmlformats.org/officeDocument/2006/relationships/image" Id="rId81" Target="media/rId81.png"/><Relationship Type="http://schemas.openxmlformats.org/officeDocument/2006/relationships/image" Id="rId27" Target="media/rId27.png"/><Relationship Type="http://schemas.openxmlformats.org/officeDocument/2006/relationships/image" Id="rId24" Target="media/rId24.png"/><Relationship Type="http://schemas.openxmlformats.org/officeDocument/2006/relationships/image" Id="rId59" Target="media/rId59.png"/><Relationship Type="http://schemas.openxmlformats.org/officeDocument/2006/relationships/hyperlink" Id="rId21" Target="creating-a-model.docx#SPEC-sec2" TargetMode="External"/><Relationship Type="http://schemas.openxmlformats.org/officeDocument/2006/relationships/hyperlink" Id="rId105" Target="creating-a-model.docx#SPEC-sec3" TargetMode="External"/><Relationship Type="http://schemas.openxmlformats.org/officeDocument/2006/relationships/hyperlink" Id="rId106" Target="creating-a-model.docx#SPEC-sec4" TargetMode="External"/><Relationship Type="http://schemas.openxmlformats.org/officeDocument/2006/relationships/hyperlink" Id="rId74" Target="creating-a-model.docx#SPEC-sec5" TargetMode="External"/><Relationship Type="http://schemas.openxmlformats.org/officeDocument/2006/relationships/hyperlink" Id="rId107" Target="creating-a-model.docx#SPEC-sec7" TargetMode="External"/><Relationship Type="http://schemas.openxmlformats.org/officeDocument/2006/relationships/hyperlink" Id="rId84" Target="creating-a-model.docx#SPEC-sec8" TargetMode="External"/><Relationship Type="http://schemas.openxmlformats.org/officeDocument/2006/relationships/hyperlink" Id="rId23" Target="creating-a-model.docx#SPEC-sec9" TargetMode="External"/><Relationship Type="http://schemas.openxmlformats.org/officeDocument/2006/relationships/hyperlink" Id="rId72" Target="docx-customization.docx#SPEC-2-sec3" TargetMode="External"/><Relationship Type="http://schemas.openxmlformats.org/officeDocument/2006/relationships/hyperlink" Id="rId76" Target="docx-customization.docx#SPEC-2-sec3.6" TargetMode="External"/><Relationship Type="http://schemas.openxmlformats.org/officeDocument/2006/relationships/hyperlink" Id="rId75" Target="docx-customization.docx#SPEC-2-sec4" TargetMode="External"/><Relationship Target="header1.xml" Id="rId9100" Type="http://schemas.openxmlformats.org/officeDocument/2006/relationships/header"/><Relationship Target="header2.xml" Id="rId9101" Type="http://schemas.openxmlformats.org/officeDocument/2006/relationships/header"/><Relationship Target="footer1.xml" Id="rId9200" Type="http://schemas.openxmlformats.org/officeDocument/2006/relationships/footer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creating-a-model.docx#SPEC-sec2" TargetMode="External" /><Relationship Type="http://schemas.openxmlformats.org/officeDocument/2006/relationships/hyperlink" Id="rId105" Target="creating-a-model.docx#SPEC-sec3" TargetMode="External" /><Relationship Type="http://schemas.openxmlformats.org/officeDocument/2006/relationships/hyperlink" Id="rId106" Target="creating-a-model.docx#SPEC-sec4" TargetMode="External" /><Relationship Type="http://schemas.openxmlformats.org/officeDocument/2006/relationships/hyperlink" Id="rId74" Target="creating-a-model.docx#SPEC-sec5" TargetMode="External" /><Relationship Type="http://schemas.openxmlformats.org/officeDocument/2006/relationships/hyperlink" Id="rId107" Target="creating-a-model.docx#SPEC-sec7" TargetMode="External" /><Relationship Type="http://schemas.openxmlformats.org/officeDocument/2006/relationships/hyperlink" Id="rId84" Target="creating-a-model.docx#SPEC-sec8" TargetMode="External" /><Relationship Type="http://schemas.openxmlformats.org/officeDocument/2006/relationships/hyperlink" Id="rId23" Target="creating-a-model.docx#SPEC-sec9" TargetMode="External" /><Relationship Type="http://schemas.openxmlformats.org/officeDocument/2006/relationships/hyperlink" Id="rId72" Target="docx-customization.docx#SPEC-2-sec3" TargetMode="External" /><Relationship Type="http://schemas.openxmlformats.org/officeDocument/2006/relationships/hyperlink" Id="rId76" Target="docx-customization.docx#SPEC-2-sec3.6" TargetMode="External" /><Relationship Type="http://schemas.openxmlformats.org/officeDocument/2006/relationships/hyperlink" Id="rId75" Target="docx-customization.docx#SPEC-2-se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2026-02-23T04:45:37Z</dcterms:created>
  <dcterms:modified xsi:type="dcterms:W3CDTF">2026-02-23T04:45:37Z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_id">
    <vt:lpwstr>SC-UM-001</vt:lpwstr>
  </property>
  <property fmtid="{D5CDD505-2E9C-101B-9397-08002B2CF9AE}" pid="3" name="version">
    <vt:lpwstr>1.0</vt:lpwstr>
  </property>
</Properties>
</file>