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2.png" ContentType="image/png"/>
  <Override PartName="/word/media/rId27.png" ContentType="image/png"/>
  <Override PartName="/word/media/rId52.png" ContentType="image/png"/>
  <Override PartName="/word/media/rId44.png" ContentType="image/png"/>
  <Override PartName="/word/media/rId62.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bookmarkStart w:name="SPEC-sec1" w:id="28179"/>
      <w:r>
        <w:rPr>
          <w:color w:val="000000"/>
        </w:rPr>
        <w:t xml:space="preserve">INDEX</w:t>
      </w:r>
      <w:bookmarkEnd w:id="28179"/>
    </w:p>
    <w:p>
      <w:r>
        <w:fldChar w:fldCharType="begin"/>
      </w:r>
      <w:r>
        <w:instrText xml:space="preserve"> TOC \o "1-3" </w:instrText>
      </w:r>
      <w:r>
        <w:fldChar w:fldCharType="separate"/>
      </w:r>
    </w:p>
    <w:p>
      <w:r>
        <w:fldChar w:fldCharType="end"/>
      </w:r>
    </w:p>
    <w:p>
      <w:r>
        <w:br w:type="page"/>
      </w:r>
    </w:p>
    <w:bookmarkStart w:id="24" w:name="SPEC-sec2"/>
    <w:p>
      <w:pPr>
        <w:pStyle w:val="Heading1"/>
        <w:numPr>
          <w:ilvl w:val="0"/>
          <w:numId w:val="100"/>
        </w:numPr>
      </w:pPr>
      <w:r>
        <w:t xml:space="preserve">Introduction</w:t>
      </w:r>
    </w:p>
    <w:bookmarkStart w:id="21" w:name="SPEC-sec2.1"/>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SPEC-sec2.2"/>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SPEC-sec2.3"/>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80" w:name="SPEC-sec3"/>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SPEC-sec3.1"/>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sec3.2"/>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SPEC-sec3.2.1"/>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SPEC-sec3.2.2"/>
    <w:p>
      <w:pPr>
        <w:pStyle w:val="Heading3"/>
        <w:numPr>
          <w:ilvl w:val="2"/>
          <w:numId w:val="100"/>
        </w:numPr>
      </w:pPr>
      <w:r>
        <w:t xml:space="preserve">Grammar</w:t>
      </w:r>
    </w:p>
    <w:p>
      <w:pPr>
        <w:spacing w:lineRule="exact" w:line="20" w:after="0" w:before="0"/>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407367"/>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407367"/>
                    </a:xfrm>
                    <a:prstGeom prst="rect">
                      <a:avLst/>
                    </a:prstGeom>
                    <a:noFill/>
                    <a:ln w="9525">
                      <a:noFill/>
                      <a:headEnd/>
                      <a:tailEnd/>
                    </a:ln>
                  </pic:spPr>
                </pic:pic>
              </a:graphicData>
            </a:graphic>
          </wp:inline>
        </w:drawing>
      </w:r>
    </w:p>
    <w:bookmarkEnd w:id="30"/>
    <w:bookmarkStart w:id="31" w:name="SPEC-sec3.2.3"/>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sec3.3"/>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SPEC-sec3.3.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SPEC-sec3.3.2"/>
    <w:p>
      <w:pPr>
        <w:pStyle w:val="Heading3"/>
        <w:numPr>
          <w:ilvl w:val="2"/>
          <w:numId w:val="100"/>
        </w:numPr>
      </w:pPr>
      <w:r>
        <w:t xml:space="preserve">Grammar</w:t>
      </w:r>
    </w:p>
    <w:p>
      <w:pPr>
        <w:spacing w:lineRule="exact" w:line="20" w:after="0" w:before="0"/>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597000"/>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597000"/>
                    </a:xfrm>
                    <a:prstGeom prst="rect">
                      <a:avLst/>
                    </a:prstGeom>
                    <a:noFill/>
                    <a:ln w="9525">
                      <a:noFill/>
                      <a:headEnd/>
                      <a:tailEnd/>
                    </a:ln>
                  </pic:spPr>
                </pic:pic>
              </a:graphicData>
            </a:graphic>
          </wp:inline>
        </w:drawing>
      </w:r>
    </w:p>
    <w:bookmarkEnd w:id="37"/>
    <w:bookmarkStart w:id="38" w:name="SPEC-sec3.3.3"/>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SPEC-sec3.3.4"/>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SPEC-sec3.3.5"/>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PEC-sec3.3.6"/>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Use</w:t>
      </w:r>
      <w:r>
        <w:t xml:space="preserve"> </w:t>
      </w:r>
      <w:r>
        <w:rPr>
          <w:rStyle w:val="VerbatimChar"/>
        </w:rPr>
        <w:t xml:space="preserve">----</w:t>
      </w:r>
      <w:r>
        <w:t xml:space="preserve"> </w:t>
      </w:r>
      <w:r>
        <w:t xml:space="preserve">to end a section without opening another heading. CommonSpec rejects an</w:t>
      </w:r>
      <w:r>
        <w:t xml:space="preserve"> </w:t>
      </w:r>
      <w:r>
        <w:rPr>
          <w:bCs/>
          <w:b/>
        </w:rPr>
        <w:t xml:space="preserve">empty heading</w:t>
      </w:r>
      <w:r>
        <w:t xml:space="preserve"> </w:t>
      </w:r>
      <w:r>
        <w:t xml:space="preserve">because it produces an invalid numbered section.</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sec3.4"/>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SPEC-sec3.4.1"/>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SPEC-sec3.4.2"/>
    <w:p>
      <w:pPr>
        <w:pStyle w:val="Heading3"/>
        <w:numPr>
          <w:ilvl w:val="2"/>
          <w:numId w:val="100"/>
        </w:numPr>
      </w:pPr>
      <w:r>
        <w:t xml:space="preserve">Grammar</w:t>
      </w:r>
    </w:p>
    <w:p>
      <w:pPr>
        <w:spacing w:lineRule="exact" w:line="20" w:after="0" w:before="0"/>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56247"/>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56247"/>
                    </a:xfrm>
                    <a:prstGeom prst="rect">
                      <a:avLst/>
                    </a:prstGeom>
                    <a:noFill/>
                    <a:ln w="9525">
                      <a:noFill/>
                      <a:headEnd/>
                      <a:tailEnd/>
                    </a:ln>
                  </pic:spPr>
                </pic:pic>
              </a:graphicData>
            </a:graphic>
          </wp:inline>
        </w:drawing>
      </w:r>
    </w:p>
    <w:bookmarkEnd w:id="47"/>
    <w:bookmarkStart w:id="48" w:name="SPEC-sec3.4.3"/>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MERMAID</w:t>
      </w:r>
      <w:r>
        <w:t xml:space="preserve"> </w:t>
      </w:r>
      <w:r>
        <w:t xml:space="preserve">(aliases:</w:t>
      </w:r>
      <w:r>
        <w:t xml:space="preserve"> </w:t>
      </w:r>
      <w:r>
        <w:rPr>
          <w:rStyle w:val="VerbatimChar"/>
        </w:rPr>
        <w:t xml:space="preserve">mermaid</w:t>
      </w:r>
      <w:r>
        <w:t xml:space="preserve">,</w:t>
      </w:r>
      <w:r>
        <w:t xml:space="preserve"> </w:t>
      </w:r>
      <w:r>
        <w:rPr>
          <w:rStyle w:val="VerbatimChar"/>
        </w:rPr>
        <w:t xml:space="preserve">mmd</w:t>
      </w:r>
      <w:r>
        <w:t xml:space="preserve">) — Mermaid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SPEC-sec3.4.4"/>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SPEC-sec3.5"/>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SPEC-sec3.5.1"/>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SPEC-sec3.5.2"/>
    <w:p>
      <w:pPr>
        <w:pStyle w:val="Heading3"/>
        <w:numPr>
          <w:ilvl w:val="2"/>
          <w:numId w:val="100"/>
        </w:numPr>
      </w:pPr>
      <w:r>
        <w:t xml:space="preserve">Grammar</w:t>
      </w:r>
    </w:p>
    <w:p>
      <w:pPr>
        <w:spacing w:lineRule="exact" w:line="20" w:after="0" w:before="0"/>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54676"/>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54676"/>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SPEC-sec3.5.3"/>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SPEC-sec3.5.4"/>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SPEC-sec3.5.5"/>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SPEC-sec3.5.6"/>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70" w:name="SPEC-sec3.6"/>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SPEC-sec3.6.1"/>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SPEC-sec3.6.2"/>
    <w:p>
      <w:pPr>
        <w:pStyle w:val="Heading3"/>
        <w:numPr>
          <w:ilvl w:val="2"/>
          <w:numId w:val="100"/>
        </w:numPr>
      </w:pPr>
      <w:r>
        <w:t xml:space="preserve">Grammar</w:t>
      </w:r>
    </w:p>
    <w:p>
      <w:pPr>
        <w:spacing w:lineRule="exact" w:line="20" w:after="0" w:before="0"/>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737100" cy="16764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737100" cy="1676400"/>
                    </a:xfrm>
                    <a:prstGeom prst="rect">
                      <a:avLst/>
                    </a:prstGeom>
                    <a:noFill/>
                    <a:ln w="9525">
                      <a:noFill/>
                      <a:headEnd/>
                      <a:tailEnd/>
                    </a:ln>
                  </pic:spPr>
                </pic:pic>
              </a:graphicData>
            </a:graphic>
          </wp:inline>
        </w:drawing>
      </w:r>
    </w:p>
    <w:bookmarkEnd w:id="65"/>
    <w:bookmarkStart w:id="66" w:name="SPEC-sec3.6.3"/>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SPEC-sec3.6.4"/>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sz="6" w:space="0" w:color="000000" w:val="single"/>
          <w:left w:sz="6" w:space="0" w:color="000000" w:val="single"/>
          <w:bottom w:sz="6" w:space="0" w:color="000000" w:val="single"/>
          <w:right w:sz="6" w:space="0" w:color="000000" w:val="single"/>
          <w:insideH w:sz="6" w:space="0" w:color="000000" w:val="single"/>
          <w:insideV w:sz="6" w:space="0" w:color="000000" w:val="single"/>
        </w:tblBorders>
        <w:tblCellMar>
          <w:top w:w="57" w:type="dxa"/>
          <w:left w:w="108" w:type="dxa"/>
          <w:bottom w:w="57" w:type="dxa"/>
          <w:right w:w="108" w:type="dxa"/>
        </w:tblCellMar>
      </w:tblPr>
      <w:tblGrid>
        <w:gridCol w:w="1320"/>
        <w:gridCol w:w="1320"/>
        <w:gridCol w:w="1320"/>
        <w:gridCol w:w="1320"/>
        <w:gridCol w:w="1320"/>
        <w:gridCol w:w="1320"/>
      </w:tblGrid>
      <w:tr>
        <w:trPr>
          <w:tblHeader w:val="true"/>
        </w:trPr>
        <w:tc>
          <w:tcPr>
            <w:shd w:fill="E8E8E8" w:color="auto" w:val="clear"/>
          </w:tcPr>
          <w:p>
            <w:pPr>
              <w:pStyle w:val="Compact"/>
              <w:jc w:val="left"/>
              <w:ind w:right="0" w:firstLine="0" w:left="0"/>
              <w:spacing w:before="40" w:lineRule="auto" w:line="240" w:after="40"/>
            </w:pPr>
            <w:r>
              <w:rPr>
                <w:b/>
              </w:rPr>
              <w:t xml:space="preserve">Type</w:t>
            </w:r>
          </w:p>
        </w:tc>
        <w:tc>
          <w:tcPr>
            <w:shd w:fill="E8E8E8" w:color="auto" w:val="clear"/>
          </w:tcPr>
          <w:p>
            <w:pPr>
              <w:pStyle w:val="Compact"/>
              <w:jc w:val="left"/>
              <w:ind w:right="0" w:firstLine="0" w:left="0"/>
              <w:spacing w:before="40" w:lineRule="auto" w:line="240" w:after="40"/>
            </w:pPr>
            <w:r>
              <w:rPr>
                <w:b/>
              </w:rPr>
              <w:t xml:space="preserve">selector</w:t>
            </w:r>
          </w:p>
        </w:tc>
        <w:tc>
          <w:tcPr>
            <w:shd w:fill="E8E8E8" w:color="auto" w:val="clear"/>
          </w:tcPr>
          <w:p>
            <w:pPr>
              <w:pStyle w:val="Compact"/>
              <w:jc w:val="left"/>
              <w:ind w:right="0" w:firstLine="0" w:left="0"/>
              <w:spacing w:before="40" w:lineRule="auto" w:line="240" w:after="40"/>
            </w:pPr>
            <w:r>
              <w:rPr>
                <w:b/>
              </w:rPr>
              <w:t xml:space="preserve">source_attr</w:t>
            </w:r>
          </w:p>
        </w:tc>
        <w:tc>
          <w:tcPr>
            <w:shd w:fill="E8E8E8" w:color="auto" w:val="clear"/>
          </w:tcPr>
          <w:p>
            <w:pPr>
              <w:pStyle w:val="Compact"/>
              <w:jc w:val="left"/>
              <w:ind w:right="0" w:firstLine="0" w:left="0"/>
              <w:spacing w:before="40" w:lineRule="auto" w:line="240" w:after="40"/>
            </w:pPr>
            <w:r>
              <w:rPr>
                <w:b/>
              </w:rPr>
              <w:t xml:space="preserve">source_type</w:t>
            </w:r>
          </w:p>
        </w:tc>
        <w:tc>
          <w:tcPr>
            <w:shd w:fill="E8E8E8" w:color="auto" w:val="clear"/>
          </w:tcPr>
          <w:p>
            <w:pPr>
              <w:pStyle w:val="Compact"/>
              <w:jc w:val="left"/>
              <w:ind w:right="0" w:firstLine="0" w:left="0"/>
              <w:spacing w:before="40" w:lineRule="auto" w:line="240" w:after="40"/>
            </w:pPr>
            <w:r>
              <w:rPr>
                <w:b/>
              </w:rPr>
              <w:t xml:space="preserve">target_type</w:t>
            </w:r>
          </w:p>
        </w:tc>
        <w:tc>
          <w:tcPr>
            <w:shd w:fill="E8E8E8" w:color="auto" w:val="clear"/>
          </w:tcPr>
          <w:p>
            <w:pPr>
              <w:pStyle w:val="Compact"/>
              <w:jc w:val="left"/>
              <w:ind w:right="0" w:firstLine="0" w:left="0"/>
              <w:spacing w:before="40" w:lineRule="auto" w:line="240" w:after="40"/>
            </w:pPr>
            <w:r>
              <w:rPr>
                <w:b/>
              </w:rPr>
              <w:t xml:space="preserve">Score</w:t>
            </w:r>
          </w:p>
        </w:tc>
      </w:tr>
      <w:tr>
        <w:tc>
          <w:tcPr/>
          <w:p>
            <w:pPr>
              <w:pStyle w:val="Compact"/>
              <w:jc w:val="left"/>
              <w:ind w:right="0" w:firstLine="0" w:left="0"/>
              <w:spacing w:before="40" w:lineRule="auto" w:line="240" w:after="40"/>
            </w:pPr>
            <w:r>
              <w:t xml:space="preserve">VERIFIES</w:t>
            </w:r>
          </w:p>
        </w:tc>
        <w:tc>
          <w:tcPr/>
          <w:p>
            <w:pPr>
              <w:pStyle w:val="Compact"/>
              <w:jc w:val="left"/>
              <w:ind w:right="0" w:firstLine="0" w:left="0"/>
              <w:spacing w:before="40" w:lineRule="auto" w:line="240" w:after="40"/>
            </w:pPr>
            <w:r>
              <w:rPr>
                <w:rStyle w:val="VerbatimChar"/>
              </w:rPr>
              <w:t xml:space="preserve">@</w:t>
            </w:r>
          </w:p>
        </w:tc>
        <w:tc>
          <w:tcPr/>
          <w:p>
            <w:pPr>
              <w:pStyle w:val="Compact"/>
              <w:jc w:val="left"/>
              <w:ind w:right="0" w:firstLine="0" w:left="0"/>
              <w:spacing w:before="40" w:lineRule="auto" w:line="240" w:after="40"/>
            </w:pPr>
            <w:r>
              <w:rPr>
                <w:rStyle w:val="VerbatimChar"/>
              </w:rPr>
              <w:t xml:space="preserve">traceability</w:t>
            </w:r>
          </w:p>
        </w:tc>
        <w:tc>
          <w:tcPr/>
          <w:p>
            <w:pPr>
              <w:pStyle w:val="Compact"/>
              <w:jc w:val="left"/>
              <w:ind w:right="0" w:firstLine="0" w:left="0"/>
              <w:spacing w:before="40" w:lineRule="auto" w:line="240" w:after="40"/>
            </w:pPr>
            <w:r>
              <w:rPr>
                <w:rStyle w:val="VerbatimChar"/>
              </w:rPr>
              <w:t xml:space="preserve">VC</w:t>
            </w:r>
          </w:p>
        </w:tc>
        <w:tc>
          <w:tcPr/>
          <w:p>
            <w:pPr>
              <w:pStyle w:val="Compact"/>
              <w:jc w:val="left"/>
              <w:ind w:right="0" w:firstLine="0" w:left="0"/>
              <w:spacing w:before="40" w:lineRule="auto" w:line="240" w:after="40"/>
            </w:pPr>
            <w:r>
              <w:rPr>
                <w:rStyle w:val="VerbatimChar"/>
              </w:rPr>
              <w:t xml:space="preserve">HLR</w:t>
            </w:r>
          </w:p>
        </w:tc>
        <w:tc>
          <w:tcPr/>
          <w:p>
            <w:pPr>
              <w:pStyle w:val="Compact"/>
              <w:jc w:val="left"/>
              <w:ind w:right="0" w:firstLine="0" w:left="0"/>
              <w:spacing w:before="40" w:lineRule="auto" w:line="240" w:after="40"/>
            </w:pPr>
            <w:r>
              <w:rPr>
                <w:bCs/>
                <w:b/>
              </w:rPr>
              <w:t xml:space="preserve">4</w:t>
            </w:r>
          </w:p>
        </w:tc>
      </w:tr>
      <w:tr>
        <w:tc>
          <w:tcPr/>
          <w:p>
            <w:pPr>
              <w:pStyle w:val="Compact"/>
              <w:jc w:val="left"/>
              <w:ind w:right="0" w:firstLine="0" w:left="0"/>
              <w:spacing w:before="40" w:lineRule="auto" w:line="240" w:after="40"/>
            </w:pPr>
            <w:r>
              <w:t xml:space="preserve">TRACES_TO</w:t>
            </w:r>
          </w:p>
        </w:tc>
        <w:tc>
          <w:tcPr/>
          <w:p>
            <w:pPr>
              <w:pStyle w:val="Compact"/>
              <w:jc w:val="left"/>
              <w:ind w:right="0" w:firstLine="0" w:left="0"/>
              <w:spacing w:before="40" w:lineRule="auto" w:line="240" w:after="40"/>
            </w:pPr>
            <w:r>
              <w:rPr>
                <w:rStyle w:val="VerbatimChar"/>
              </w:rPr>
              <w:t xml:space="preserve">@</w:t>
            </w:r>
          </w:p>
        </w:tc>
        <w:tc>
          <w:tcPr/>
          <w:p>
            <w:pPr>
              <w:pStyle w:val="Compact"/>
              <w:jc w:val="left"/>
              <w:ind w:right="0" w:firstLine="0" w:left="0"/>
              <w:spacing w:before="40" w:lineRule="auto" w:line="240" w:after="40"/>
            </w:pPr>
            <w:r>
              <w:t xml:space="preserve">—</w:t>
            </w:r>
          </w:p>
        </w:tc>
        <w:tc>
          <w:tcPr/>
          <w:p>
            <w:pPr>
              <w:pStyle w:val="Compact"/>
              <w:jc w:val="left"/>
              <w:ind w:right="0" w:firstLine="0" w:left="0"/>
              <w:spacing w:before="40" w:lineRule="auto" w:line="240" w:after="40"/>
            </w:pPr>
            <w:r>
              <w:t xml:space="preserve">—</w:t>
            </w:r>
          </w:p>
        </w:tc>
        <w:tc>
          <w:tcPr/>
          <w:p>
            <w:pPr>
              <w:pStyle w:val="Compact"/>
              <w:jc w:val="left"/>
              <w:ind w:right="0" w:firstLine="0" w:left="0"/>
              <w:spacing w:before="40" w:lineRule="auto" w:line="240" w:after="40"/>
            </w:pPr>
            <w:r>
              <w:t xml:space="preserve">—</w:t>
            </w:r>
          </w:p>
        </w:tc>
        <w:tc>
          <w:tcPr/>
          <w:p>
            <w:pPr>
              <w:pStyle w:val="Compact"/>
              <w:jc w:val="left"/>
              <w:ind w:right="0" w:firstLine="0" w:left="0"/>
              <w:spacing w:before="40" w:lineRule="auto" w:line="240" w:after="40"/>
            </w:pPr>
            <w:r>
              <w:t xml:space="preserve">1</w:t>
            </w:r>
          </w:p>
        </w:tc>
      </w:tr>
      <w:tr>
        <w:tc>
          <w:tcPr/>
          <w:p>
            <w:pPr>
              <w:pStyle w:val="Compact"/>
              <w:jc w:val="left"/>
              <w:ind w:right="0" w:firstLine="0" w:left="0"/>
              <w:spacing w:before="40" w:lineRule="auto" w:line="240" w:after="40"/>
            </w:pPr>
            <w:r>
              <w:t xml:space="preserve">XREF_SEC</w:t>
            </w:r>
          </w:p>
        </w:tc>
        <w:tc>
          <w:tcPr/>
          <w:p>
            <w:pPr>
              <w:pStyle w:val="Compact"/>
              <w:jc w:val="left"/>
              <w:ind w:right="0" w:firstLine="0" w:left="0"/>
              <w:spacing w:before="40" w:lineRule="auto" w:line="240" w:after="40"/>
            </w:pPr>
            <w:r>
              <w:rPr>
                <w:rStyle w:val="VerbatimChar"/>
              </w:rPr>
              <w:t xml:space="preserve">@</w:t>
            </w:r>
          </w:p>
        </w:tc>
        <w:tc>
          <w:tcPr/>
          <w:p>
            <w:pPr>
              <w:pStyle w:val="Compact"/>
              <w:jc w:val="left"/>
              <w:ind w:right="0" w:firstLine="0" w:left="0"/>
              <w:spacing w:before="40" w:lineRule="auto" w:line="240" w:after="40"/>
            </w:pPr>
            <w:r>
              <w:t xml:space="preserve">—</w:t>
            </w:r>
          </w:p>
        </w:tc>
        <w:tc>
          <w:tcPr/>
          <w:p>
            <w:pPr>
              <w:pStyle w:val="Compact"/>
              <w:jc w:val="left"/>
              <w:ind w:right="0" w:firstLine="0" w:left="0"/>
              <w:spacing w:before="40" w:lineRule="auto" w:line="240" w:after="40"/>
            </w:pPr>
            <w:r>
              <w:t xml:space="preserve">—</w:t>
            </w:r>
          </w:p>
        </w:tc>
        <w:tc>
          <w:tcPr/>
          <w:p>
            <w:pPr>
              <w:pStyle w:val="Compact"/>
              <w:jc w:val="left"/>
              <w:ind w:right="0" w:firstLine="0" w:left="0"/>
              <w:spacing w:before="40" w:lineRule="auto" w:line="240" w:after="40"/>
            </w:pPr>
            <w:r>
              <w:rPr>
                <w:rStyle w:val="VerbatimChar"/>
                <w:strike/>
              </w:rPr>
              <w:t xml:space="preserve">SECTION</w:t>
            </w:r>
          </w:p>
        </w:tc>
        <w:tc>
          <w:tcPr/>
          <w:p>
            <w:pPr>
              <w:pStyle w:val="Compact"/>
              <w:jc w:val="left"/>
              <w:ind w:right="0" w:firstLine="0" w:left="0"/>
              <w:spacing w:before="40" w:lineRule="auto" w:line="240" w:after="40"/>
            </w:pPr>
            <w:r>
              <w:t xml:space="preserve">eliminated</w:t>
            </w:r>
          </w:p>
        </w:tc>
      </w:tr>
    </w:tbl>
    <w:p>
      <w:pPr>
        <w:pStyle w:val="BodyText"/>
      </w:pPr>
      <w:r>
        <w:t xml:space="preserve">VERIFIES wins with the highest specificity (4 non-NULL constraints matched).</w:t>
      </w:r>
    </w:p>
    <w:bookmarkEnd w:id="67"/>
    <w:bookmarkStart w:id="68" w:name="SPEC-sec3.6.5"/>
    <w:p>
      <w:pPr>
        <w:pStyle w:val="Heading3"/>
        <w:numPr>
          <w:ilvl w:val="2"/>
          <w:numId w:val="100"/>
        </w:numPr>
      </w:pPr>
      <w:r>
        <w:t xml:space="preserve">Links in Diagram Source</w:t>
      </w:r>
    </w:p>
    <w:p>
      <w:pPr>
        <w:pStyle w:val="FirstParagraph"/>
      </w:pPr>
      <w:r>
        <w:t xml:space="preserve">A spec relation may also be written inside the content of a diagram float. This applies only to float types that declare a</w:t>
      </w:r>
      <w:r>
        <w:t xml:space="preserve"> </w:t>
      </w:r>
      <w:r>
        <w:rPr>
          <w:rStyle w:val="VerbatimChar"/>
        </w:rPr>
        <w:t xml:space="preserve">format_link</w:t>
      </w:r>
      <w:r>
        <w:t xml:space="preserve"> </w:t>
      </w:r>
      <w:r>
        <w:t xml:space="preserve">hook. In the default model, that is</w:t>
      </w:r>
      <w:r>
        <w:t xml:space="preserve"> </w:t>
      </w:r>
      <w:r>
        <w:rPr>
          <w:bCs/>
          <w:b/>
        </w:rPr>
        <w:t xml:space="preserve">PLANTUML</w:t>
      </w:r>
      <w:r>
        <w:t xml:space="preserve">. Other floats, such as listings, keep their content verbatim.</w:t>
      </w:r>
    </w:p>
    <w:p>
      <w:pPr>
        <w:pStyle w:val="SourceCode"/>
      </w:pPr>
      <w:r>
        <w:rPr>
          <w:rStyle w:val="VerbatimChar"/>
        </w:rPr>
        <w:t xml:space="preserve">```puml:arch{caption="Architecture"}</w:t>
      </w:r>
      <w:r>
        <w:br/>
      </w:r>
      <w:r>
        <w:rPr>
          <w:rStyle w:val="VerbatimChar"/>
        </w:rPr>
        <w:t xml:space="preserve">@startuml</w:t>
      </w:r>
      <w:r>
        <w:br/>
      </w:r>
      <w:r>
        <w:rPr>
          <w:rStyle w:val="VerbatimChar"/>
        </w:rPr>
        <w:t xml:space="preserve">Foo --&gt; Bar : see [SEC-2](@)</w:t>
      </w:r>
      <w:r>
        <w:br/>
      </w:r>
      <w:r>
        <w:rPr>
          <w:rStyle w:val="VerbatimChar"/>
        </w:rPr>
        <w:t xml:space="preserve">note right of Bar : [fig:overview](#) and [SRS-001](@)</w:t>
      </w:r>
      <w:r>
        <w:br/>
      </w:r>
      <w:r>
        <w:rPr>
          <w:rStyle w:val="VerbatimChar"/>
        </w:rPr>
        <w:t xml:space="preserve">@enduml</w:t>
      </w:r>
      <w:r>
        <w:br/>
      </w:r>
      <w:r>
        <w:rPr>
          <w:rStyle w:val="VerbatimChar"/>
        </w:rPr>
        <w:t xml:space="preserve">```</w:t>
      </w:r>
    </w:p>
    <w:p>
      <w:pPr>
        <w:pStyle w:val="FirstParagraph"/>
      </w:pPr>
      <w:r>
        <w:t xml:space="preserve">A diagram link forms the same 4-tuple as a body link:</w:t>
      </w:r>
    </w:p>
    <w:p>
      <w:pPr>
        <w:numPr>
          <w:ilvl w:val="0"/>
          <w:numId w:val="1015"/>
        </w:numPr>
        <w:pStyle w:val="Compact"/>
      </w:pPr>
      <m:oMath>
        <m:r>
          <m:t>s</m:t>
        </m:r>
      </m:oMath>
      <w:r>
        <w:t xml:space="preserve"> </w:t>
      </w:r>
      <w:r>
        <w:t xml:space="preserve">is the spec object that encloses the float (the float’s parent object). A float outside any spec object contributes no relations.</w:t>
      </w:r>
    </w:p>
    <w:p>
      <w:pPr>
        <w:numPr>
          <w:ilvl w:val="0"/>
          <w:numId w:val="1015"/>
        </w:numPr>
        <w:pStyle w:val="Compact"/>
      </w:pPr>
      <m:oMath>
        <m:r>
          <m:t>α</m:t>
        </m:r>
        <m:r>
          <m:rPr>
            <m:sty m:val="p"/>
          </m:rPr>
          <m:t>=</m:t>
        </m:r>
        <m:r>
          <m:rPr>
            <m:sty m:val="p"/>
          </m:rPr>
          <m:t>⊥</m:t>
        </m:r>
      </m:oMath>
      <w:r>
        <w:t xml:space="preserve">, because the link is not inside an attribute.</w:t>
      </w:r>
    </w:p>
    <w:p>
      <w:pPr>
        <w:numPr>
          <w:ilvl w:val="0"/>
          <w:numId w:val="1015"/>
        </w:numPr>
        <w:pStyle w:val="Compact"/>
      </w:pPr>
      <m:oMath>
        <m:r>
          <m:t>σ</m:t>
        </m:r>
      </m:oMath>
      <w:r>
        <w:t xml:space="preserve"> </w:t>
      </w:r>
      <w:r>
        <w:t xml:space="preserve">and the target are read from the link exactly as in body text.</w:t>
      </w:r>
    </w:p>
    <w:p>
      <w:pPr>
        <w:pStyle w:val="FirstParagraph"/>
      </w:pPr>
      <w:r>
        <w:t xml:space="preserve">Resolution, type inference, display text, and diagnostics are therefore identical to body links. An unresolved</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link is reported at its line in the source file. The processor rewrites each resolved link into the diagram tool’s hyperlink syntax before rendering, so the diagram shows the resolved display text (for example</w:t>
      </w:r>
      <w:r>
        <w:t xml:space="preserve"> </w:t>
      </w:r>
      <w:r>
        <w:t xml:space="preserve">“</w:t>
      </w:r>
      <w:r>
        <w:t xml:space="preserve">Figure 2</w:t>
      </w:r>
      <w:r>
        <w:t xml:space="preserve">”</w:t>
      </w:r>
      <w:r>
        <w:t xml:space="preserve">). In HTML output the link navigates to its target. Where the diagram tool has no hyperlink syntax at a position, the link is not clickable.</w:t>
      </w:r>
    </w:p>
    <w:p>
      <w:pPr>
        <w:pStyle w:val="BodyText"/>
      </w:pPr>
      <w:r>
        <w:t xml:space="preserve">Citations (</w:t>
      </w:r>
      <w:r>
        <w:rPr>
          <w:rStyle w:val="VerbatimChar"/>
        </w:rPr>
        <w:t xml:space="preserve">@cite</w:t>
      </w:r>
      <w:r>
        <w:t xml:space="preserve">,</w:t>
      </w:r>
      <w:r>
        <w:t xml:space="preserve"> </w:t>
      </w:r>
      <w:r>
        <w:rPr>
          <w:rStyle w:val="VerbatimChar"/>
        </w:rPr>
        <w:t xml:space="preserve">@citep</w:t>
      </w:r>
      <w:r>
        <w:t xml:space="preserve">) inside diagram source are registered but not rendered as citations. Their text stays verbatim in the diagram.</w:t>
      </w:r>
    </w:p>
    <w:p>
      <w:pPr>
        <w:pStyle w:val="BodyText"/>
      </w:pPr>
      <w:r>
        <w:t xml:space="preserve">Two further rules separate links from diagram text. A link preceded by</w:t>
      </w:r>
      <w:r>
        <w:t xml:space="preserve"> </w:t>
      </w:r>
      <w:r>
        <w:rPr>
          <w:rStyle w:val="VerbatimChar"/>
        </w:rPr>
        <w:t xml:space="preserve">~</w:t>
      </w:r>
      <w:r>
        <w:t xml:space="preserve">, the diagram tool’s escape character, is literal text and forms no relation. A float type may also declare a</w:t>
      </w:r>
      <w:r>
        <w:t xml:space="preserve"> </w:t>
      </w:r>
      <w:r>
        <w:rPr>
          <w:rStyle w:val="VerbatimChar"/>
        </w:rPr>
        <w:t xml:space="preserve">mask_comments</w:t>
      </w:r>
      <w:r>
        <w:t xml:space="preserve"> </w:t>
      </w:r>
      <w:r>
        <w:t xml:space="preserve">hook; links inside the comments it blanks out (for PLANTUML,</w:t>
      </w:r>
      <w:r>
        <w:t xml:space="preserve"> </w:t>
      </w:r>
      <w:r>
        <w:rPr>
          <w:rStyle w:val="VerbatimChar"/>
        </w:rPr>
        <w:t xml:space="preserve">' ...</w:t>
      </w:r>
      <w:r>
        <w:t xml:space="preserve"> </w:t>
      </w:r>
      <w:r>
        <w:t xml:space="preserve">and</w:t>
      </w:r>
      <w:r>
        <w:t xml:space="preserve"> </w:t>
      </w:r>
      <w:r>
        <w:rPr>
          <w:rStyle w:val="VerbatimChar"/>
        </w:rPr>
        <w:t xml:space="preserve">/' ... '/</w:t>
      </w:r>
      <w:r>
        <w:t xml:space="preserve">) form no relation, just as links inside HTML comments in body text form none.</w:t>
      </w:r>
    </w:p>
    <w:bookmarkEnd w:id="68"/>
    <w:bookmarkStart w:id="69" w:name="SPEC-sec3.6.6"/>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9"/>
    <w:bookmarkEnd w:id="70"/>
    <w:bookmarkStart w:id="78" w:name="SPEC-sec3.7"/>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1" w:name="SPEC-sec3.7.1"/>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6"/>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6"/>
        </w:numPr>
        <w:pStyle w:val="Compact"/>
      </w:pPr>
      <m:oMath>
        <m:r>
          <m:t>ω</m:t>
        </m:r>
        <m:r>
          <m:rPr>
            <m:sty m:val="p"/>
          </m:rPr>
          <m:t>∈</m:t>
        </m:r>
        <m:r>
          <m:rPr>
            <m:nor/>
            <m:sty m:val="p"/>
          </m:rPr>
          <m:t>String</m:t>
        </m:r>
      </m:oMath>
      <w:r>
        <w:t xml:space="preserve"> </w:t>
      </w:r>
      <w:r>
        <w:t xml:space="preserve">is the raw parameter string.</w:t>
      </w:r>
    </w:p>
    <w:bookmarkEnd w:id="71"/>
    <w:bookmarkStart w:id="75" w:name="SPEC-sec3.7.2"/>
    <w:p>
      <w:pPr>
        <w:pStyle w:val="Heading3"/>
        <w:numPr>
          <w:ilvl w:val="2"/>
          <w:numId w:val="100"/>
        </w:numPr>
      </w:pPr>
      <w:r>
        <w:t xml:space="preserve">Grammar</w:t>
      </w:r>
    </w:p>
    <w:p>
      <w:pPr>
        <w:spacing w:lineRule="exact" w:line="20" w:after="0" w:before="0"/>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232400" cy="1397000"/>
            <wp:effectExtent b="0" l="0" r="0" t="0"/>
            <wp:docPr descr="" title="" id="73" name="Picture"/>
            <a:graphic>
              <a:graphicData uri="http://schemas.openxmlformats.org/drawingml/2006/picture">
                <pic:pic>
                  <pic:nvPicPr>
                    <pic:cNvPr descr="diagrams/66854711fd100da85b86d601327ac920c398ea0e.png" id="74" name="Picture"/>
                    <pic:cNvPicPr>
                      <a:picLocks noChangeArrowheads="1" noChangeAspect="1"/>
                    </pic:cNvPicPr>
                  </pic:nvPicPr>
                  <pic:blipFill>
                    <a:blip r:embed="rId72"/>
                    <a:stretch>
                      <a:fillRect/>
                    </a:stretch>
                  </pic:blipFill>
                  <pic:spPr bwMode="auto">
                    <a:xfrm>
                      <a:off x="0" y="0"/>
                      <a:ext cx="5232400" cy="1397000"/>
                    </a:xfrm>
                    <a:prstGeom prst="rect">
                      <a:avLst/>
                    </a:prstGeom>
                    <a:noFill/>
                    <a:ln w="9525">
                      <a:noFill/>
                      <a:headEnd/>
                      <a:tailEnd/>
                    </a:ln>
                  </pic:spPr>
                </pic:pic>
              </a:graphicData>
            </a:graphic>
          </wp:inline>
        </w:drawing>
      </w:r>
    </w:p>
    <w:bookmarkEnd w:id="75"/>
    <w:bookmarkStart w:id="76" w:name="SPEC-sec3.7.3"/>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7"/>
        </w:numPr>
        <w:pStyle w:val="Compact"/>
      </w:pPr>
      <w:r>
        <w:rPr>
          <w:bCs/>
          <w:b/>
        </w:rPr>
        <w:t xml:space="preserve">TOC</w:t>
      </w:r>
      <w:r>
        <w:t xml:space="preserve"> </w:t>
      </w:r>
      <w:r>
        <w:t xml:space="preserve">([TOC]) — table of contents.</w:t>
      </w:r>
    </w:p>
    <w:p>
      <w:pPr>
        <w:numPr>
          <w:ilvl w:val="0"/>
          <w:numId w:val="1017"/>
        </w:numPr>
        <w:pStyle w:val="Compact"/>
      </w:pPr>
      <w:r>
        <w:rPr>
          <w:bCs/>
          <w:b/>
        </w:rPr>
        <w:t xml:space="preserve">LOF</w:t>
      </w:r>
      <w:r>
        <w:t xml:space="preserve"> </w:t>
      </w:r>
      <w:r>
        <w:t xml:space="preserve">([LOF]) — list of figures.</w:t>
      </w:r>
    </w:p>
    <w:p>
      <w:pPr>
        <w:numPr>
          <w:ilvl w:val="0"/>
          <w:numId w:val="1017"/>
        </w:numPr>
        <w:pStyle w:val="Compact"/>
      </w:pPr>
      <w:r>
        <w:rPr>
          <w:bCs/>
          <w:b/>
        </w:rPr>
        <w:t xml:space="preserve">LOT</w:t>
      </w:r>
      <w:r>
        <w:t xml:space="preserve"> </w:t>
      </w:r>
      <w:r>
        <w:t xml:space="preserve">([LOT]) — list of tables.</w:t>
      </w:r>
    </w:p>
    <w:p>
      <w:pPr>
        <w:numPr>
          <w:ilvl w:val="0"/>
          <w:numId w:val="1017"/>
        </w:numPr>
        <w:pStyle w:val="Compact"/>
      </w:pPr>
      <w:r>
        <w:rPr>
          <w:bCs/>
          <w:b/>
        </w:rPr>
        <w:t xml:space="preserve">ABBREV</w:t>
      </w:r>
      <w:r>
        <w:t xml:space="preserve"> </w:t>
      </w:r>
      <w:r>
        <w:t xml:space="preserve">(</w:t>
      </w:r>
      <w:r>
        <w:rPr>
          <w:rStyle w:val="VerbatimChar"/>
        </w:rPr>
        <w:t xml:space="preserve">abbrev:</w:t>
      </w:r>
      <w:r>
        <w:t xml:space="preserve">) — abbreviation expansion (e.g., Project Identifier (PID)).</w:t>
      </w:r>
    </w:p>
    <w:p>
      <w:pPr>
        <w:numPr>
          <w:ilvl w:val="0"/>
          <w:numId w:val="1017"/>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7"/>
        </w:numPr>
        <w:pStyle w:val="Compact"/>
      </w:pPr>
      <w:r>
        <w:rPr>
          <w:bCs/>
          <w:b/>
        </w:rPr>
        <w:t xml:space="preserve">TRACEABILITY_MATRIX</w:t>
      </w:r>
      <w:r>
        <w:t xml:space="preserve"> </w:t>
      </w:r>
      <w:r>
        <w:t xml:space="preserve">— coverage matrix showing which objects trace to which.</w:t>
      </w:r>
    </w:p>
    <w:p>
      <w:pPr>
        <w:numPr>
          <w:ilvl w:val="0"/>
          <w:numId w:val="1017"/>
        </w:numPr>
        <w:pStyle w:val="Compact"/>
      </w:pPr>
      <w:r>
        <w:rPr>
          <w:bCs/>
          <w:b/>
        </w:rPr>
        <w:t xml:space="preserve">REQUIREMENTS_SUMMARY</w:t>
      </w:r>
      <w:r>
        <w:t xml:space="preserve"> </w:t>
      </w:r>
      <w:r>
        <w:t xml:space="preserve">— summary report of requirements by type and status.</w:t>
      </w:r>
    </w:p>
    <w:bookmarkEnd w:id="76"/>
    <w:bookmarkStart w:id="77" w:name="SPEC-sec3.7.4"/>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7"/>
    <w:bookmarkEnd w:id="78"/>
    <w:bookmarkStart w:id="79" w:name="SPEC-sec3.8"/>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8"/>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 (own or inherited through the type’s</w:t>
      </w:r>
      <w:r>
        <w:t xml:space="preserve"> </w:t>
      </w:r>
      <w:r>
        <w:rPr>
          <w:rStyle w:val="VerbatimChar"/>
        </w:rPr>
        <w:t xml:space="preserve">extends</w:t>
      </w:r>
      <w:r>
        <w:t xml:space="preserve"> </w:t>
      </w:r>
      <w:r>
        <w:t xml:space="preserve">chain; matching is case-insensitive).</w:t>
      </w:r>
    </w:p>
    <w:p>
      <w:pPr>
        <w:numPr>
          <w:ilvl w:val="0"/>
          <w:numId w:val="1018"/>
        </w:numPr>
        <w:pStyle w:val="Compact"/>
      </w:pPr>
      <w:r>
        <w:t xml:space="preserve">It belongs to the most recently opened Specification or Spec Object header (it need not appear immediately after it). Each attribute is a separate Markdown blockquote, so distinct attributes must be separated by a blank line; every later line or paragraph within the same blockquote — including lines that themselves look like</w:t>
      </w:r>
      <w:r>
        <w:t xml:space="preserve"> </w:t>
      </w:r>
      <w:r>
        <w:rPr>
          <w:rStyle w:val="VerbatimChar"/>
        </w:rPr>
        <w:t xml:space="preserve">key: value</w:t>
      </w:r>
      <w:r>
        <w:t xml:space="preserve"> </w:t>
      </w:r>
      <w:r>
        <w:t xml:space="preserve">— continues the first attribute’s value.</w:t>
      </w:r>
    </w:p>
    <w:p>
      <w:pPr>
        <w:pStyle w:val="FirstParagraph"/>
      </w:pPr>
      <w:r>
        <w:t xml:space="preserve">If the first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 the compiler emits an</w:t>
      </w:r>
      <w:r>
        <w:t xml:space="preserve"> </w:t>
      </w:r>
      <w:r>
        <w:rPr>
          <w:rStyle w:val="VerbatimChar"/>
        </w:rPr>
        <w:t xml:space="preserve">unknown_attribute</w:t>
      </w:r>
      <w:r>
        <w:t xml:space="preserve"> </w:t>
      </w:r>
      <w:r>
        <w:t xml:space="preserve">warning so mistyped attribute names are visible.</w:t>
      </w:r>
    </w:p>
    <w:p>
      <w:pPr>
        <w:pStyle w:val="BodyText"/>
      </w:pPr>
      <w:r>
        <w:rPr>
          <w:iCs/>
          <w:i/>
        </w:rPr>
        <w:t xml:space="preserve">Specification-level exception.</w:t>
      </w:r>
      <w:r>
        <w:t xml:space="preserve"> </w:t>
      </w:r>
      <w:r>
        <w:t xml:space="preserve">Blockquotes belonging to the H1 header (document metadata such as</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are permissive: any</w:t>
      </w:r>
      <w:r>
        <w:t xml:space="preserve"> </w:t>
      </w:r>
      <w:r>
        <w:rPr>
          <w:rStyle w:val="VerbatimChar"/>
        </w:rPr>
        <w:t xml:space="preserve">key: value</w:t>
      </w:r>
      <w:r>
        <w:t xml:space="preserve"> </w:t>
      </w:r>
      <w:r>
        <w:t xml:space="preserve">blockquote is stored as specification metadata, with an</w:t>
      </w:r>
      <w:r>
        <w:t xml:space="preserve"> </w:t>
      </w:r>
      <w:r>
        <w:rPr>
          <w:rStyle w:val="VerbatimChar"/>
        </w:rPr>
        <w:t xml:space="preserve">unknown_spec_attribute</w:t>
      </w:r>
      <w:r>
        <w:t xml:space="preserve"> </w:t>
      </w:r>
      <w:r>
        <w:t xml:space="preserve">warning when the key is not declared for the specification’s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Link inside diagram source vs. diagram syntax.</w:t>
      </w:r>
      <w:r>
        <w:t xml:space="preserve"> </w:t>
      </w:r>
      <w:r>
        <w:t xml:space="preserve">Diagram float content is plain text, not Markdown, so links are found by a text scan. A sequence</w:t>
      </w:r>
      <w:r>
        <w:t xml:space="preserve"> </w:t>
      </w:r>
      <w:r>
        <w:rPr>
          <w:rStyle w:val="VerbatimChar"/>
        </w:rPr>
        <w:t xml:space="preserve">[text](selector)</w:t>
      </w:r>
      <w:r>
        <w:t xml:space="preserve"> </w:t>
      </w:r>
      <w:r>
        <w:t xml:space="preserve">is recognized as a spec relation if and only if the float type declares</w:t>
      </w:r>
      <w:r>
        <w:t xml:space="preserve"> </w:t>
      </w:r>
      <w:r>
        <w:rPr>
          <w:rStyle w:val="VerbatimChar"/>
        </w:rPr>
        <w:t xml:space="preserve">format_link</w:t>
      </w:r>
      <w:r>
        <w:t xml:space="preserve">, the text is non-empty and contains no</w:t>
      </w:r>
      <w:r>
        <w:t xml:space="preserve"> </w:t>
      </w:r>
      <w:r>
        <w:rPr>
          <w:rStyle w:val="VerbatimChar"/>
        </w:rPr>
        <w:t xml:space="preserve">[</w:t>
      </w:r>
      <w:r>
        <w:t xml:space="preserve">,</w:t>
      </w:r>
      <w:r>
        <w:t xml:space="preserve"> </w:t>
      </w:r>
      <w:r>
        <w:rPr>
          <w:rStyle w:val="VerbatimChar"/>
        </w:rPr>
        <w:t xml:space="preserve">]</w:t>
      </w:r>
      <w:r>
        <w:t xml:space="preserve">, or newline, and the selector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contains no whitespace or</w:t>
      </w:r>
      <w:r>
        <w:t xml:space="preserve"> </w:t>
      </w:r>
      <w:r>
        <w:rPr>
          <w:rStyle w:val="VerbatimChar"/>
        </w:rPr>
        <w:t xml:space="preserve">)</w:t>
      </w:r>
      <w:r>
        <w:t xml:space="preserve">. The diagram tool’s own bracket syntax therefore never matches:</w:t>
      </w:r>
    </w:p>
    <w:p>
      <w:pPr>
        <w:spacing w:lineRule="exact" w:line="20" w:after="0" w:before="0"/>
        <w:rPr>
          <w:sz w:val="2"/>
        </w:rPr>
      </w:pPr>
      <w:bookmarkStart w:name="csv-tbl-diagram-link-scan" w:id="65281"/>
      <w:bookmarkEnd w:id="65281"/>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Diagram source link recognition</w:t>
      </w:r>
    </w:p>
    <w:tbl>
      <w:tblPr>
        <w:tblStyle w:val="Table"/>
        <w:tblW w:type="auto" w:w="0"/>
        <w:tblLook w:firstRow="1" w:lastRow="0" w:firstColumn="0" w:lastColumn="0" w:noHBand="0" w:noVBand="0" w:val="0020"/>
        <w:jc w:val="start"/>
        <w:tblBorders>
          <w:top w:sz="6" w:space="0" w:color="000000" w:val="single"/>
          <w:left w:sz="6" w:space="0" w:color="000000" w:val="single"/>
          <w:bottom w:sz="6" w:space="0" w:color="000000" w:val="single"/>
          <w:right w:sz="6" w:space="0" w:color="000000" w:val="single"/>
          <w:insideH w:sz="6" w:space="0" w:color="000000" w:val="single"/>
          <w:insideV w:sz="6" w:space="0" w:color="000000" w:val="single"/>
        </w:tblBorders>
        <w:tblCellMar>
          <w:top w:w="57" w:type="dxa"/>
          <w:left w:w="108" w:type="dxa"/>
          <w:bottom w:w="57" w:type="dxa"/>
          <w:right w:w="108" w:type="dxa"/>
        </w:tblCellMar>
      </w:tblPr>
      <w:tblGrid>
        <w:gridCol w:w="2640"/>
        <w:gridCol w:w="2640"/>
        <w:gridCol w:w="2640"/>
      </w:tblGrid>
      <w:tr>
        <w:trPr>
          <w:tblHeader w:val="true"/>
        </w:trPr>
        <w:tc>
          <w:tcPr>
            <w:shd w:fill="E8E8E8" w:color="auto" w:val="clear"/>
          </w:tcPr>
          <w:p>
            <w:pPr>
              <w:pStyle w:val="Compact"/>
              <w:jc w:val="left"/>
              <w:ind w:right="0" w:firstLine="0" w:left="0"/>
              <w:spacing w:before="40" w:lineRule="auto" w:line="240" w:after="40"/>
            </w:pPr>
            <w:r>
              <w:rPr>
                <w:b/>
              </w:rPr>
              <w:t xml:space="preserve">Diagram text</w:t>
            </w:r>
          </w:p>
        </w:tc>
        <w:tc>
          <w:tcPr>
            <w:shd w:fill="E8E8E8" w:color="auto" w:val="clear"/>
          </w:tcPr>
          <w:p>
            <w:pPr>
              <w:pStyle w:val="Compact"/>
              <w:jc w:val="left"/>
              <w:ind w:right="0" w:firstLine="0" w:left="0"/>
              <w:spacing w:before="40" w:lineRule="auto" w:line="240" w:after="40"/>
            </w:pPr>
            <w:r>
              <w:rPr>
                <w:b/>
              </w:rPr>
              <w:t xml:space="preserve">Recognized</w:t>
            </w:r>
          </w:p>
        </w:tc>
        <w:tc>
          <w:tcPr>
            <w:shd w:fill="E8E8E8" w:color="auto" w:val="clear"/>
          </w:tcPr>
          <w:p>
            <w:pPr>
              <w:pStyle w:val="Compact"/>
              <w:jc w:val="left"/>
              <w:ind w:right="0" w:firstLine="0" w:left="0"/>
              <w:spacing w:before="40" w:lineRule="auto" w:line="240" w:after="40"/>
            </w:pPr>
            <w:r>
              <w:rPr>
                <w:b/>
              </w:rPr>
              <w:t xml:space="preserve">Reason</w:t>
            </w:r>
          </w:p>
        </w:tc>
      </w:tr>
      <w:tr>
        <w:tc>
          <w:tcPr/>
          <w:p>
            <w:pPr>
              <w:pStyle w:val="Compact"/>
              <w:jc w:val="left"/>
              <w:ind w:right="0" w:firstLine="0" w:left="0"/>
              <w:spacing w:before="40" w:lineRule="auto" w:line="240" w:after="40"/>
            </w:pPr>
            <w:r>
              <w:rPr>
                <w:rStyle w:val="VerbatimChar"/>
              </w:rPr>
              <w:t xml:space="preserve">[SEC-2](@)</w:t>
            </w:r>
          </w:p>
        </w:tc>
        <w:tc>
          <w:tcPr/>
          <w:p>
            <w:pPr>
              <w:pStyle w:val="Compact"/>
              <w:jc w:val="left"/>
              <w:ind w:right="0" w:firstLine="0" w:left="0"/>
              <w:spacing w:before="40" w:lineRule="auto" w:line="240" w:after="40"/>
            </w:pPr>
            <w:r>
              <w:t xml:space="preserve">Yes</w:t>
            </w:r>
          </w:p>
        </w:tc>
        <w:tc>
          <w:tcPr/>
          <w:p>
            <w:pPr>
              <w:pStyle w:val="Compact"/>
              <w:jc w:val="left"/>
              <w:ind w:right="0" w:firstLine="0" w:left="0"/>
              <w:spacing w:before="40" w:lineRule="auto" w:line="240" w:after="40"/>
            </w:pPr>
            <w:r>
              <w:t xml:space="preserve">Text without brackets, selector</w:t>
            </w:r>
            <w:r>
              <w:t xml:space="preserve"> </w:t>
            </w:r>
            <w:r>
              <w:rPr>
                <w:rStyle w:val="VerbatimChar"/>
              </w:rPr>
              <w:t xml:space="preserve">@</w:t>
            </w:r>
          </w:p>
        </w:tc>
      </w:tr>
      <w:tr>
        <w:tc>
          <w:tcPr/>
          <w:p>
            <w:pPr>
              <w:pStyle w:val="Compact"/>
              <w:jc w:val="left"/>
              <w:ind w:right="0" w:firstLine="0" w:left="0"/>
              <w:spacing w:before="40" w:lineRule="auto" w:line="240" w:after="40"/>
            </w:pPr>
            <w:r>
              <w:rPr>
                <w:rStyle w:val="VerbatimChar"/>
              </w:rPr>
              <w:t xml:space="preserve">[fig:overview](#)</w:t>
            </w:r>
          </w:p>
        </w:tc>
        <w:tc>
          <w:tcPr/>
          <w:p>
            <w:pPr>
              <w:pStyle w:val="Compact"/>
              <w:jc w:val="left"/>
              <w:ind w:right="0" w:firstLine="0" w:left="0"/>
              <w:spacing w:before="40" w:lineRule="auto" w:line="240" w:after="40"/>
            </w:pPr>
            <w:r>
              <w:t xml:space="preserve">Yes</w:t>
            </w:r>
          </w:p>
        </w:tc>
        <w:tc>
          <w:tcPr/>
          <w:p>
            <w:pPr>
              <w:pStyle w:val="Compact"/>
              <w:jc w:val="left"/>
              <w:ind w:right="0" w:firstLine="0" w:left="0"/>
              <w:spacing w:before="40" w:lineRule="auto" w:line="240" w:after="40"/>
            </w:pPr>
            <w:r>
              <w:t xml:space="preserve">Text without brackets, selector</w:t>
            </w:r>
            <w:r>
              <w:t xml:space="preserve"> </w:t>
            </w:r>
            <w:r>
              <w:rPr>
                <w:rStyle w:val="VerbatimChar"/>
              </w:rPr>
              <w:t xml:space="preserve">#</w:t>
            </w:r>
          </w:p>
        </w:tc>
      </w:tr>
      <w:tr>
        <w:tc>
          <w:tcPr/>
          <w:p>
            <w:pPr>
              <w:pStyle w:val="Compact"/>
              <w:jc w:val="left"/>
              <w:ind w:right="0" w:firstLine="0" w:left="0"/>
              <w:spacing w:before="40" w:lineRule="auto" w:line="240" w:after="40"/>
            </w:pPr>
            <w:r>
              <w:rPr>
                <w:rStyle w:val="VerbatimChar"/>
              </w:rPr>
              <w:t xml:space="preserve">[Component]</w:t>
            </w:r>
          </w:p>
        </w:tc>
        <w:tc>
          <w:tcPr/>
          <w:p>
            <w:pPr>
              <w:pStyle w:val="Compact"/>
              <w:jc w:val="left"/>
              <w:ind w:right="0" w:firstLine="0" w:left="0"/>
              <w:spacing w:before="40" w:lineRule="auto" w:line="240" w:after="40"/>
            </w:pPr>
            <w:r>
              <w:t xml:space="preserve">No</w:t>
            </w:r>
          </w:p>
        </w:tc>
        <w:tc>
          <w:tcPr/>
          <w:p>
            <w:pPr>
              <w:pStyle w:val="Compact"/>
              <w:jc w:val="left"/>
              <w:ind w:right="0" w:firstLine="0" w:left="0"/>
              <w:spacing w:before="40" w:lineRule="auto" w:line="240" w:after="40"/>
            </w:pPr>
            <w:r>
              <w:t xml:space="preserve">No</w:t>
            </w:r>
            <w:r>
              <w:t xml:space="preserve"> </w:t>
            </w:r>
            <w:r>
              <w:rPr>
                <w:rStyle w:val="VerbatimChar"/>
              </w:rPr>
              <w:t xml:space="preserve">(selector)</w:t>
            </w:r>
            <w:r>
              <w:t xml:space="preserve"> </w:t>
            </w:r>
            <w:r>
              <w:t xml:space="preserve">follows</w:t>
            </w:r>
          </w:p>
        </w:tc>
      </w:tr>
      <w:tr>
        <w:tc>
          <w:tcPr/>
          <w:p>
            <w:pPr>
              <w:pStyle w:val="Compact"/>
              <w:jc w:val="left"/>
              <w:ind w:right="0" w:firstLine="0" w:left="0"/>
              <w:spacing w:before="40" w:lineRule="auto" w:line="240" w:after="40"/>
            </w:pPr>
            <w:r>
              <w:rPr>
                <w:rStyle w:val="VerbatimChar"/>
              </w:rPr>
              <w:t xml:space="preserve">[[http://example.com label]]</w:t>
            </w:r>
          </w:p>
        </w:tc>
        <w:tc>
          <w:tcPr/>
          <w:p>
            <w:pPr>
              <w:pStyle w:val="Compact"/>
              <w:jc w:val="left"/>
              <w:ind w:right="0" w:firstLine="0" w:left="0"/>
              <w:spacing w:before="40" w:lineRule="auto" w:line="240" w:after="40"/>
            </w:pPr>
            <w:r>
              <w:t xml:space="preserve">No</w:t>
            </w:r>
          </w:p>
        </w:tc>
        <w:tc>
          <w:tcPr/>
          <w:p>
            <w:pPr>
              <w:pStyle w:val="Compact"/>
              <w:jc w:val="left"/>
              <w:ind w:right="0" w:firstLine="0" w:left="0"/>
              <w:spacing w:before="40" w:lineRule="auto" w:line="240" w:after="40"/>
            </w:pPr>
            <w:r>
              <w:t xml:space="preserve">Text contains</w:t>
            </w:r>
            <w:r>
              <w:t xml:space="preserve"> </w:t>
            </w:r>
            <w:r>
              <w:rPr>
                <w:rStyle w:val="VerbatimChar"/>
              </w:rPr>
              <w:t xml:space="preserve">[</w:t>
            </w:r>
            <w:r>
              <w:t xml:space="preserve">, and no</w:t>
            </w:r>
            <w:r>
              <w:t xml:space="preserve"> </w:t>
            </w:r>
            <w:r>
              <w:rPr>
                <w:rStyle w:val="VerbatimChar"/>
              </w:rPr>
              <w:t xml:space="preserve">(selector)</w:t>
            </w:r>
            <w:r>
              <w:t xml:space="preserve"> </w:t>
            </w:r>
            <w:r>
              <w:t xml:space="preserve">follows</w:t>
            </w:r>
          </w:p>
        </w:tc>
      </w:tr>
      <w:tr>
        <w:tc>
          <w:tcPr/>
          <w:p>
            <w:pPr>
              <w:pStyle w:val="Compact"/>
              <w:jc w:val="left"/>
              <w:ind w:right="0" w:firstLine="0" w:left="0"/>
              <w:spacing w:before="40" w:lineRule="auto" w:line="240" w:after="40"/>
            </w:pPr>
            <w:r>
              <w:rPr>
                <w:rStyle w:val="VerbatimChar"/>
              </w:rPr>
              <w:t xml:space="preserve">-[#red]-&gt;</w:t>
            </w:r>
          </w:p>
        </w:tc>
        <w:tc>
          <w:tcPr/>
          <w:p>
            <w:pPr>
              <w:pStyle w:val="Compact"/>
              <w:jc w:val="left"/>
              <w:ind w:right="0" w:firstLine="0" w:left="0"/>
              <w:spacing w:before="40" w:lineRule="auto" w:line="240" w:after="40"/>
            </w:pPr>
            <w:r>
              <w:t xml:space="preserve">No</w:t>
            </w:r>
          </w:p>
        </w:tc>
        <w:tc>
          <w:tcPr/>
          <w:p>
            <w:pPr>
              <w:pStyle w:val="Compact"/>
              <w:jc w:val="left"/>
              <w:ind w:right="0" w:firstLine="0" w:left="0"/>
              <w:spacing w:before="40" w:lineRule="auto" w:line="240" w:after="40"/>
            </w:pPr>
            <w:r>
              <w:rPr>
                <w:rStyle w:val="VerbatimChar"/>
              </w:rPr>
              <w:t xml:space="preserve">#red</w:t>
            </w:r>
            <w:r>
              <w:t xml:space="preserve"> </w:t>
            </w:r>
            <w:r>
              <w:t xml:space="preserve">is inside the brackets, not a selector</w:t>
            </w:r>
          </w:p>
        </w:tc>
      </w:tr>
      <w:tr>
        <w:tc>
          <w:tcPr/>
          <w:p>
            <w:pPr>
              <w:pStyle w:val="Compact"/>
              <w:jc w:val="left"/>
              <w:ind w:right="0" w:firstLine="0" w:left="0"/>
              <w:spacing w:before="40" w:lineRule="auto" w:line="240" w:after="40"/>
            </w:pPr>
            <w:r>
              <w:rPr>
                <w:rStyle w:val="VerbatimChar"/>
              </w:rPr>
              <w:t xml:space="preserve">[a](https://example.com)</w:t>
            </w:r>
          </w:p>
        </w:tc>
        <w:tc>
          <w:tcPr/>
          <w:p>
            <w:pPr>
              <w:pStyle w:val="Compact"/>
              <w:jc w:val="left"/>
              <w:ind w:right="0" w:firstLine="0" w:left="0"/>
              <w:spacing w:before="40" w:lineRule="auto" w:line="240" w:after="40"/>
            </w:pPr>
            <w:r>
              <w:t xml:space="preserve">No</w:t>
            </w:r>
          </w:p>
        </w:tc>
        <w:tc>
          <w:tcPr/>
          <w:p>
            <w:pPr>
              <w:pStyle w:val="Compact"/>
              <w:jc w:val="left"/>
              <w:ind w:right="0" w:firstLine="0" w:left="0"/>
              <w:spacing w:before="40" w:lineRule="auto" w:line="240" w:after="40"/>
            </w:pPr>
            <w:r>
              <w:t xml:space="preserve">Selector does not start with</w:t>
            </w:r>
            <w:r>
              <w:t xml:space="preserve"> </w:t>
            </w:r>
            <w:r>
              <w:rPr>
                <w:rStyle w:val="VerbatimChar"/>
              </w:rPr>
              <w:t xml:space="preserve">@</w:t>
            </w:r>
            <w:r>
              <w:t xml:space="preserve"> </w:t>
            </w:r>
            <w:r>
              <w:t xml:space="preserve">or</w:t>
            </w:r>
            <w:r>
              <w:t xml:space="preserve"> </w:t>
            </w:r>
            <w:r>
              <w:rPr>
                <w:rStyle w:val="VerbatimChar"/>
              </w:rPr>
              <w:t xml:space="preserve">#</w:t>
            </w:r>
          </w:p>
        </w:tc>
      </w:tr>
    </w:tbl>
    <w:p>
      <w:pPr>
        <w:pStyle w:val="BodyText"/>
      </w:pPr>
      <w:r>
        <w:t xml:space="preserve">The characters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w:t>
      </w:r>
      <w:r>
        <w:t xml:space="preserve">are removed from the display text inside a diagram, because they would end the PlantUML link early.</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9"/>
    <w:bookmarkEnd w:id="80"/>
    <w:bookmarkStart w:id="86" w:name="SPEC-sec4"/>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1" w:name="SPEC-sec4.1"/>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9"/>
        </w:numPr>
        <w:pStyle w:val="Compact"/>
      </w:pPr>
      <w:r>
        <w:rPr>
          <w:bCs/>
          <w:b/>
        </w:rPr>
        <w:t xml:space="preserve">Object types</w:t>
      </w:r>
      <w:r>
        <w:t xml:space="preserve"> </w:t>
      </w:r>
      <w:r>
        <w:t xml:space="preserve">— spec object types (e.g., SECTION, HLR, LLR, VC).</w:t>
      </w:r>
    </w:p>
    <w:p>
      <w:pPr>
        <w:numPr>
          <w:ilvl w:val="0"/>
          <w:numId w:val="1019"/>
        </w:numPr>
        <w:pStyle w:val="Compact"/>
      </w:pPr>
      <w:r>
        <w:rPr>
          <w:bCs/>
          <w:b/>
        </w:rPr>
        <w:t xml:space="preserve">Float types</w:t>
      </w:r>
      <w:r>
        <w:t xml:space="preserve"> </w:t>
      </w:r>
      <w:r>
        <w:t xml:space="preserve">— float types with aliases and counter groups (e.g., FIGURE, TABLE, PLANTUML).</w:t>
      </w:r>
    </w:p>
    <w:p>
      <w:pPr>
        <w:numPr>
          <w:ilvl w:val="0"/>
          <w:numId w:val="1019"/>
        </w:numPr>
        <w:pStyle w:val="Compact"/>
      </w:pPr>
      <w:r>
        <w:rPr>
          <w:bCs/>
          <w:b/>
        </w:rPr>
        <w:t xml:space="preserve">Relation types</w:t>
      </w:r>
      <w:r>
        <w:t xml:space="preserve"> </w:t>
      </w:r>
      <w:r>
        <w:t xml:space="preserve">— relation types with selectors, resolvers, and constraints (e.g., PID_REF, VERIFIES).</w:t>
      </w:r>
    </w:p>
    <w:p>
      <w:pPr>
        <w:numPr>
          <w:ilvl w:val="0"/>
          <w:numId w:val="1019"/>
        </w:numPr>
        <w:pStyle w:val="Compact"/>
      </w:pPr>
      <w:r>
        <w:rPr>
          <w:bCs/>
          <w:b/>
        </w:rPr>
        <w:t xml:space="preserve">View types</w:t>
      </w:r>
      <w:r>
        <w:t xml:space="preserve"> </w:t>
      </w:r>
      <w:r>
        <w:t xml:space="preserve">— view types with parameters and materialization logic (e.g., TOC, LOF, ABBREV).</w:t>
      </w:r>
    </w:p>
    <w:p>
      <w:pPr>
        <w:numPr>
          <w:ilvl w:val="0"/>
          <w:numId w:val="1019"/>
        </w:numPr>
        <w:pStyle w:val="Compact"/>
      </w:pPr>
      <w:r>
        <w:rPr>
          <w:bCs/>
          <w:b/>
        </w:rPr>
        <w:t xml:space="preserve">Specification types</w:t>
      </w:r>
      <w:r>
        <w:t xml:space="preserve"> </w:t>
      </w:r>
      <w:r>
        <w:t xml:space="preserve">— document-level types (e.g., SRS, SDD, SVC).</w:t>
      </w:r>
    </w:p>
    <w:p>
      <w:pPr>
        <w:numPr>
          <w:ilvl w:val="0"/>
          <w:numId w:val="1019"/>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1"/>
    <w:bookmarkStart w:id="82" w:name="SPEC-sec4.2"/>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20"/>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20"/>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20"/>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20"/>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20"/>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20"/>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1"/>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1"/>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1"/>
        </w:numPr>
        <w:pStyle w:val="Compact"/>
      </w:pPr>
      <w:r>
        <w:rPr>
          <w:bCs/>
          <w:b/>
        </w:rPr>
        <w:t xml:space="preserve">source_attribute</w:t>
      </w:r>
      <w:r>
        <w:t xml:space="preserve"> </w:t>
      </w:r>
      <w:r>
        <w:t xml:space="preserve">— attribute context constraint for inference.</w:t>
      </w:r>
    </w:p>
    <w:p>
      <w:pPr>
        <w:numPr>
          <w:ilvl w:val="0"/>
          <w:numId w:val="1021"/>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2"/>
    <w:bookmarkStart w:id="83" w:name="SPEC-sec4.3"/>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2"/>
        </w:numPr>
        <w:pStyle w:val="Compact"/>
      </w:pPr>
      <w:r>
        <w:rPr>
          <w:bCs/>
          <w:b/>
        </w:rPr>
        <w:t xml:space="preserve">SECTION</w:t>
      </w:r>
      <w:r>
        <w:t xml:space="preserve"> </w:t>
      </w:r>
      <w:r>
        <w:t xml:space="preserve">— base structural container, no special attributes.</w:t>
      </w:r>
    </w:p>
    <w:p>
      <w:pPr>
        <w:numPr>
          <w:ilvl w:val="0"/>
          <w:numId w:val="1022"/>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2"/>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2"/>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3"/>
    <w:bookmarkStart w:id="84" w:name="SPEC-sec4.4"/>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3"/>
        </w:numPr>
        <w:pStyle w:val="Compact"/>
      </w:pPr>
      <w:r>
        <w:rPr>
          <w:bCs/>
          <w:b/>
        </w:rPr>
        <w:t xml:space="preserve">Objects:</w:t>
      </w:r>
      <w:r>
        <w:t xml:space="preserve"> </w:t>
      </w:r>
      <w:r>
        <w:t xml:space="preserve">SECTION (default, composite), COVER, EXEC_SUMMARY, REFERENCES.</w:t>
      </w:r>
    </w:p>
    <w:p>
      <w:pPr>
        <w:numPr>
          <w:ilvl w:val="0"/>
          <w:numId w:val="1023"/>
        </w:numPr>
        <w:pStyle w:val="Compact"/>
      </w:pPr>
      <w:r>
        <w:rPr>
          <w:bCs/>
          <w:b/>
        </w:rPr>
        <w:t xml:space="preserve">Floats:</w:t>
      </w:r>
      <w:r>
        <w:t xml:space="preserve"> </w:t>
      </w:r>
      <w:r>
        <w:t xml:space="preserve">FIGURE, TABLE, CODE, MATH, PLANTUML, CHART, DIAGRAM.</w:t>
      </w:r>
    </w:p>
    <w:p>
      <w:pPr>
        <w:numPr>
          <w:ilvl w:val="0"/>
          <w:numId w:val="1023"/>
        </w:numPr>
        <w:pStyle w:val="Compact"/>
      </w:pPr>
      <w:r>
        <w:rPr>
          <w:bCs/>
          <w:b/>
        </w:rPr>
        <w:t xml:space="preserve">Views:</w:t>
      </w:r>
      <w:r>
        <w:t xml:space="preserve"> </w:t>
      </w:r>
      <w:r>
        <w:t xml:space="preserve">TOC, LOF, LOT, ABBREV, MATH_INLINE.</w:t>
      </w:r>
    </w:p>
    <w:p>
      <w:pPr>
        <w:numPr>
          <w:ilvl w:val="0"/>
          <w:numId w:val="1023"/>
        </w:numPr>
        <w:pStyle w:val="Compact"/>
      </w:pPr>
      <w:r>
        <w:rPr>
          <w:bCs/>
          <w:b/>
        </w:rPr>
        <w:t xml:space="preserve">Specifications:</w:t>
      </w:r>
      <w:r>
        <w:t xml:space="preserve"> </w:t>
      </w:r>
      <w:r>
        <w:t xml:space="preserve">A single default specification type.</w:t>
      </w:r>
    </w:p>
    <w:bookmarkEnd w:id="84"/>
    <w:bookmarkStart w:id="85" w:name="SPEC-sec4.5"/>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4"/>
        </w:numPr>
        <w:pStyle w:val="Compact"/>
      </w:pPr>
      <w:r>
        <w:rPr>
          <w:bCs/>
          <w:b/>
        </w:rPr>
        <w:t xml:space="preserve">Objects:</w:t>
      </w:r>
      <w:r>
        <w:t xml:space="preserve"> </w:t>
      </w:r>
      <w:r>
        <w:t xml:space="preserve">HLR, LLR, VC, NFR, FD, DD, CSC, CSU, TR — for software requirements, design, and verification.</w:t>
      </w:r>
    </w:p>
    <w:p>
      <w:pPr>
        <w:numPr>
          <w:ilvl w:val="0"/>
          <w:numId w:val="1024"/>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4"/>
        </w:numPr>
        <w:pStyle w:val="Compact"/>
      </w:pPr>
      <w:r>
        <w:rPr>
          <w:bCs/>
          <w:b/>
        </w:rPr>
        <w:t xml:space="preserve">Specifications:</w:t>
      </w:r>
      <w:r>
        <w:t xml:space="preserve"> </w:t>
      </w:r>
      <w:r>
        <w:t xml:space="preserve">SRS, SDD, SVC, TRR, SUM — for software documentation lifecycle.</w:t>
      </w:r>
    </w:p>
    <w:p>
      <w:pPr>
        <w:numPr>
          <w:ilvl w:val="0"/>
          <w:numId w:val="1024"/>
        </w:numPr>
        <w:pStyle w:val="Compact"/>
      </w:pPr>
      <w:r>
        <w:rPr>
          <w:bCs/>
          <w:b/>
        </w:rPr>
        <w:t xml:space="preserve">Views:</w:t>
      </w:r>
      <w:r>
        <w:t xml:space="preserve"> </w:t>
      </w:r>
      <w:r>
        <w:t xml:space="preserve">TRACEABILITY_MATRIX, REQUIREMENTS_SUMMARY, COVERAGE_SUMMARY — for analysis and reporting.</w:t>
      </w:r>
    </w:p>
    <w:p>
      <w:pPr>
        <w:numPr>
          <w:ilvl w:val="0"/>
          <w:numId w:val="1024"/>
        </w:numPr>
        <w:pStyle w:val="Compact"/>
      </w:pPr>
      <w:r>
        <w:rPr>
          <w:bCs/>
          <w:b/>
        </w:rPr>
        <w:t xml:space="preserve">Verification views:</w:t>
      </w:r>
      <w:r>
        <w:t xml:space="preserve"> </w:t>
      </w:r>
      <w:r>
        <w:t xml:space="preserve">Missing traceability coverage, invalid attribute values, duplicate PIDs.</w:t>
      </w:r>
    </w:p>
    <w:bookmarkEnd w:id="85"/>
    <w:bookmarkEnd w:id="86"/>
    <w:bookmarkStart w:id="90" w:name="SPEC-sec5"/>
    <w:p>
      <w:pPr>
        <w:pStyle w:val="Heading1"/>
        <w:numPr>
          <w:ilvl w:val="0"/>
          <w:numId w:val="100"/>
        </w:numPr>
      </w:pPr>
      <w:r>
        <w:t xml:space="preserve">Datatypes</w:t>
      </w:r>
    </w:p>
    <w:bookmarkStart w:id="87" w:name="SPEC-sec5.1"/>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lineRule="exact" w:line="20" w:after="0" w:before="0"/>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Primitive Datatypes</w:t>
      </w:r>
    </w:p>
    <w:tbl>
      <w:tblPr>
        <w:tblStyle w:val="Table"/>
        <w:tblW w:type="auto" w:w="0"/>
        <w:tblLook w:firstRow="1" w:lastRow="0" w:firstColumn="0" w:lastColumn="0" w:noHBand="0" w:noVBand="0" w:val="0020"/>
        <w:jc w:val="start"/>
        <w:tblBorders>
          <w:top w:sz="6" w:space="0" w:color="000000" w:val="single"/>
          <w:left w:sz="6" w:space="0" w:color="000000" w:val="single"/>
          <w:bottom w:sz="6" w:space="0" w:color="000000" w:val="single"/>
          <w:right w:sz="6" w:space="0" w:color="000000" w:val="single"/>
          <w:insideH w:sz="6" w:space="0" w:color="000000" w:val="single"/>
          <w:insideV w:sz="6" w:space="0" w:color="000000" w:val="single"/>
        </w:tblBorders>
        <w:tblCellMar>
          <w:top w:w="57" w:type="dxa"/>
          <w:left w:w="108" w:type="dxa"/>
          <w:bottom w:w="57" w:type="dxa"/>
          <w:right w:w="108" w:type="dxa"/>
        </w:tblCellMar>
      </w:tblPr>
      <w:tblGrid>
        <w:gridCol w:w="2640"/>
        <w:gridCol w:w="2640"/>
        <w:gridCol w:w="2640"/>
      </w:tblGrid>
      <w:tr>
        <w:trPr>
          <w:tblHeader w:val="true"/>
        </w:trPr>
        <w:tc>
          <w:tcPr>
            <w:shd w:fill="E8E8E8" w:color="auto" w:val="clear"/>
          </w:tcPr>
          <w:p>
            <w:pPr>
              <w:pStyle w:val="Compact"/>
              <w:jc w:val="left"/>
              <w:ind w:right="0" w:firstLine="0" w:left="0"/>
              <w:spacing w:before="40" w:lineRule="auto" w:line="240" w:after="40"/>
            </w:pPr>
            <w:r>
              <w:rPr>
                <w:b/>
              </w:rPr>
              <w:t xml:space="preserve">Datatype</w:t>
            </w:r>
          </w:p>
        </w:tc>
        <w:tc>
          <w:tcPr>
            <w:shd w:fill="E8E8E8" w:color="auto" w:val="clear"/>
          </w:tcPr>
          <w:p>
            <w:pPr>
              <w:pStyle w:val="Compact"/>
              <w:jc w:val="left"/>
              <w:ind w:right="0" w:firstLine="0" w:left="0"/>
              <w:spacing w:before="40" w:lineRule="auto" w:line="240" w:after="40"/>
            </w:pPr>
            <w:r>
              <w:rPr>
                <w:b/>
              </w:rPr>
              <w:t xml:space="preserve">Syntax</w:t>
            </w:r>
          </w:p>
        </w:tc>
        <w:tc>
          <w:tcPr>
            <w:shd w:fill="E8E8E8" w:color="auto" w:val="clear"/>
          </w:tcPr>
          <w:p>
            <w:pPr>
              <w:pStyle w:val="Compact"/>
              <w:jc w:val="left"/>
              <w:ind w:right="0" w:firstLine="0" w:left="0"/>
              <w:spacing w:before="40" w:lineRule="auto" w:line="240" w:after="40"/>
            </w:pPr>
            <w:r>
              <w:rPr>
                <w:b/>
              </w:rPr>
              <w:t xml:space="preserve">Description</w:t>
            </w:r>
          </w:p>
        </w:tc>
      </w:tr>
      <w:tr>
        <w:tc>
          <w:tcPr/>
          <w:p>
            <w:pPr>
              <w:pStyle w:val="Compact"/>
              <w:jc w:val="left"/>
              <w:ind w:right="0" w:firstLine="0" w:left="0"/>
              <w:spacing w:before="40" w:lineRule="auto" w:line="240" w:after="40"/>
            </w:pPr>
            <w:r>
              <w:t xml:space="preserve">STRING</w:t>
            </w:r>
          </w:p>
        </w:tc>
        <w:tc>
          <w:tcPr/>
          <w:p>
            <w:pPr>
              <w:pStyle w:val="Compact"/>
              <w:jc w:val="left"/>
              <w:ind w:right="0" w:firstLine="0" w:left="0"/>
              <w:spacing w:before="40" w:lineRule="auto" w:line="240" w:after="40"/>
            </w:pPr>
            <w:r>
              <w:t xml:space="preserve">Plain text</w:t>
            </w:r>
          </w:p>
        </w:tc>
        <w:tc>
          <w:tcPr/>
          <w:p>
            <w:pPr>
              <w:pStyle w:val="Compact"/>
              <w:jc w:val="left"/>
              <w:ind w:right="0" w:firstLine="0" w:left="0"/>
              <w:spacing w:before="40" w:lineRule="auto" w:line="240" w:after="40"/>
            </w:pPr>
            <w:r>
              <w:t xml:space="preserve">Unformatted text value</w:t>
            </w:r>
          </w:p>
        </w:tc>
      </w:tr>
      <w:tr>
        <w:tc>
          <w:tcPr/>
          <w:p>
            <w:pPr>
              <w:pStyle w:val="Compact"/>
              <w:jc w:val="left"/>
              <w:ind w:right="0" w:firstLine="0" w:left="0"/>
              <w:spacing w:before="40" w:lineRule="auto" w:line="240" w:after="40"/>
            </w:pPr>
            <w:r>
              <w:t xml:space="preserve">INTEGER</w:t>
            </w:r>
          </w:p>
        </w:tc>
        <w:tc>
          <w:tcPr/>
          <w:p>
            <w:pPr>
              <w:pStyle w:val="Compact"/>
              <w:jc w:val="left"/>
              <w:ind w:right="0" w:firstLine="0" w:left="0"/>
              <w:spacing w:before="40" w:lineRule="auto" w:line="240" w:after="40"/>
            </w:pPr>
            <w:r>
              <w:t xml:space="preserve">Whole number</w:t>
            </w:r>
          </w:p>
        </w:tc>
        <w:tc>
          <w:tcPr/>
          <w:p>
            <w:pPr>
              <w:pStyle w:val="Compact"/>
              <w:jc w:val="left"/>
              <w:ind w:right="0" w:firstLine="0" w:left="0"/>
              <w:spacing w:before="40" w:lineRule="auto" w:line="240" w:after="40"/>
            </w:pPr>
            <w:r>
              <w:t xml:space="preserve">Numeric value (supports min/max bounds)</w:t>
            </w:r>
          </w:p>
        </w:tc>
      </w:tr>
      <w:tr>
        <w:tc>
          <w:tcPr/>
          <w:p>
            <w:pPr>
              <w:pStyle w:val="Compact"/>
              <w:jc w:val="left"/>
              <w:ind w:right="0" w:firstLine="0" w:left="0"/>
              <w:spacing w:before="40" w:lineRule="auto" w:line="240" w:after="40"/>
            </w:pPr>
            <w:r>
              <w:t xml:space="preserve">REAL</w:t>
            </w:r>
          </w:p>
        </w:tc>
        <w:tc>
          <w:tcPr/>
          <w:p>
            <w:pPr>
              <w:pStyle w:val="Compact"/>
              <w:jc w:val="left"/>
              <w:ind w:right="0" w:firstLine="0" w:left="0"/>
              <w:spacing w:before="40" w:lineRule="auto" w:line="240" w:after="40"/>
            </w:pPr>
            <w:r>
              <w:t xml:space="preserve">Decimal number</w:t>
            </w:r>
          </w:p>
        </w:tc>
        <w:tc>
          <w:tcPr/>
          <w:p>
            <w:pPr>
              <w:pStyle w:val="Compact"/>
              <w:jc w:val="left"/>
              <w:ind w:right="0" w:firstLine="0" w:left="0"/>
              <w:spacing w:before="40" w:lineRule="auto" w:line="240" w:after="40"/>
            </w:pPr>
            <w:r>
              <w:t xml:space="preserve">Floating-point value (supports min/max bounds)</w:t>
            </w:r>
          </w:p>
        </w:tc>
      </w:tr>
      <w:tr>
        <w:tc>
          <w:tcPr/>
          <w:p>
            <w:pPr>
              <w:pStyle w:val="Compact"/>
              <w:jc w:val="left"/>
              <w:ind w:right="0" w:firstLine="0" w:left="0"/>
              <w:spacing w:before="40" w:lineRule="auto" w:line="240" w:after="40"/>
            </w:pPr>
            <w:r>
              <w:t xml:space="preserve">BOOLEAN</w:t>
            </w:r>
          </w:p>
        </w:tc>
        <w:tc>
          <w:tcPr/>
          <w:p>
            <w:pPr>
              <w:pStyle w:val="Compact"/>
              <w:jc w:val="left"/>
              <w:ind w:right="0" w:firstLine="0" w:left="0"/>
              <w:spacing w:before="40" w:lineRule="auto" w:line="240" w:after="40"/>
            </w:pPr>
            <w:r>
              <w:t xml:space="preserve">true / false</w:t>
            </w:r>
          </w:p>
        </w:tc>
        <w:tc>
          <w:tcPr/>
          <w:p>
            <w:pPr>
              <w:pStyle w:val="Compact"/>
              <w:jc w:val="left"/>
              <w:ind w:right="0" w:firstLine="0" w:left="0"/>
              <w:spacing w:before="40" w:lineRule="auto" w:line="240" w:after="40"/>
            </w:pPr>
            <w:r>
              <w:t xml:space="preserve">Boolean flag</w:t>
            </w:r>
          </w:p>
        </w:tc>
      </w:tr>
      <w:tr>
        <w:tc>
          <w:tcPr/>
          <w:p>
            <w:pPr>
              <w:pStyle w:val="Compact"/>
              <w:jc w:val="left"/>
              <w:ind w:right="0" w:firstLine="0" w:left="0"/>
              <w:spacing w:before="40" w:lineRule="auto" w:line="240" w:after="40"/>
            </w:pPr>
            <w:r>
              <w:t xml:space="preserve">DATE</w:t>
            </w:r>
          </w:p>
        </w:tc>
        <w:tc>
          <w:tcPr/>
          <w:p>
            <w:pPr>
              <w:pStyle w:val="Compact"/>
              <w:jc w:val="left"/>
              <w:ind w:right="0" w:firstLine="0" w:left="0"/>
              <w:spacing w:before="40" w:lineRule="auto" w:line="240" w:after="40"/>
            </w:pPr>
            <w:r>
              <w:t xml:space="preserve">YYYY-MM-DD</w:t>
            </w:r>
          </w:p>
        </w:tc>
        <w:tc>
          <w:tcPr/>
          <w:p>
            <w:pPr>
              <w:pStyle w:val="Compact"/>
              <w:jc w:val="left"/>
              <w:ind w:right="0" w:firstLine="0" w:left="0"/>
              <w:spacing w:before="40" w:lineRule="auto" w:line="240" w:after="40"/>
            </w:pPr>
            <w:r>
              <w:t xml:space="preserve">ISO 8601 date</w:t>
            </w:r>
          </w:p>
        </w:tc>
      </w:tr>
      <w:tr>
        <w:tc>
          <w:tcPr/>
          <w:p>
            <w:pPr>
              <w:pStyle w:val="Compact"/>
              <w:jc w:val="left"/>
              <w:ind w:right="0" w:firstLine="0" w:left="0"/>
              <w:spacing w:before="40" w:lineRule="auto" w:line="240" w:after="40"/>
            </w:pPr>
            <w:r>
              <w:t xml:space="preserve">ENUM</w:t>
            </w:r>
          </w:p>
        </w:tc>
        <w:tc>
          <w:tcPr/>
          <w:p>
            <w:pPr>
              <w:pStyle w:val="Compact"/>
              <w:jc w:val="left"/>
              <w:ind w:right="0" w:firstLine="0" w:left="0"/>
              <w:spacing w:before="40" w:lineRule="auto" w:line="240" w:after="40"/>
            </w:pPr>
            <w:r>
              <w:t xml:space="preserve">Named value</w:t>
            </w:r>
          </w:p>
        </w:tc>
        <w:tc>
          <w:tcPr/>
          <w:p>
            <w:pPr>
              <w:pStyle w:val="Compact"/>
              <w:jc w:val="left"/>
              <w:ind w:right="0" w:firstLine="0" w:left="0"/>
              <w:spacing w:before="40" w:lineRule="auto" w:line="240" w:after="40"/>
            </w:pPr>
            <w:r>
              <w:t xml:space="preserve">One of a model-declared set of values</w:t>
            </w:r>
          </w:p>
        </w:tc>
      </w:tr>
      <w:tr>
        <w:tc>
          <w:tcPr/>
          <w:p>
            <w:pPr>
              <w:pStyle w:val="Compact"/>
              <w:jc w:val="left"/>
              <w:ind w:right="0" w:firstLine="0" w:left="0"/>
              <w:spacing w:before="40" w:lineRule="auto" w:line="240" w:after="40"/>
            </w:pPr>
            <w:r>
              <w:t xml:space="preserve">XHTML</w:t>
            </w:r>
          </w:p>
        </w:tc>
        <w:tc>
          <w:tcPr/>
          <w:p>
            <w:pPr>
              <w:pStyle w:val="Compact"/>
              <w:jc w:val="left"/>
              <w:ind w:right="0" w:firstLine="0" w:left="0"/>
              <w:spacing w:before="40" w:lineRule="auto" w:line="240" w:after="40"/>
            </w:pPr>
            <w:r>
              <w:t xml:space="preserve">Markdown text</w:t>
            </w:r>
          </w:p>
        </w:tc>
        <w:tc>
          <w:tcPr/>
          <w:p>
            <w:pPr>
              <w:pStyle w:val="Compact"/>
              <w:jc w:val="left"/>
              <w:ind w:right="0" w:firstLine="0" w:left="0"/>
              <w:spacing w:before="40" w:lineRule="auto" w:line="240" w:after="40"/>
            </w:pPr>
            <w:r>
              <w:t xml:space="preserve">Rich text preserving block and inline formatting</w:t>
            </w:r>
          </w:p>
        </w:tc>
      </w:tr>
    </w:tbl>
    <w:bookmarkEnd w:id="87"/>
    <w:bookmarkStart w:id="88" w:name="SPEC-sec5.2"/>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8"/>
    <w:bookmarkStart w:id="89" w:name="SPEC-sec5.3"/>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5"/>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5"/>
        </w:numPr>
        <w:pStyle w:val="Compact"/>
      </w:pPr>
      <w:r>
        <w:rPr>
          <w:bCs/>
          <w:b/>
        </w:rPr>
        <w:t xml:space="preserve">type</w:t>
      </w:r>
      <w:r>
        <w:t xml:space="preserve"> </w:t>
      </w:r>
      <w:r>
        <w:t xml:space="preserve">— one of the seven primitive datatypes.</w:t>
      </w:r>
    </w:p>
    <w:p>
      <w:pPr>
        <w:numPr>
          <w:ilvl w:val="0"/>
          <w:numId w:val="1025"/>
        </w:numPr>
        <w:pStyle w:val="Compact"/>
      </w:pPr>
      <w:r>
        <w:rPr>
          <w:bCs/>
          <w:b/>
        </w:rPr>
        <w:t xml:space="preserve">min_occurs</w:t>
      </w:r>
      <w:r>
        <w:t xml:space="preserve"> </w:t>
      </w:r>
      <w:r>
        <w:t xml:space="preserve">— 0 for optional, 1+ for required.</w:t>
      </w:r>
    </w:p>
    <w:p>
      <w:pPr>
        <w:numPr>
          <w:ilvl w:val="0"/>
          <w:numId w:val="1025"/>
        </w:numPr>
        <w:pStyle w:val="Compact"/>
      </w:pPr>
      <w:r>
        <w:rPr>
          <w:bCs/>
          <w:b/>
        </w:rPr>
        <w:t xml:space="preserve">max_occurs</w:t>
      </w:r>
      <w:r>
        <w:t xml:space="preserve"> </w:t>
      </w:r>
      <w:r>
        <w:t xml:space="preserve">— 1 for single-value, &gt;1 for multi-value.</w:t>
      </w:r>
    </w:p>
    <w:p>
      <w:pPr>
        <w:numPr>
          <w:ilvl w:val="0"/>
          <w:numId w:val="1025"/>
        </w:numPr>
        <w:pStyle w:val="Compact"/>
      </w:pPr>
      <w:r>
        <w:rPr>
          <w:bCs/>
          <w:b/>
        </w:rPr>
        <w:t xml:space="preserve">min_value / max_value</w:t>
      </w:r>
      <w:r>
        <w:t xml:space="preserve"> </w:t>
      </w:r>
      <w:r>
        <w:t xml:space="preserve">— bounds for INTEGER and REAL attributes.</w:t>
      </w:r>
    </w:p>
    <w:bookmarkEnd w:id="89"/>
    <w:bookmarkEnd w:id="90"/>
    <w:bookmarkStart w:id="91" w:name="SPEC-sec6"/>
    <w:p>
      <w:pPr>
        <w:pStyle w:val="Heading1"/>
        <w:numPr>
          <w:ilvl w:val="0"/>
          <w:numId w:val="100"/>
        </w:numPr>
      </w:pPr>
      <w:r>
        <w:t xml:space="preserve">Summary</w:t>
      </w:r>
    </w:p>
    <w:p>
      <w:pPr>
        <w:pStyle w:val="FirstParagraph"/>
      </w:pPr>
      <w:r>
        <w:t xml:space="preserve">CommonSpec is a six-construct extension of Markdown:</w:t>
      </w:r>
    </w:p>
    <w:p>
      <w:pPr>
        <w:numPr>
          <w:ilvl w:val="0"/>
          <w:numId w:val="1026"/>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6"/>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6"/>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6"/>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6"/>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6"/>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1"/>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w="5000" w:type="pct"/>
      <w:tblBorders>
        <w:top w:sz="4" w:space="1" w:color="CCCCCC" w:val="single"/>
        <w:bottom w:sz="0" w:space="0" w:color="auto" w:val="none"/>
        <w:left w:sz="0" w:space="0" w:color="auto" w:val="none"/>
        <w:right w:sz="0" w:space="0" w:color="auto" w:val="none"/>
        <w:insideH w:sz="0" w:space="0" w:color="auto" w:val="none"/>
        <w:insideV w:sz="0" w:space="0" w:color="auto" w:val="none"/>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before="280" w:lineRule="auto" w:line="276" w:after="12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2" Target="media/rId72.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Id="rId9100" Target="header1.xml" Type="http://schemas.openxmlformats.org/officeDocument/2006/relationships/header"/><Relationship Id="rId9101" Target="header2.xml" Type="http://schemas.openxmlformats.org/officeDocument/2006/relationships/header"/><Relationship Id="rId9200" Target="footer1.xml" Type="http://schemas.openxmlformats.org/officeDocument/2006/relationships/footer"/></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2026-10-22T01:11:18Z</dcterms:created>
  <dcterms:modified xsi:type="dcterms:W3CDTF">2026-10-22T01:11:18Z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