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id="50443" w:name="SpecIR-01"/>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id="50444" w:name="SpecIR-02"/>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id="50445" w:name="SpecIR-03"/>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id="50446" w:name="SpecIR-04"/>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id="50447" w:name="SpecIR-05"/>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Where links are found:</w:t>
      </w:r>
      <w:r>
        <w:t xml:space="preserve"> </w:t>
      </w:r>
      <w:r>
        <w:t xml:space="preserve">In body text and attribute values, in the cells of TABLE floats, and in the raw source of floats whose type declares a</w:t>
      </w:r>
      <w:r>
        <w:t xml:space="preserve"> </w:t>
      </w:r>
      <w:r>
        <w:rPr>
          <w:rStyle w:val="VerbatimChar"/>
        </w:rPr>
        <w:t xml:space="preserve">format_link</w:t>
      </w:r>
      <w:r>
        <w:t xml:space="preserve"> </w:t>
      </w:r>
      <w:r>
        <w:t xml:space="preserve">hook (default model: PLANTUML diagrams). A link inside a float belongs to the float’s parent object; a diagram link has no source attribute (</w:t>
      </w:r>
      <m:oMath>
        <m:r>
          <m:t>α</m:t>
        </m:r>
        <m:r>
          <m:rPr>
            <m:sty m:val="p"/>
          </m:rPr>
          <m:t>=</m:t>
        </m:r>
        <m:r>
          <m:rPr>
            <m:sty m:val="p"/>
          </m:rPr>
          <m:t>⊥</m:t>
        </m:r>
      </m:oMath>
      <w:r>
        <w:t xml:space="preserve">) and is resolved and diagnosed exactly like a body link.</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id="50448" w:name="SpecIR-06"/>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id="54264" w:name="SF-001"/>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id="89458" w:name="HLR-PIPE-001"/>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id="89459" w:name="HLR-PIPE-002"/>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id="89460" w:name="HLR-PIPE-003"/>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id="89461" w:name="HLR-PIPE-004"/>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id="89462" w:name="HLR-PIPE-005"/>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id="89463" w:name="HLR-PIPE-006"/>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id="89464" w:name="HLR-PIPE-007"/>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id="89465" w:name="HLR-PIPE-008"/>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id="89466" w:name="HLR-PIPE-009"/>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id="89488" w:name="HLR-PIPE-010"/>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id="89489" w:name="HLR-PIPE-011"/>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id="89490" w:name="HLR-PIPE-012"/>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id="54265" w:name="SF-002"/>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id="48904" w:name="HLR-STOR-001"/>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id="48905" w:name="HLR-STOR-002"/>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id="48906" w:name="HLR-STOR-003"/>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48907" w:name="HLR-STOR-004"/>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id="48909" w:name="HLR-STOR-006"/>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id="48908" w:name="HLR-STOR-005"/>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id="54266" w:name="SF-003"/>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id="4798" w:name="HLR-TYPE-001"/>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id="4799" w:name="HLR-TYPE-002"/>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id="4800" w:name="HLR-TYPE-003"/>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id="4801" w:name="HLR-TYPE-004"/>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id="4802" w:name="HLR-TYPE-005"/>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4803" w:name="HLR-TYPE-006"/>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id="4804" w:name="HLR-TYPE-007"/>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id="54268" w:name="SF-005"/>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id="17127" w:name="HLR-EXT-001"/>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id="17128" w:name="HLR-EXT-002"/>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id="17129" w:name="HLR-EXT-003"/>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id="17130" w:name="HLR-EXT-004"/>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id="17131" w:name="HLR-EXT-005"/>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id="17132" w:name="HLR-EXT-006"/>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w:t>
      </w:r>
    </w:p>
    <w:p>
      <w:pPr>
        <w:pStyle w:val="Definition"/>
      </w:pPr>
      <w:r>
        <w:t xml:space="preserve"> </w:t>
      </w:r>
    </w:p>
    <w:p>
      <w:pPr>
        <w:pStyle w:val="Definition"/>
      </w:pPr>
      <w:r>
        <w:t xml:space="preserve">descriptor</w:t>
      </w:r>
    </w:p>
    <w:p>
      <w:pPr>
        <w:pStyle w:val="Definition"/>
      </w:pPr>
      <w:r>
        <w:t xml:space="preserve"> </w:t>
      </w:r>
    </w:p>
    <w:p>
      <w:pPr>
        <w:pStyle w:val="Definition"/>
      </w:pPr>
      <w:r>
        <w:t xml:space="preserve">shall</w:t>
      </w:r>
    </w:p>
    <w:p>
      <w:pPr>
        <w:pStyle w:val="Definition"/>
      </w:pPr>
      <w:r>
        <w:t xml:space="preserve"> </w:t>
      </w:r>
    </w:p>
    <w:p>
      <w:pPr>
        <w:pStyle w:val="Definition"/>
      </w:pPr>
      <w:r>
        <w:t xml:space="preserve">set</w:t>
      </w:r>
    </w:p>
    <w:p>
      <w:pPr>
        <w:pStyle w:val="Definition"/>
      </w:pPr>
      <w:r>
        <w:t xml:space="preserve"> </w:t>
      </w:r>
    </w:p>
    <w:p>
      <w:pPr>
        <w:pStyle w:val="Definition"/>
      </w:pPr>
      <w:r>
        <w:rPr>
          <w:rStyle w:val="VerbatimChar"/>
        </w:rPr>
        <w:t xml:space="preserve">schema.needs_external_render = true</w:t>
      </w:r>
    </w:p>
    <w:p>
      <w:pPr>
        <w:pStyle w:val="Definition"/>
      </w:pPr>
      <w:r>
        <w:t xml:space="preserve">.</w:t>
      </w:r>
    </w:p>
    <w:p>
      <w:pPr>
        <w:pStyle w:val="Definition"/>
      </w:pPr>
      <w:r>
        <w:t xml:space="preserve"> </w:t>
      </w:r>
    </w:p>
    <w:p>
      <w:pPr>
        <w:pStyle w:val="Definition"/>
      </w:pPr>
      <w:r>
        <w:t xml:space="preserve">Its</w:t>
      </w:r>
    </w:p>
    <w:p>
      <w:pPr>
        <w:pStyle w:val="Definition"/>
      </w:pPr>
      <w:r>
        <w:t xml:space="preserve"> </w:t>
      </w:r>
    </w:p>
    <w:p>
      <w:pPr>
        <w:pStyle w:val="Definition"/>
      </w:pPr>
      <w:r>
        <w:rPr>
          <w:rStyle w:val="VerbatimChar"/>
        </w:rPr>
        <w:t xml:space="preserve">hooks</w:t>
      </w:r>
    </w:p>
    <w:p>
      <w:pPr>
        <w:pStyle w:val="Definition"/>
      </w:pPr>
      <w:r>
        <w:t xml:space="preserve"> </w:t>
      </w:r>
    </w:p>
    <w:p>
      <w:pPr>
        <w:pStyle w:val="Definition"/>
      </w:pPr>
      <w:r>
        <w:t xml:space="preserve">table</w:t>
      </w:r>
    </w:p>
    <w:p>
      <w:pPr>
        <w:pStyle w:val="Definition"/>
      </w:pPr>
      <w:r>
        <w:t xml:space="preserve"> </w:t>
      </w:r>
    </w:p>
    <w:p>
      <w:pPr>
        <w:pStyle w:val="Definition"/>
      </w:pPr>
      <w:r>
        <w:t xml:space="preserve">shall</w:t>
      </w:r>
    </w:p>
    <w:p>
      <w:pPr>
        <w:pStyle w:val="Definition"/>
      </w:pPr>
      <w:r>
        <w:t xml:space="preserve"> </w:t>
      </w:r>
    </w:p>
    <w:p>
      <w:pPr>
        <w:pStyle w:val="Definition"/>
      </w:pPr>
      <w:r>
        <w:t xml:space="preserve">provide</w:t>
      </w:r>
    </w:p>
    <w:p>
      <w:pPr>
        <w:pStyle w:val="Definition"/>
      </w:pPr>
      <w:r>
        <w:t xml:space="preserve"> </w:t>
      </w:r>
    </w:p>
    <w:p>
      <w:pPr>
        <w:pStyle w:val="Definition"/>
      </w:pPr>
      <w:r>
        <w:rPr>
          <w:rStyle w:val="VerbatimChar"/>
        </w:rPr>
        <w:t xml:space="preserve">prepare_task</w:t>
      </w:r>
    </w:p>
    <w:p>
      <w:pPr>
        <w:pStyle w:val="Definition"/>
      </w:pPr>
      <w:r>
        <w:t xml:space="preserve"> </w:t>
      </w:r>
    </w:p>
    <w:p>
      <w:pPr>
        <w:pStyle w:val="Definition"/>
      </w:pPr>
      <w:r>
        <w:t xml:space="preserve">and</w:t>
      </w:r>
    </w:p>
    <w:p>
      <w:pPr>
        <w:pStyle w:val="Definition"/>
      </w:pPr>
      <w:r>
        <w:t xml:space="preserve"> </w:t>
      </w:r>
    </w:p>
    <w:p>
      <w:pPr>
        <w:pStyle w:val="Definition"/>
      </w:pPr>
      <w:r>
        <w:rPr>
          <w:rStyle w:val="VerbatimChar"/>
        </w:rPr>
        <w:t xml:space="preserve">handle_result</w:t>
      </w:r>
    </w:p>
    <w:p>
      <w:pPr>
        <w:pStyle w:val="Definition"/>
      </w:pPr>
      <w:r>
        <w:t xml:space="preserve">.</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r>
        <w:t xml:space="preserve">shall</w:t>
      </w:r>
    </w:p>
    <w:p>
      <w:pPr>
        <w:pStyle w:val="Definition"/>
      </w:pPr>
      <w:r>
        <w:t xml:space="preserve"> </w:t>
      </w:r>
    </w:p>
    <w:p>
      <w:pPr>
        <w:pStyle w:val="Definition"/>
      </w:pPr>
      <w:r>
        <w:t xml:space="preserve">prepare</w:t>
      </w:r>
    </w:p>
    <w:p>
      <w:pPr>
        <w:pStyle w:val="Definition"/>
      </w:pPr>
      <w:r>
        <w:t xml:space="preserve"> </w:t>
      </w:r>
    </w:p>
    <w:p>
      <w:pPr>
        <w:pStyle w:val="Definition"/>
      </w:pPr>
      <w:r>
        <w:t xml:space="preserve">tasks,</w:t>
      </w:r>
    </w:p>
    <w:p>
      <w:pPr>
        <w:pStyle w:val="Definition"/>
      </w:pPr>
      <w:r>
        <w:t xml:space="preserve"> </w:t>
      </w:r>
    </w:p>
    <w:p>
      <w:pPr>
        <w:pStyle w:val="Definition"/>
      </w:pPr>
      <w:r>
        <w:t xml:space="preserve">apply</w:t>
      </w:r>
    </w:p>
    <w:p>
      <w:pPr>
        <w:pStyle w:val="Definition"/>
      </w:pPr>
      <w:r>
        <w:t xml:space="preserve"> </w:t>
      </w:r>
    </w:p>
    <w:p>
      <w:pPr>
        <w:pStyle w:val="Definition"/>
      </w:pPr>
      <w:r>
        <w:t xml:space="preserve">the</w:t>
      </w:r>
    </w:p>
    <w:p>
      <w:pPr>
        <w:pStyle w:val="Definition"/>
      </w:pPr>
      <w:r>
        <w:t xml:space="preserve"> </w:t>
      </w:r>
    </w:p>
    <w:p>
      <w:pPr>
        <w:pStyle w:val="Definition"/>
      </w:pPr>
      <w:r>
        <w:t xml:space="preserve">render</w:t>
      </w:r>
    </w:p>
    <w:p>
      <w:pPr>
        <w:pStyle w:val="Definition"/>
      </w:pPr>
      <w:r>
        <w:t xml:space="preserve"> </w:t>
      </w:r>
    </w:p>
    <w:p>
      <w:pPr>
        <w:pStyle w:val="Definition"/>
      </w:pPr>
      <w:r>
        <w:t xml:space="preserve">cache,</w:t>
      </w:r>
    </w:p>
    <w:p>
      <w:pPr>
        <w:pStyle w:val="Definition"/>
      </w:pPr>
      <w:r>
        <w:t xml:space="preserve"> </w:t>
      </w:r>
    </w:p>
    <w:p>
      <w:pPr>
        <w:pStyle w:val="Definition"/>
      </w:pPr>
      <w:r>
        <w:t xml:space="preserve">run</w:t>
      </w:r>
    </w:p>
    <w:p>
      <w:pPr>
        <w:pStyle w:val="Definition"/>
      </w:pPr>
      <w:r>
        <w:t xml:space="preserve"> </w:t>
      </w:r>
    </w:p>
    <w:p>
      <w:pPr>
        <w:pStyle w:val="Definition"/>
      </w:pPr>
      <w:r>
        <w:t xml:space="preserve">tasks,</w:t>
      </w:r>
    </w:p>
    <w:p>
      <w:pPr>
        <w:pStyle w:val="Definition"/>
      </w:pPr>
      <w:r>
        <w:t xml:space="preserve"> </w:t>
      </w:r>
    </w:p>
    <w:p>
      <w:pPr>
        <w:pStyle w:val="Definition"/>
      </w:pPr>
      <w:r>
        <w:t xml:space="preserve">and</w:t>
      </w:r>
    </w:p>
    <w:p>
      <w:pPr>
        <w:pStyle w:val="Definition"/>
      </w:pPr>
      <w:r>
        <w:t xml:space="preserve"> </w:t>
      </w:r>
    </w:p>
    <w:p>
      <w:pPr>
        <w:pStyle w:val="Definition"/>
      </w:pPr>
      <w:r>
        <w:t xml:space="preserve">dispatch</w:t>
      </w:r>
    </w:p>
    <w:p>
      <w:pPr>
        <w:pStyle w:val="Definition"/>
      </w:pPr>
      <w:r>
        <w:t xml:space="preserve"> </w:t>
      </w:r>
    </w:p>
    <w:p>
      <w:pPr>
        <w:pStyle w:val="Definition"/>
      </w:pPr>
      <w:r>
        <w:t xml:space="preserve">results.</w:t>
      </w:r>
    </w:p>
    <w:p>
      <w:pPr>
        <w:pStyle w:val="Definition"/>
      </w:pPr>
      <w:r>
        <w:t xml:space="preserve"> </w:t>
      </w:r>
    </w:p>
    <w:p>
      <w:pPr>
        <w:pStyle w:val="Definition"/>
      </w:pPr>
      <w:r>
        <w:t xml:space="preserve">A</w:t>
      </w:r>
    </w:p>
    <w:p>
      <w:pPr>
        <w:pStyle w:val="Definition"/>
      </w:pPr>
      <w:r>
        <w:t xml:space="preserve"> </w:t>
      </w:r>
    </w:p>
    <w:p>
      <w:pPr>
        <w:pStyle w:val="Definition"/>
      </w:pPr>
      <w:r>
        <w:t xml:space="preserve">float</w:t>
      </w:r>
    </w:p>
    <w:p>
      <w:pPr>
        <w:pStyle w:val="Definition"/>
      </w:pPr>
      <w:r>
        <w:t xml:space="preserve"> </w:t>
      </w:r>
    </w:p>
    <w:p>
      <w:pPr>
        <w:pStyle w:val="Definition"/>
      </w:pPr>
      <w:r>
        <w:t xml:space="preserve">shall</w:t>
      </w:r>
    </w:p>
    <w:p>
      <w:pPr>
        <w:pStyle w:val="Definition"/>
      </w:pPr>
      <w:r>
        <w:t xml:space="preserve"> </w:t>
      </w:r>
    </w:p>
    <w:p>
      <w:pPr>
        <w:pStyle w:val="Definition"/>
      </w:pPr>
      <w:r>
        <w:t xml:space="preserve">not</w:t>
      </w:r>
    </w:p>
    <w:p>
      <w:pPr>
        <w:pStyle w:val="Definition"/>
      </w:pPr>
      <w:r>
        <w:t xml:space="preserve"> </w:t>
      </w:r>
    </w:p>
    <w:p>
      <w:pPr>
        <w:pStyle w:val="Definition"/>
      </w:pPr>
      <w:r>
        <w:t xml:space="preserve">declare</w:t>
      </w:r>
    </w:p>
    <w:p>
      <w:pPr>
        <w:pStyle w:val="Definition"/>
      </w:pPr>
      <w:r>
        <w:t xml:space="preserve"> </w:t>
      </w:r>
    </w:p>
    <w:p>
      <w:pPr>
        <w:pStyle w:val="Definition"/>
      </w:pPr>
      <w:r>
        <w:t xml:space="preserve">both</w:t>
      </w:r>
    </w:p>
    <w:p>
      <w:pPr>
        <w:pStyle w:val="Definition"/>
      </w:pPr>
      <w:r>
        <w:t xml:space="preserve"> </w:t>
      </w:r>
    </w:p>
    <w:p>
      <w:pPr>
        <w:pStyle w:val="Definition"/>
      </w:pPr>
      <w:r>
        <w:rPr>
          <w:rStyle w:val="VerbatimChar"/>
        </w:rPr>
        <w:t xml:space="preserve">render</w:t>
      </w:r>
    </w:p>
    <w:p>
      <w:pPr>
        <w:pStyle w:val="Definition"/>
      </w:pPr>
      <w:r>
        <w:t xml:space="preserve"> </w:t>
      </w:r>
    </w:p>
    <w:p>
      <w:pPr>
        <w:pStyle w:val="Definition"/>
      </w:pPr>
      <w:r>
        <w:t xml:space="preserve">and</w:t>
      </w:r>
    </w:p>
    <w:p>
      <w:pPr>
        <w:pStyle w:val="Definition"/>
      </w:pPr>
      <w:r>
        <w:t xml:space="preserve"> </w:t>
      </w:r>
    </w:p>
    <w:p>
      <w:pPr>
        <w:pStyle w:val="Definition"/>
      </w:pPr>
      <w:r>
        <w:t xml:space="preserve">external-render</w:t>
      </w:r>
    </w:p>
    <w:p>
      <w:pPr>
        <w:pStyle w:val="Definition"/>
      </w:pPr>
      <w:r>
        <w:t xml:space="preserve"> </w:t>
      </w:r>
    </w:p>
    <w:p>
      <w:pPr>
        <w:pStyle w:val="Definition"/>
      </w:pPr>
      <w:r>
        <w:t xml:space="preserve">hooks.</w:t>
      </w:r>
    </w:p>
    <w:p>
      <w:pPr>
        <w:pStyle w:val="Definition"/>
      </w:pPr>
      <w:r>
        <w:t xml:space="preserve"> </w:t>
      </w:r>
    </w:p>
    <w:p>
      <w:pPr>
        <w:pStyle w:val="Definition"/>
      </w:pPr>
      <w:r>
        <w:t xml:space="preserve">A</w:t>
      </w:r>
    </w:p>
    <w:p>
      <w:pPr>
        <w:pStyle w:val="Definition"/>
      </w:pPr>
      <w:r>
        <w:t xml:space="preserve"> </w:t>
      </w:r>
    </w:p>
    <w:p>
      <w:pPr>
        <w:pStyle w:val="Definition"/>
      </w:pPr>
      <w:r>
        <w:t xml:space="preserve">float</w:t>
      </w:r>
    </w:p>
    <w:p>
      <w:pPr>
        <w:pStyle w:val="Definition"/>
      </w:pPr>
      <w:r>
        <w:t xml:space="preserve"> </w:t>
      </w:r>
    </w:p>
    <w:p>
      <w:pPr>
        <w:pStyle w:val="Definition"/>
      </w:pPr>
      <w:r>
        <w:t xml:space="preserve">whose</w:t>
      </w:r>
    </w:p>
    <w:p>
      <w:pPr>
        <w:pStyle w:val="Definition"/>
      </w:pPr>
      <w:r>
        <w:t xml:space="preserve"> </w:t>
      </w:r>
    </w:p>
    <w:p>
      <w:pPr>
        <w:pStyle w:val="Definition"/>
      </w:pPr>
      <w:r>
        <w:t xml:space="preserve">source</w:t>
      </w:r>
    </w:p>
    <w:p>
      <w:pPr>
        <w:pStyle w:val="Definition"/>
      </w:pPr>
      <w:r>
        <w:t xml:space="preserve"> </w:t>
      </w:r>
    </w:p>
    <w:p>
      <w:pPr>
        <w:pStyle w:val="Definition"/>
      </w:pPr>
      <w:r>
        <w:t xml:space="preserve">carries</w:t>
      </w:r>
    </w:p>
    <w:p>
      <w:pPr>
        <w:pStyle w:val="Definition"/>
      </w:pPr>
      <w:r>
        <w:t xml:space="preserve"> </w:t>
      </w:r>
    </w:p>
    <w:p>
      <w:pPr>
        <w:pStyle w:val="Definition"/>
      </w:pPr>
      <w:r>
        <w:t xml:space="preserve">CommonSpec</w:t>
      </w:r>
    </w:p>
    <w:p>
      <w:pPr>
        <w:pStyle w:val="Definition"/>
      </w:pPr>
      <w:r>
        <w:t xml:space="preserve"> </w:t>
      </w:r>
    </w:p>
    <w:p>
      <w:pPr>
        <w:pStyle w:val="Definition"/>
      </w:pPr>
      <w:r>
        <w:t xml:space="preserve">links</w:t>
      </w:r>
    </w:p>
    <w:p>
      <w:pPr>
        <w:pStyle w:val="Definition"/>
      </w:pPr>
      <w:r>
        <w:t xml:space="preserve"> </w:t>
      </w:r>
    </w:p>
    <w:p>
      <w:pPr>
        <w:pStyle w:val="Definition"/>
      </w:pPr>
      <w:r>
        <w:t xml:space="preserve">may</w:t>
      </w:r>
    </w:p>
    <w:p>
      <w:pPr>
        <w:pStyle w:val="Definition"/>
      </w:pPr>
      <w:r>
        <w:t xml:space="preserve"> </w:t>
      </w:r>
    </w:p>
    <w:p>
      <w:pPr>
        <w:pStyle w:val="Definition"/>
      </w:pPr>
      <w:r>
        <w:t xml:space="preserve">also</w:t>
      </w:r>
    </w:p>
    <w:p>
      <w:pPr>
        <w:pStyle w:val="Definition"/>
      </w:pPr>
      <w:r>
        <w:t xml:space="preserve"> </w:t>
      </w:r>
    </w:p>
    <w:p>
      <w:pPr>
        <w:pStyle w:val="Definition"/>
      </w:pPr>
      <w:r>
        <w:t xml:space="preserve">declare</w:t>
      </w:r>
    </w:p>
    <w:p>
      <w:pPr>
        <w:pStyle w:val="Definition"/>
      </w:pPr>
      <w:r>
        <w:t xml:space="preserve"> </w:t>
      </w:r>
    </w:p>
    <w:p>
      <w:pPr>
        <w:pStyle w:val="Definition"/>
      </w:pPr>
      <w:r>
        <w:rPr>
          <w:rStyle w:val="VerbatimChar"/>
        </w:rPr>
        <w:t xml:space="preserve">format_link</w:t>
      </w:r>
    </w:p>
    <w:p>
      <w:pPr>
        <w:pStyle w:val="Definition"/>
      </w:pPr>
      <w:r>
        <w:t xml:space="preserve">,</w:t>
      </w:r>
    </w:p>
    <w:p>
      <w:pPr>
        <w:pStyle w:val="Definition"/>
      </w:pPr>
      <w:r>
        <w:t xml:space="preserve"> </w:t>
      </w:r>
    </w:p>
    <w:p>
      <w:pPr>
        <w:pStyle w:val="Definition"/>
      </w:pPr>
      <w:r>
        <w:t xml:space="preserve">which</w:t>
      </w:r>
    </w:p>
    <w:p>
      <w:pPr>
        <w:pStyle w:val="Definition"/>
      </w:pPr>
      <w:r>
        <w:t xml:space="preserve"> </w:t>
      </w:r>
    </w:p>
    <w:p>
      <w:pPr>
        <w:pStyle w:val="Definition"/>
      </w:pPr>
      <w:r>
        <w:t xml:space="preserve">returns</w:t>
      </w:r>
    </w:p>
    <w:p>
      <w:pPr>
        <w:pStyle w:val="Definition"/>
      </w:pPr>
      <w:r>
        <w:t xml:space="preserve"> </w:t>
      </w:r>
    </w:p>
    <w:p>
      <w:pPr>
        <w:pStyle w:val="Definition"/>
      </w:pPr>
      <w:r>
        <w:t xml:space="preserve">a</w:t>
      </w:r>
    </w:p>
    <w:p>
      <w:pPr>
        <w:pStyle w:val="Definition"/>
      </w:pPr>
      <w:r>
        <w:t xml:space="preserve"> </w:t>
      </w:r>
    </w:p>
    <w:p>
      <w:pPr>
        <w:pStyle w:val="Definition"/>
      </w:pPr>
      <w:r>
        <w:t xml:space="preserve">resolved</w:t>
      </w:r>
    </w:p>
    <w:p>
      <w:pPr>
        <w:pStyle w:val="Definition"/>
      </w:pPr>
      <w:r>
        <w:t xml:space="preserve"> </w:t>
      </w:r>
    </w:p>
    <w:p>
      <w:pPr>
        <w:pStyle w:val="Definition"/>
      </w:pPr>
      <w:r>
        <w:t xml:space="preserve">link</w:t>
      </w:r>
    </w:p>
    <w:p>
      <w:pPr>
        <w:pStyle w:val="Definition"/>
      </w:pPr>
      <w:r>
        <w:t xml:space="preserve"> </w:t>
      </w:r>
    </w:p>
    <w:p>
      <w:pPr>
        <w:pStyle w:val="Definition"/>
      </w:pPr>
      <w:r>
        <w:t xml:space="preserve">in</w:t>
      </w:r>
    </w:p>
    <w:p>
      <w:pPr>
        <w:pStyle w:val="Definition"/>
      </w:pPr>
      <w:r>
        <w:t xml:space="preserve"> </w:t>
      </w:r>
    </w:p>
    <w:p>
      <w:pPr>
        <w:pStyle w:val="Definition"/>
      </w:pPr>
      <w:r>
        <w:t xml:space="preserve">the</w:t>
      </w:r>
    </w:p>
    <w:p>
      <w:pPr>
        <w:pStyle w:val="Definition"/>
      </w:pPr>
      <w:r>
        <w:t xml:space="preserve"> </w:t>
      </w:r>
    </w:p>
    <w:p>
      <w:pPr>
        <w:pStyle w:val="Definition"/>
      </w:pPr>
      <w:r>
        <w:t xml:space="preserve">source’s</w:t>
      </w:r>
    </w:p>
    <w:p>
      <w:pPr>
        <w:pStyle w:val="Definition"/>
      </w:pPr>
      <w:r>
        <w:t xml:space="preserve"> </w:t>
      </w:r>
    </w:p>
    <w:p>
      <w:pPr>
        <w:pStyle w:val="Definition"/>
      </w:pPr>
      <w:r>
        <w:t xml:space="preserve">native</w:t>
      </w:r>
    </w:p>
    <w:p>
      <w:pPr>
        <w:pStyle w:val="Definition"/>
      </w:pPr>
      <w:r>
        <w:t xml:space="preserve"> </w:t>
      </w:r>
    </w:p>
    <w:p>
      <w:pPr>
        <w:pStyle w:val="Definition"/>
      </w:pPr>
      <w:r>
        <w:t xml:space="preserve">syntax</w:t>
      </w:r>
    </w:p>
    <w:p>
      <w:pPr>
        <w:pStyle w:val="Definition"/>
      </w:pPr>
      <w:r>
        <w:t xml:space="preserve"> </w:t>
      </w:r>
    </w:p>
    <w:p>
      <w:pPr>
        <w:pStyle w:val="Definition"/>
      </w:pPr>
      <w:r>
        <w:t xml:space="preserve">(see</w:t>
      </w:r>
    </w:p>
    <w:p>
      <w:pPr>
        <w:pStyle w:val="Definition"/>
      </w:pPr>
      <w:r>
        <w:t xml:space="preserve"> </w:t>
      </w:r>
    </w:p>
    <w:p>
      <w:pPr>
        <w:pStyle w:val="Definition"/>
      </w:pPr>
      <w:hyperlink w:anchor="HLR-OUT-008">
        <w:r>
          <w:rPr>
            <w:rStyle w:val="Hyperlink"/>
          </w:rPr>
          <w:t xml:space="preserve">Diagram Hyperlinks</w:t>
        </w:r>
      </w:hyperlink>
    </w:p>
    <w:p>
      <w:pPr>
        <w:pStyle w:val="Definition"/>
      </w:pPr>
      <w:r>
        <w:t xml:space="preserve">).</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id="17133" w:name="HLR-EXT-007"/>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id="17134" w:name="HLR-EXT-008"/>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id="17135" w:name="HLR-EXT-009"/>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id="17157" w:name="HLR-EXT-010"/>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id="17158" w:name="HLR-EXT-011"/>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id="17159" w:name="HLR-EXT-012"/>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id="79274" w:name="HLR-CFG-001"/>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id="54267" w:name="SF-004"/>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id="66484" w:name="HLR-OUT-001"/>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id="66485" w:name="HLR-OUT-002"/>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and PNG renditions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id="66486" w:name="HLR-OUT-003"/>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id="66487" w:name="HLR-OUT-004"/>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id="66488" w:name="HLR-OUT-005"/>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66489" w:name="HLR-OUT-006"/>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66490" w:name="HLR-OUT-007"/>
      <w:r>
        <w:t xml:space="preserve">HLR-OUT-007: Full-Text Search Indexing</w:t>
      </w:r>
      <w:bookmarkEnd w:id="66490"/>
    </w:p>
    <w:p>
      <w:pPr>
        <w:pStyle w:val="SpecObjectBody"/>
      </w:pPr>
      <w:r>
        <w:t xml:space="preserve">The system shall populate</w:t>
      </w:r>
      <w:r>
        <w:t xml:space="preserve"> </w:t>
      </w:r>
      <w:hyperlink w:anchor="TERM-FTS">
        <w:r>
          <w:rPr>
            <w:rStyle w:val="Hyperlink"/>
          </w:rPr>
          <w:t xml:space="preserve">&lt;Full-Text Search&gt;</w:t>
        </w:r>
      </w:hyperlink>
      <w:r>
        <w:t xml:space="preserve"> </w:t>
      </w:r>
      <w:r>
        <w:t xml:space="preserve">virtual tables during the</w:t>
      </w:r>
      <w:r>
        <w:t xml:space="preserve"> </w:t>
      </w:r>
      <w:hyperlink w:anchor="TERM-23">
        <w:r>
          <w:rPr>
            <w:rStyle w:val="Hyperlink"/>
          </w:rPr>
          <w:t xml:space="preserve">&lt;EMIT Phase&gt;</w:t>
        </w:r>
      </w:hyperlink>
      <w:r>
        <w:t xml:space="preserve"> </w:t>
      </w:r>
      <w:r>
        <w:t xml:space="preserve">phase to enable full-text search across specification content.</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p>
      <w:pPr>
        <w:pStyle w:val="SpecObjectHeader"/>
        <w:keepNext/>
        <w:outlineLvl w:val="0"/>
      </w:pPr>
      <w:bookmarkStart w:id="66491" w:name="HLR-OUT-008"/>
      <w:r>
        <w:t xml:space="preserve">HLR-OUT-008: Diagram Hyperlinks</w:t>
      </w:r>
      <w:bookmarkEnd w:id="66491"/>
    </w:p>
    <w:p>
      <w:pPr>
        <w:pStyle w:val="SpecObjectBody"/>
      </w:pPr>
      <w:r>
        <w:t xml:space="preserve">The system shall resolve CommonSpec links written inside the source of a diagram</w:t>
      </w:r>
      <w:r>
        <w:t xml:space="preserve"> </w:t>
      </w:r>
      <w:hyperlink w:anchor="float">
        <w:r>
          <w:rPr>
            <w:rStyle w:val="Hyperlink"/>
          </w:rPr>
          <w:t xml:space="preserve">dic:float</w:t>
        </w:r>
      </w:hyperlink>
      <w:r>
        <w:t xml:space="preserve"> </w:t>
      </w:r>
      <w:r>
        <w:t xml:space="preserve">exactly like links in body text, and shall render them as working hyperlinks in HTML5 output.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A float type opts in by declaring a</w:t>
      </w:r>
      <w:r>
        <w:t xml:space="preserve"> </w:t>
      </w:r>
      <w:r>
        <w:rPr>
          <w:rStyle w:val="VerbatimChar"/>
        </w:rPr>
        <w:t xml:space="preserve">format_link</w:t>
      </w:r>
      <w:r>
        <w:t xml:space="preserve"> </w:t>
      </w:r>
      <w:r>
        <w:t xml:space="preserve">hook (default model: PLANTUML). For such floats:</w:t>
      </w:r>
    </w:p>
    <w:p>
      <w:pPr>
        <w:numPr>
          <w:ilvl w:val="0"/>
          <w:numId w:val="1024"/>
        </w:numPr>
        <w:pStyle w:val="Compact"/>
      </w:pPr>
      <w:r>
        <w:rPr>
          <w:bCs/>
          <w:b/>
        </w:rPr>
        <w:t xml:space="preserve">Registration</w:t>
      </w:r>
      <w:r>
        <w:t xml:space="preserve">: During the</w:t>
      </w:r>
      <w:r>
        <w:t xml:space="preserve"> </w:t>
      </w:r>
      <w:hyperlink w:anchor="TERM-19">
        <w:r>
          <w:rPr>
            <w:rStyle w:val="Hyperlink"/>
          </w:rPr>
          <w:t xml:space="preserve">&lt;INITIALIZE Phase&gt;</w:t>
        </w:r>
      </w:hyperlink>
      <w:r>
        <w:t xml:space="preserve"> </w:t>
      </w:r>
      <w:r>
        <w:t xml:space="preserve">phase,</w:t>
      </w:r>
      <w:r>
        <w:t xml:space="preserve"> </w:t>
      </w:r>
      <w:r>
        <w:rPr>
          <w:rStyle w:val="VerbatimChar"/>
        </w:rPr>
        <w:t xml:space="preserve">[Target](@)</w:t>
      </w:r>
      <w:r>
        <w:t xml:space="preserve"> </w:t>
      </w:r>
      <w:r>
        <w:t xml:space="preserve">and</w:t>
      </w:r>
      <w:r>
        <w:t xml:space="preserve"> </w:t>
      </w:r>
      <w:r>
        <w:rPr>
          <w:rStyle w:val="VerbatimChar"/>
        </w:rPr>
        <w:t xml:space="preserve">[prefix:label](#)</w:t>
      </w:r>
      <w:r>
        <w:t xml:space="preserve"> </w:t>
      </w:r>
      <w:r>
        <w:t xml:space="preserve">links in the float’s raw source are stored in</w:t>
      </w:r>
      <w:r>
        <w:t xml:space="preserve"> </w:t>
      </w:r>
      <w:r>
        <w:rPr>
          <w:rStyle w:val="VerbatimChar"/>
        </w:rPr>
        <w:t xml:space="preserve">spec_relations</w:t>
      </w:r>
      <w:r>
        <w:t xml:space="preserve"> </w:t>
      </w:r>
      <w:r>
        <w:t xml:space="preserve">as links of the float’s parent object (no source attribute), at the exact source line of the link</w:t>
      </w:r>
    </w:p>
    <w:p>
      <w:pPr>
        <w:numPr>
          <w:ilvl w:val="0"/>
          <w:numId w:val="1024"/>
        </w:numPr>
        <w:pStyle w:val="Compact"/>
      </w:pPr>
      <w:r>
        <w:rPr>
          <w:bCs/>
          <w:b/>
        </w:rPr>
        <w:t xml:space="preserve">Resolution and diagnostics</w:t>
      </w:r>
      <w:r>
        <w:t xml:space="preserve">: Diagram links use the same resolvers, relation type inference, display text, and</w:t>
      </w:r>
      <w:r>
        <w:t xml:space="preserve"> </w:t>
      </w:r>
      <w:r>
        <w:rPr>
          <w:rStyle w:val="VerbatimChar"/>
        </w:rPr>
        <w:t xml:space="preserve">unresolved_relation</w:t>
      </w:r>
      <w:r>
        <w:t xml:space="preserve"> </w:t>
      </w:r>
      <w:r>
        <w:t xml:space="preserve">diagnostics as body links</w:t>
      </w:r>
    </w:p>
    <w:p>
      <w:pPr>
        <w:numPr>
          <w:ilvl w:val="0"/>
          <w:numId w:val="1024"/>
        </w:numPr>
        <w:pStyle w:val="Compact"/>
      </w:pPr>
      <w:r>
        <w:rPr>
          <w:bCs/>
          <w:b/>
        </w:rPr>
        <w:t xml:space="preserve">Lowering</w:t>
      </w:r>
      <w:r>
        <w:t xml:space="preserve">: During the</w:t>
      </w:r>
      <w:r>
        <w:t xml:space="preserve"> </w:t>
      </w:r>
      <w:hyperlink w:anchor="TERM-22">
        <w:r>
          <w:rPr>
            <w:rStyle w:val="Hyperlink"/>
          </w:rPr>
          <w:t xml:space="preserve">&lt;TRANSFORM Phase&gt;</w:t>
        </w:r>
      </w:hyperlink>
      <w:r>
        <w:t xml:space="preserve"> </w:t>
      </w:r>
      <w:r>
        <w:t xml:space="preserve">phase, before the external render, each link is rewritten into the diagram tool’s own hyperlink syntax with the resolved target and display text. The render cache keys on the rewritten source</w:t>
      </w:r>
    </w:p>
    <w:p>
      <w:pPr>
        <w:numPr>
          <w:ilvl w:val="0"/>
          <w:numId w:val="1024"/>
        </w:numPr>
        <w:pStyle w:val="Compact"/>
      </w:pPr>
      <w:r>
        <w:rPr>
          <w:bCs/>
          <w:b/>
        </w:rPr>
        <w:t xml:space="preserve">Dual rendition</w:t>
      </w:r>
      <w:r>
        <w:t xml:space="preserve">: PlantUML renders SVG and PNG in one task. HTML5 output inlines the SVG so that its anchors navigate, in each per-specification page and in the single-page web application. DOCX, LaTeX, and Markdown use the PNG, which shows the resolved display text</w:t>
      </w:r>
    </w:p>
    <w:p>
      <w:pPr>
        <w:pStyle w:val="Definition"/>
      </w:pPr>
      <w:r>
        <w:t xml:space="preserve">Citation selectors (</w:t>
      </w:r>
      <w:r>
        <w:rPr>
          <w:rStyle w:val="VerbatimChar"/>
        </w:rPr>
        <w:t xml:space="preserve">@cite</w:t>
      </w:r>
      <w:r>
        <w:t xml:space="preserve">,</w:t>
      </w:r>
      <w:r>
        <w:t xml:space="preserve"> </w:t>
      </w:r>
      <w:r>
        <w:rPr>
          <w:rStyle w:val="VerbatimChar"/>
        </w:rPr>
        <w:t xml:space="preserve">@citep</w:t>
      </w:r>
      <w:r>
        <w:t xml:space="preserve">) inside diagram source are registered but left verbatim. A link is clickable only where the diagram tool supports hyperlinks.</w:t>
      </w:r>
    </w:p>
    <w:p>
      <w:pPr>
        <w:pStyle w:val="DefinitionTerm"/>
      </w:pPr>
      <w:r>
        <w:rPr>
          <w:bCs/>
          <w:b/>
        </w:rPr>
        <w:t xml:space="preserve">RATIONALE:</w:t>
      </w:r>
    </w:p>
    <w:p>
      <w:pPr>
        <w:pStyle w:val="Definition"/>
      </w:pPr>
      <w:r>
        <w:t xml:space="preserve">Architecture and sequence diagrams name the requirements, sections, and figures they depict. Authors expect those names to navigate like body links. One relation path keeps a single resolution policy, a single diagnostic policy, and complete traceability for links in both places.</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id="54269" w:name="SF-006"/>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id="81281" w:name="HLR-AUDIT-00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5"/>
        </w:numPr>
        <w:pStyle w:val="Compact"/>
      </w:pPr>
      <w:r>
        <w:t xml:space="preserve">Every node of the document’s build graph is compared against its current file hash</w:t>
      </w:r>
    </w:p>
    <w:p>
      <w:pPr>
        <w:numPr>
          <w:ilvl w:val="0"/>
          <w:numId w:val="1025"/>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5"/>
        </w:numPr>
        <w:pStyle w:val="Compact"/>
      </w:pPr>
      <w:r>
        <w:t xml:space="preserve">If any hash differs, a node file is missing, or no root node is recorded, the document is rebuilt from source</w:t>
      </w:r>
    </w:p>
    <w:p>
      <w:pPr>
        <w:numPr>
          <w:ilvl w:val="0"/>
          <w:numId w:val="1025"/>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id="81282" w:name="HLR-AUDIT-00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6"/>
        </w:numPr>
        <w:pStyle w:val="Compact"/>
      </w:pPr>
      <w:r>
        <w:t xml:space="preserve">Resolving include paths relative to the source file directory</w:t>
      </w:r>
    </w:p>
    <w:p>
      <w:pPr>
        <w:numPr>
          <w:ilvl w:val="0"/>
          <w:numId w:val="1026"/>
        </w:numPr>
        <w:pStyle w:val="Compact"/>
      </w:pPr>
      <w:r>
        <w:t xml:space="preserve">Detecting circular includes via a processed-file set (raises error on cycle)</w:t>
      </w:r>
    </w:p>
    <w:p>
      <w:pPr>
        <w:numPr>
          <w:ilvl w:val="0"/>
          <w:numId w:val="1026"/>
        </w:numPr>
        <w:pStyle w:val="Compact"/>
      </w:pPr>
      <w:r>
        <w:t xml:space="preserve">Recursively expanding nested includes up to a bounded maximum depth</w:t>
      </w:r>
    </w:p>
    <w:p>
      <w:pPr>
        <w:numPr>
          <w:ilvl w:val="0"/>
          <w:numId w:val="1026"/>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id="81283" w:name="HLR-AUDIT-00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7"/>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7"/>
        </w:numPr>
        <w:pStyle w:val="Compact"/>
      </w:pPr>
      <w:r>
        <w:rPr>
          <w:bCs/>
          <w:b/>
        </w:rPr>
        <w:t xml:space="preserve">Structured data</w:t>
      </w:r>
      <w:r>
        <w:t xml:space="preserve">: Each diagnostic record contains file path, line number, diagnostic key, and human-readable message</w:t>
      </w:r>
    </w:p>
    <w:p>
      <w:pPr>
        <w:numPr>
          <w:ilvl w:val="0"/>
          <w:numId w:val="1027"/>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7"/>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id="81284" w:name="HLR-AUDIT-00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8"/>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8"/>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id="81285" w:name="HLR-AUDIT-00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9"/>
        </w:numPr>
        <w:pStyle w:val="Compact"/>
      </w:pPr>
      <w:r>
        <w:rPr>
          <w:bCs/>
          <w:b/>
        </w:rPr>
        <w:t xml:space="preserve">Deterministic parsing</w:t>
      </w:r>
      <w:r>
        <w:t xml:space="preserve">: Content-addressable SHA1 identifiers ensure consistent object identity</w:t>
      </w:r>
    </w:p>
    <w:p>
      <w:pPr>
        <w:numPr>
          <w:ilvl w:val="0"/>
          <w:numId w:val="1029"/>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9"/>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9"/>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id="16264" w:name="TERM-COMMONSPEC"/>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id="19462" w:name="TERM-SPECIR"/>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id="88096" w:name="TERM-20"/>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id="88127" w:name="TERM-30"/>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id="88104" w:name="TERM-28"/>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id="88133" w:name="TERM-36"/>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id="88134" w:name="TERM-37"/>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id="88132" w:name="TERM-35"/>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id="49818" w:name="TERM-EAV"/>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id="88099" w:name="TERM-23"/>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id="88038" w:name="TERM-04"/>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id="88131" w:name="TERM-34"/>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id="88071" w:name="TERM-16"/>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30"/>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30"/>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w:t>
      </w:r>
      <w:r>
        <w:t xml:space="preserve"> </w:t>
      </w:r>
      <w:r>
        <w:rPr>
          <w:rStyle w:val="VerbatimChar"/>
        </w:rPr>
        <w:t xml:space="preserve">format_link</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id="88074" w:name="TERM-19"/>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id="88130" w:name="TERM-33"/>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id="88128" w:name="TERM-31"/>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id="88072" w:name="TERM-17"/>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id="88070" w:name="TERM-15"/>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id="88100" w:name="TERM-24"/>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id="88101" w:name="TERM-25"/>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id="88098" w:name="TERM-22"/>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id="88103" w:name="TERM-27"/>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id="88135" w:name="TERM-38"/>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id="88102" w:name="TERM-26"/>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id="88097" w:name="TERM-21"/>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id="46530" w:name="TERM-AST"/>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id="51365" w:name="TERM-FTS"/>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id="53038" w:name="TERM-HLR"/>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id="88843" w:name="TERM-IR"/>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id="60619" w:name="TERM-PID"/>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id="69762" w:name="TERM-VERIFICATIONVIEW"/>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id="57614" w:name="TERM-SQLITE"/>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id="78911" w:name="TERM-TRACEABLE"/>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id="14140" w:name="TERM-TYPE"/>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id="89231" w:name="TERM-VC"/>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id="1639" w:name="TERM-COMPOSITE"/>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id="38337" w:name="TERM-SELECTOR"/>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id="43676" w:name="TERM-SPECIFICITY"/>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id="60633" w:name="TERM-PIR"/>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id="55968" w:name="TERM-NDJSON"/>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id="10349" w:name="TERM-VALIDATIONPOLICY"/>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id="59209" w:name="TERM-DIAGNOSTIC"/>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id="90946" w:name="TERM-BUILDGRAPH"/>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id="36444" w:name="TERM-PLACEHOLDERBLOCK"/>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after="120" w:before="28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2026-10-22T01:10:28Z</dcterms:created>
  <dcterms:modified xsi:type="dcterms:W3CDTF">2026-10-22T01:10:28Z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