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before="0" w:lineRule="exact" w:after="0" w:line="20"/>
        <w:rPr>
          <w:sz w:val="2"/>
        </w:rPr>
      </w:pPr>
      <w:bookmarkStart w:id="32204" w:name="listing-src-model-quickstart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before="0" w:lineRule="exact" w:after="0" w:line="20"/>
        <w:rPr>
          <w:sz w:val="2"/>
        </w:rPr>
      </w:pPr>
      <w:bookmarkStart w:id="21471" w:name="listing-src-model-adr-layout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before="0" w:lineRule="exact" w:after="0" w:line="20"/>
        <w:rPr>
          <w:sz w:val="2"/>
        </w:rPr>
      </w:pPr>
      <w:bookmarkStart w:id="36868" w:name="listing-src-model-adr-descriptor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before="0" w:lineRule="exact" w:after="0" w:line="20"/>
        <w:rPr>
          <w:sz w:val="2"/>
        </w:rPr>
      </w:pPr>
      <w:bookmarkStart w:id="5934" w:name="listing-src-model-adr-usage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before="0" w:lineRule="exact" w:after="0" w:line="20"/>
        <w:rPr>
          <w:sz w:val="2"/>
        </w:rPr>
      </w:pPr>
      <w:bookmarkStart w:id="46561" w:name="listing-src-model-directory-layout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before="0" w:lineRule="exact" w:after="0" w:line="20"/>
        <w:rPr>
          <w:sz w:val="2"/>
        </w:rPr>
      </w:pPr>
      <w:bookmarkStart w:id="28870" w:name="listing-src-model-manifest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before="0" w:lineRule="exact" w:after="0" w:line="20"/>
        <w:rPr>
          <w:sz w:val="2"/>
        </w:rPr>
      </w:pPr>
      <w:bookmarkStart w:id="36631" w:name="csv-tbl-model-categories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Example file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(optionally</w:t>
            </w:r>
            <w:r>
              <w:t xml:space="preserve"> </w:t>
            </w:r>
            <w:r>
              <w:rPr>
                <w:rStyle w:val="VerbatimChar"/>
              </w:rPr>
              <w:t xml:space="preserve">format_link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mask_comments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before="0" w:lineRule="exact" w:after="0" w:line="20"/>
        <w:rPr>
          <w:sz w:val="2"/>
        </w:rPr>
      </w:pPr>
      <w:bookmarkStart w:id="5146" w:name="csv-tbl-model-hook-catalogue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Kind(s)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Tier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Returns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format_link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link in the source’s native syntax (string)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TRANSFORM, before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, once per CommonSpec link in the float source (</w:t>
            </w:r>
            <w:r>
              <w:rPr>
                <w:rStyle w:val="VerbatimChar"/>
              </w:rPr>
              <w:t xml:space="preserve">ctx.subject.href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.display_text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mask_comments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with comments blanked (string)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INITIALIZE, before links in the float source are registered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 Keep length and newlines.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before="0" w:lineRule="exact" w:after="0" w:line="20"/>
        <w:rPr>
          <w:sz w:val="2"/>
        </w:rPr>
      </w:pPr>
      <w:bookmarkStart w:id="43610" w:name="csv-tbl-model-ctx-fields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before="0" w:lineRule="exact" w:after="0" w:line="20"/>
        <w:rPr>
          <w:sz w:val="2"/>
        </w:rPr>
      </w:pPr>
      <w:bookmarkStart w:id="99581" w:name="listing-src-model-template-object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before="0" w:lineRule="exact" w:after="0" w:line="20"/>
        <w:rPr>
          <w:sz w:val="2"/>
        </w:rPr>
      </w:pPr>
      <w:bookmarkStart w:id="40209" w:name="listing-src-model-template-object-usage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before="0" w:lineRule="exact" w:after="0" w:line="20"/>
        <w:rPr>
          <w:sz w:val="2"/>
        </w:rPr>
      </w:pPr>
      <w:bookmarkStart w:id="47527" w:name="listing-src-model-template-relation-simple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before="0" w:lineRule="exact" w:after="0" w:line="20"/>
        <w:rPr>
          <w:sz w:val="2"/>
        </w:rPr>
      </w:pPr>
      <w:bookmarkStart w:id="59215" w:name="listing-src-model-template-relation-display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before="0" w:lineRule="exact" w:after="0" w:line="20"/>
        <w:rPr>
          <w:sz w:val="2"/>
        </w:rPr>
      </w:pPr>
      <w:bookmarkStart w:id="84323" w:name="listing-src-model-template-view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before="0" w:lineRule="exact" w:after="0" w:line="20"/>
        <w:rPr>
          <w:sz w:val="2"/>
        </w:rPr>
      </w:pPr>
      <w:bookmarkStart w:id="33411" w:name="listing-src-model-template-view-block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before="0" w:lineRule="exact" w:after="0" w:line="20"/>
        <w:rPr>
          <w:sz w:val="2"/>
        </w:rPr>
      </w:pPr>
      <w:bookmarkStart w:id="36064" w:name="listing-src-model-template-float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before="0" w:lineRule="exact" w:after="0" w:line="20"/>
        <w:rPr>
          <w:sz w:val="2"/>
        </w:rPr>
      </w:pPr>
      <w:bookmarkStart w:id="34132" w:name="listing-src-model-template-float-usage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before="0" w:lineRule="exact" w:after="0" w:line="20"/>
        <w:rPr>
          <w:sz w:val="2"/>
        </w:rPr>
      </w:pPr>
      <w:bookmarkStart w:id="1657" w:name="listing-src-model-template-spec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before="0" w:lineRule="exact" w:after="0" w:line="20"/>
        <w:rPr>
          <w:sz w:val="2"/>
        </w:rPr>
      </w:pPr>
      <w:bookmarkStart w:id="1646" w:name="csv-tbl-model-object-fields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before="0" w:lineRule="exact" w:after="0" w:line="20"/>
        <w:rPr>
          <w:sz w:val="2"/>
        </w:rPr>
      </w:pPr>
      <w:bookmarkStart w:id="62565" w:name="csv-tbl-model-attribute-fields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before="0" w:lineRule="exact" w:after="0" w:line="20"/>
        <w:rPr>
          <w:sz w:val="2"/>
        </w:rPr>
      </w:pPr>
      <w:bookmarkStart w:id="38789" w:name="csv-tbl-model-float-fields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before="0" w:lineRule="exact" w:after="0" w:line="20"/>
        <w:rPr>
          <w:sz w:val="2"/>
        </w:rPr>
      </w:pPr>
      <w:bookmarkStart w:id="4017" w:name="csv-tbl-model-relation-fields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before="0" w:lineRule="exact" w:after="0" w:line="20"/>
        <w:rPr>
          <w:sz w:val="2"/>
        </w:rPr>
      </w:pPr>
      <w:bookmarkStart w:id="48168" w:name="csv-tbl-model-view-fields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before="0" w:lineRule="exact" w:after="0" w:line="20"/>
        <w:rPr>
          <w:sz w:val="2"/>
        </w:rPr>
      </w:pPr>
      <w:bookmarkStart w:id="60226" w:name="listing-src-model-verification-view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before="0" w:lineRule="exact" w:after="0" w:line="20"/>
        <w:rPr>
          <w:sz w:val="2"/>
        </w:rPr>
      </w:pPr>
      <w:bookmarkStart w:id="31062" w:name="listing-src-model-suppress-verification-view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4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 A float may also declare</w:t>
      </w:r>
      <w:r>
        <w:t xml:space="preserve"> </w:t>
      </w:r>
      <w:r>
        <w:rPr>
          <w:rStyle w:val="VerbatimChar"/>
        </w:rPr>
        <w:t xml:space="preserve">format_link</w:t>
      </w:r>
      <w:r>
        <w:t xml:space="preserve"> </w:t>
      </w:r>
      <w:r>
        <w:t xml:space="preserve">to support CommonSpec links in its source (see</w:t>
      </w:r>
      <w:r>
        <w:t xml:space="preserve"> </w:t>
      </w:r>
      <w:r>
        <w:rPr>
          <w:iCs/>
          <w:i/>
        </w:rPr>
        <w:t xml:space="preserve">Links in float source</w:t>
      </w:r>
      <w:r>
        <w:t xml:space="preserve"> </w:t>
      </w:r>
      <w:r>
        <w:t xml:space="preserve">below).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before="0" w:lineRule="exact" w:after="0" w:line="20"/>
        <w:rPr>
          <w:sz w:val="2"/>
        </w:rPr>
      </w:pPr>
      <w:bookmarkStart w:id="36387" w:name="listing-src-model-external-render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Because this type declares format_link, float.raw_content arrives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with its CommonSpec links already rewritten to [[href{tip} text]].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".svg"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PNG (DOCX, LaTeX, Markdown) first, then SVG (clickable links in HTML)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'plantuml -tpng "$1" &amp;&amp; plantuml -tsvg "$1"'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written last, so both files exist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'{"png_paths":["diagrams/%s.png"],"svg_paths":["diagrams/%s.svg"]}'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one resolved CommonSpec link in PlantUML syntax.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 carries { href, display_text }. Brackets and braces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would end the PlantUML link early, and backslashes start escapes,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so they are dropped or replaced; the URL ends at a space.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format_link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display_text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"[%[%]{}]"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href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"%%20"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"[[%s{%s} %s]]"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blank out comments so links in them are not registered.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Keep length and newlines: link line numbers come from this text.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mask_comments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"[^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"/'.-'/"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blank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"[^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]+"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"^%s*'"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before="0" w:lineRule="exact" w:after="0" w:line="20"/>
        <w:rPr>
          <w:sz w:val="2"/>
        </w:rPr>
      </w:pPr>
      <w:bookmarkStart w:id="11166" w:name="csv-tbl-model-task-descriptor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resolved_ast</w:t>
      </w:r>
      <w:r>
        <w:t xml:space="preserve"> </w:t>
      </w:r>
      <w:r>
        <w:t xml:space="preserve">of an image float lists</w:t>
      </w:r>
      <w:r>
        <w:t xml:space="preserve"> </w:t>
      </w:r>
      <w:r>
        <w:rPr>
          <w:rStyle w:val="VerbatimChar"/>
        </w:rPr>
        <w:t xml:space="preserve">png_paths</w:t>
      </w:r>
      <w:r>
        <w:t xml:space="preserve"> </w:t>
      </w:r>
      <w:r>
        <w:t xml:space="preserve">and, optionally,</w:t>
      </w:r>
      <w:r>
        <w:t xml:space="preserve"> </w:t>
      </w:r>
      <w:r>
        <w:rPr>
          <w:rStyle w:val="VerbatimChar"/>
        </w:rPr>
        <w:t xml:space="preserve">svg_paths</w:t>
      </w:r>
      <w:r>
        <w:t xml:space="preserve">, relative to the build directory. EMIT uses the PNG for DOCX, LaTeX, and Markdown. When an SVG is present, the image carries its path in an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attribute that only HTML output sees (the emitter removes it for every other format), and the HTML filter inlines the SVG so that links inside it navigate.</w:t>
      </w:r>
    </w:p>
    <w:bookmarkStart w:id="43" w:name="SPEC-sec12.1"/>
    <w:p>
      <w:pPr>
        <w:pStyle w:val="Heading2"/>
        <w:numPr>
          <w:ilvl w:val="1"/>
          <w:numId w:val="100"/>
        </w:numPr>
      </w:pPr>
      <w:r>
        <w:t xml:space="preserve">Links in float source</w:t>
      </w:r>
    </w:p>
    <w:p>
      <w:pPr>
        <w:pStyle w:val="FirstParagraph"/>
      </w:pPr>
      <w:r>
        <w:t xml:space="preserve">A float type whose source is plain text (not Markdown) can let authors write CommonSpec links in it, such as</w:t>
      </w:r>
      <w:r>
        <w:t xml:space="preserve"> </w:t>
      </w:r>
      <w:r>
        <w:rPr>
          <w:rStyle w:val="VerbatimChar"/>
        </w:rPr>
        <w:t xml:space="preserve">Foo --&gt; Bar : [SEC-2](@)</w:t>
      </w:r>
      <w:r>
        <w:t xml:space="preserve">. Declaring the</w:t>
      </w:r>
      <w:r>
        <w:t xml:space="preserve"> </w:t>
      </w:r>
      <w:r>
        <w:rPr>
          <w:rStyle w:val="VerbatimChar"/>
        </w:rPr>
        <w:t xml:space="preserve">format_link</w:t>
      </w:r>
      <w:r>
        <w:t xml:space="preserve"> </w:t>
      </w:r>
      <w:r>
        <w:t xml:space="preserve">data hook turns this on. The pipeline then:</w:t>
      </w:r>
    </w:p>
    <w:p>
      <w:pPr>
        <w:numPr>
          <w:ilvl w:val="0"/>
          <w:numId w:val="1004"/>
        </w:numPr>
        <w:pStyle w:val="Compact"/>
      </w:pPr>
      <w:r>
        <w:t xml:space="preserve">Registers each</w:t>
      </w:r>
      <w:r>
        <w:t xml:space="preserve"> </w:t>
      </w:r>
      <w:r>
        <w:rPr>
          <w:rStyle w:val="VerbatimChar"/>
        </w:rPr>
        <w:t xml:space="preserve">[text](@...)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[text](#...)</w:t>
      </w:r>
      <w:r>
        <w:t xml:space="preserve"> </w:t>
      </w:r>
      <w:r>
        <w:t xml:space="preserve">in the source as a relation of the float’s parent object, at its exact line (INITIALIZE).</w:t>
      </w:r>
    </w:p>
    <w:p>
      <w:pPr>
        <w:numPr>
          <w:ilvl w:val="0"/>
          <w:numId w:val="1004"/>
        </w:numPr>
        <w:pStyle w:val="Compact"/>
      </w:pPr>
      <w:r>
        <w:t xml:space="preserve">Resolves it with the same rules and diagnostics as a body link (RESOLVE).</w:t>
      </w:r>
    </w:p>
    <w:p>
      <w:pPr>
        <w:numPr>
          <w:ilvl w:val="0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format_link</w:t>
      </w:r>
      <w:r>
        <w:t xml:space="preserve"> </w:t>
      </w:r>
      <w:r>
        <w:t xml:space="preserve">once per link and replaces the link with the returned string, before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(TRANSFORM). The render cache therefore keys on the rewritten source.</w:t>
      </w:r>
    </w:p>
    <w:p>
      <w:pPr>
        <w:spacing w:before="0" w:lineRule="exact" w:after="0" w:line="20"/>
        <w:rPr>
          <w:sz w:val="2"/>
        </w:rPr>
      </w:pPr>
      <w:bookmarkStart w:id="59223" w:name="csv-tbl-model-format-link"/>
      <w:bookmarkEnd w:id="5922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The format_link hook contract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ctx.subject.href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 target:</w:t>
            </w:r>
            <w:r>
              <w:t xml:space="preserve"> </w:t>
            </w:r>
            <w:r>
              <w:rPr>
                <w:rStyle w:val="VerbatimChar"/>
              </w:rPr>
              <w:t xml:space="preserve">#anchor</w:t>
            </w:r>
            <w:r>
              <w:t xml:space="preserve"> </w:t>
            </w:r>
            <w:r>
              <w:t xml:space="preserve">in the same document, or</w:t>
            </w:r>
            <w:r>
              <w:t xml:space="preserve"> </w:t>
            </w:r>
            <w:r>
              <w:rPr>
                <w:rStyle w:val="VerbatimChar"/>
              </w:rPr>
              <w:t xml:space="preserve">{spec}.ext#anchor</w:t>
            </w:r>
            <w:r>
              <w:t xml:space="preserve"> </w:t>
            </w:r>
            <w:r>
              <w:t xml:space="preserve">in another document. The output filter replaces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with the output extension. For an unresolved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link, it is the same fallback anchor a body link gets.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rStyle w:val="VerbatimChar"/>
              </w:rPr>
              <w:t xml:space="preserve">ctx.subject.display_text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The text a body link to the same target shows (e.g. </w:t>
            </w:r>
            <w:r>
              <w:t xml:space="preserve">“</w:t>
            </w:r>
            <w:r>
              <w:t xml:space="preserve">Figure 3</w:t>
            </w:r>
            <w:r>
              <w:t xml:space="preserve">”</w:t>
            </w:r>
            <w:r>
              <w:t xml:space="preserve">), with the specification prefix for another document. For an unresolved link, it is the authored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Return 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 string in the tool’s own hyperlink syntax that replaces the link in the source.</w:t>
            </w:r>
          </w:p>
        </w:tc>
      </w:tr>
    </w:tbl>
    <w:p>
      <w:pPr>
        <w:pStyle w:val="BodyText"/>
      </w:pPr>
      <w:r>
        <w:t xml:space="preserve">Citation links (</w:t>
      </w:r>
      <w:r>
        <w:rPr>
          <w:rStyle w:val="VerbatimChar"/>
        </w:rPr>
        <w:t xml:space="preserve">@cite</w:t>
      </w:r>
      <w:r>
        <w:t xml:space="preserve">,</w:t>
      </w:r>
      <w:r>
        <w:t xml:space="preserve"> </w:t>
      </w:r>
      <w:r>
        <w:rPr>
          <w:rStyle w:val="VerbatimChar"/>
        </w:rPr>
        <w:t xml:space="preserve">@citep</w:t>
      </w:r>
      <w:r>
        <w:t xml:space="preserve">) have no target anchor, so the pipeline leaves them verbatim and does not call the hook for them. A link preceded by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literal text: it is neither registered nor rewritten (</w:t>
      </w:r>
      <w:r>
        <w:rPr>
          <w:rStyle w:val="VerbatimChar"/>
        </w:rPr>
        <w:t xml:space="preserve">~</w:t>
      </w:r>
      <w:r>
        <w:t xml:space="preserve"> </w:t>
      </w:r>
      <w:r>
        <w:t xml:space="preserve">is PlantUML’s escape, so the diagram shows the plain text). To ignore links inside the tool’s comments, also declare</w:t>
      </w:r>
      <w:r>
        <w:t xml:space="preserve"> </w:t>
      </w:r>
      <w:r>
        <w:rPr>
          <w:rStyle w:val="VerbatimChar"/>
        </w:rPr>
        <w:t xml:space="preserve">mask_comments</w:t>
      </w:r>
      <w:r>
        <w:t xml:space="preserve">; registration then scans its result.</w:t>
      </w:r>
    </w:p>
    <w:bookmarkEnd w:id="43"/>
    <w:bookmarkEnd w:id="44"/>
    <w:bookmarkStart w:id="45" w:name="SPEC-sec13"/>
    <w:p>
      <w:pPr>
        <w:pStyle w:val="Heading1"/>
        <w:numPr>
          <w:ilvl w:val="0"/>
          <w:numId w:val="100"/>
        </w:numPr>
      </w:pPr>
      <w:r>
        <w:t xml:space="preserve">Migrating models</w:t>
      </w:r>
    </w:p>
    <w:p>
      <w:pPr>
        <w:pStyle w:val="FirstParagraph"/>
      </w:pPr>
      <w:r>
        <w:t xml:space="preserve">Existing models keep working without changes. Use this list to check yours.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Override of PLANTUML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hooks = {}</w:t>
      </w:r>
      <w:r>
        <w:rPr>
          <w:bCs/>
          <w:b/>
        </w:rPr>
        <w:t xml:space="preserve">, or a type that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extends</w:t>
      </w:r>
      <w:r>
        <w:rPr>
          <w:bCs/>
          <w:b/>
        </w:rPr>
        <w:t xml:space="preserve"> </w:t>
      </w:r>
      <w:r>
        <w:rPr>
          <w:bCs/>
          <w:b/>
        </w:rPr>
        <w:t xml:space="preserve">PLANTUML:</w:t>
      </w:r>
      <w:r>
        <w:t xml:space="preserve"> </w:t>
      </w:r>
      <w:r>
        <w:t xml:space="preserve">nothing to do. The type keeps or inherits every default hook, so it gets diagram links and the SVG rendition automatically.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Override with your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prepare_task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handle_result</w:t>
      </w:r>
      <w:r>
        <w:rPr>
          <w:bCs/>
          <w:b/>
        </w:rPr>
        <w:t xml:space="preserve">:</w:t>
      </w:r>
      <w:r>
        <w:t xml:space="preserve"> </w:t>
      </w:r>
      <w:r>
        <w:t xml:space="preserve">nothing breaks; output stays PNG, and the source already arrives with links rewritten. To get clickable links in HTML, also render an SVG and add</w:t>
      </w:r>
      <w:r>
        <w:t xml:space="preserve"> </w:t>
      </w:r>
      <w:r>
        <w:rPr>
          <w:rStyle w:val="VerbatimChar"/>
        </w:rPr>
        <w:t xml:space="preserve">"svg_paths":[...]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resolved_ast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Override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prepare_task</w:t>
      </w:r>
      <w:r>
        <w:rPr>
          <w:bCs/>
          <w:b/>
        </w:rPr>
        <w:t xml:space="preserve"> </w:t>
      </w:r>
      <w:r>
        <w:rPr>
          <w:bCs/>
          <w:b/>
        </w:rPr>
        <w:t xml:space="preserve">only: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diagrams_path</w:t>
      </w:r>
      <w:r>
        <w:t xml:space="preserve"> </w:t>
      </w:r>
      <w:r>
        <w:t xml:space="preserve">(and, optionally,</w:t>
      </w:r>
      <w:r>
        <w:t xml:space="preserve"> </w:t>
      </w:r>
      <w:r>
        <w:rPr>
          <w:rStyle w:val="VerbatimChar"/>
        </w:rPr>
        <w:t xml:space="preserve">relative_dir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relative_path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task.context</w:t>
      </w:r>
      <w:r>
        <w:t xml:space="preserve">, and keep a PNG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then still finds the PNG.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html.lua</w:t>
      </w:r>
      <w:r>
        <w:rPr>
          <w:bCs/>
          <w:b/>
        </w:rPr>
        <w:t xml:space="preserve"> </w:t>
      </w:r>
      <w:r>
        <w:rPr>
          <w:bCs/>
          <w:b/>
        </w:rPr>
        <w:t xml:space="preserve">that replaces the default filter:</w:t>
      </w:r>
      <w:r>
        <w:t xml:space="preserve"> </w:t>
      </w:r>
      <w:r>
        <w:t xml:space="preserve">the diagram shows as the PNG. To get clickable links, port the default filter’s handling of images with an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inline_svg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base.css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sidebar.js</w:t>
      </w:r>
      <w:r>
        <w:rPr>
          <w:bCs/>
          <w:b/>
        </w:rPr>
        <w:t xml:space="preserve"> </w:t>
      </w:r>
      <w:r>
        <w:rPr>
          <w:bCs/>
          <w:b/>
        </w:rPr>
        <w:t xml:space="preserve">overrides: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svg.speccompiler-diagram { max-width: 100%; height: auto; }</w:t>
      </w:r>
      <w:r>
        <w:t xml:space="preserve"> </w:t>
      </w:r>
      <w:r>
        <w:t xml:space="preserve">rule, and find the clicked anchor with</w:t>
      </w:r>
      <w:r>
        <w:t xml:space="preserve"> </w:t>
      </w:r>
      <w:r>
        <w:rPr>
          <w:rStyle w:val="VerbatimChar"/>
        </w:rPr>
        <w:t xml:space="preserve">closest('a')</w:t>
      </w:r>
      <w:r>
        <w:t xml:space="preserve">, reading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Traceability or coverage queries:</w:t>
      </w:r>
      <w:r>
        <w:t xml:space="preserve"> </w:t>
      </w:r>
      <w:r>
        <w:t xml:space="preserve">a diagram link is an ordinary relation of the enclosing object, so it counts like a body link. Use</w:t>
      </w:r>
      <w:r>
        <w:t xml:space="preserve"> </w:t>
      </w:r>
      <w:r>
        <w:rPr>
          <w:rStyle w:val="VerbatimChar"/>
        </w:rPr>
        <w:t xml:space="preserve">COUNT(DISTINCT ...)</w:t>
      </w:r>
      <w:r>
        <w:t xml:space="preserve"> </w:t>
      </w:r>
      <w:r>
        <w:t xml:space="preserve">where a body link and a diagram link to the same target must count once.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source-based float types: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format_link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mask_comments</w:t>
      </w:r>
      <w:r>
        <w:t xml:space="preserve"> </w:t>
      </w:r>
      <w:r>
        <w:t xml:space="preserve">for the tool’s comment syntax) to opt in.</w:t>
      </w:r>
    </w:p>
    <w:bookmarkEnd w:id="45"/>
    <w:bookmarkStart w:id="46" w:name="SPEC-sec14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before="0" w:lineRule="exact" w:after="0" w:line="20"/>
        <w:rPr>
          <w:sz w:val="2"/>
        </w:rPr>
      </w:pPr>
      <w:bookmarkStart w:id="53074" w:name="listing-src-model-project-yaml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6"/>
    <w:bookmarkStart w:id="47" w:name="SPEC-sec15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7"/>
    <w:bookmarkStart w:id="53" w:name="SPEC-sec16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6"/>
        </w:numPr>
        <w:pStyle w:val="Compact"/>
      </w:pPr>
      <w:hyperlink r:id="rId48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6"/>
        </w:numPr>
        <w:pStyle w:val="Compact"/>
      </w:pPr>
      <w:r>
        <w:t xml:space="preserve">Engineering docs — the</w:t>
      </w:r>
      <w:r>
        <w:t xml:space="preserve"> </w:t>
      </w:r>
      <w:hyperlink r:id="rId49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50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6"/>
        </w:numPr>
        <w:pStyle w:val="Compact"/>
      </w:pPr>
      <w:hyperlink r:id="rId52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3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val="single" w:space="1" w:color="CCCCCC" w:sz="4"/>
        <w:bottom w:val="none" w:space="0" w:color="auto" w:sz="0"/>
        <w:left w:val="none" w:space="0" w:color="auto" w:sz="0"/>
        <w:right w:val="none" w:space="0" w:color="auto" w:sz="0"/>
        <w:insideH w:val="none" w:space="0" w:color="auto" w:sz="0"/>
        <w:insideV w:val="none" w:space="0" w:color="auto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lineRule="auto" w:before="280" w:after="120" w:line="276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51" Target="../../engineering_docs/architecture/model_design.md" TargetMode="External"/><Relationship Type="http://schemas.openxmlformats.org/officeDocument/2006/relationships/hyperlink" Id="rId50" Target="../../engineering_docs/architecture/type_discovery_design.md" TargetMode="External"/><Relationship Type="http://schemas.openxmlformats.org/officeDocument/2006/relationships/hyperlink" Id="rId49" Target="../../engineering_docs/architecture/type_system.md" TargetMode="External"/><Relationship Type="http://schemas.openxmlformats.org/officeDocument/2006/relationships/hyperlink" Id="rId52" Target="../../engineering_docs/dictionary/concepts.md" TargetMode="External"/><Relationship Type="http://schemas.openxmlformats.org/officeDocument/2006/relationships/hyperlink" Id="rId48" Target="../manual.md" TargetMode="Externa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engineering_docs/architecture/model_design.md" TargetMode="External" /><Relationship Type="http://schemas.openxmlformats.org/officeDocument/2006/relationships/hyperlink" Id="rId50" Target="../../engineering_docs/architecture/type_discovery_design.md" TargetMode="External" /><Relationship Type="http://schemas.openxmlformats.org/officeDocument/2006/relationships/hyperlink" Id="rId49" Target="../../engineering_docs/architecture/type_system.md" TargetMode="External" /><Relationship Type="http://schemas.openxmlformats.org/officeDocument/2006/relationships/hyperlink" Id="rId52" Target="../../engineering_docs/dictionary/concepts.md" TargetMode="External" /><Relationship Type="http://schemas.openxmlformats.org/officeDocument/2006/relationships/hyperlink" Id="rId48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2026-10-22T01:11:09Z</dcterms:created>
  <dcterms:modified xsi:type="dcterms:W3CDTF">2026-10-22T01:11:09Z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