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31.png" ContentType="image/png"/>
  <Override PartName="/word/media/rId146.png" ContentType="image/png"/>
  <Override PartName="/word/media/rId43.png" ContentType="image/png"/>
  <Override PartName="/word/media/rId100.png" ContentType="image/png"/>
  <Override PartName="/word/media/rId23.png" ContentType="image/png"/>
  <Override PartName="/word/media/rId31.png" ContentType="image/png"/>
  <Override PartName="/word/media/rId113.png" ContentType="image/png"/>
  <Override PartName="/word/media/rId8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197"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lineRule="exact" w:line="20" w:after="0" w:before="0"/>
        <w:rPr>
          <w:sz w:val="2"/>
        </w:rPr>
      </w:pPr>
      <w:bookmarkStart w:id="73432" w:name="puml-comp-pipeline"/>
      <w:bookmarkEnd w:id="73432"/>
    </w:p>
    <w:p>
      <w:pPr>
        <w:pStyle w:val="BodyText"/>
      </w:pPr>
      <w:r>
        <w:drawing>
          <wp:inline>
            <wp:extent cx="5334000" cy="2734969"/>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34969"/>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lineRule="exact" w:line="20" w:after="0" w:before="0"/>
        <w:rPr>
          <w:sz w:val="2"/>
        </w:rPr>
      </w:pPr>
      <w:bookmarkStart w:id="9413" w:name="puml-comp-types"/>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8969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78969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module returns one descriptor table. The host reads the declared descriptor fields.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analyze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SpecIR fields for this kind. schema.id is authoritative.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Optional custom behavior.</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Custom behavior belongs in</w:t>
      </w:r>
      <w:r>
        <w:t xml:space="preserve"> </w:t>
      </w:r>
      <w:r>
        <w:rPr>
          <w:rStyle w:val="VerbatimChar"/>
        </w:rPr>
        <w:t xml:space="preserve">hooks</w:t>
      </w:r>
      <w:r>
        <w:t xml:space="preserve">. The host validates each hook name against the descriptor kind. It rejects functions on other top-level keys. A data-only type can omit</w:t>
      </w:r>
      <w:r>
        <w:t xml:space="preserve"> </w:t>
      </w:r>
      <w:r>
        <w:rPr>
          <w:rStyle w:val="VerbatimChar"/>
        </w:rPr>
        <w:t xml:space="preserve">hooks</w:t>
      </w:r>
      <w:r>
        <w:t xml:space="preserve">. An</w:t>
      </w:r>
      <w:r>
        <w:t xml:space="preserve"> </w:t>
      </w:r>
      <w:r>
        <w:rPr>
          <w:rStyle w:val="VerbatimChar"/>
        </w:rPr>
        <w:t xml:space="preserve">on_&lt;phase&gt;</w:t>
      </w:r>
      <w:r>
        <w:t xml:space="preserve"> </w:t>
      </w:r>
      <w:r>
        <w:t xml:space="preserve">function in</w:t>
      </w:r>
      <w:r>
        <w:t xml:space="preserve"> </w:t>
      </w:r>
      <w:r>
        <w:rPr>
          <w:rStyle w:val="VerbatimChar"/>
        </w:rPr>
        <w:t xml:space="preserve">hooks</w:t>
      </w:r>
      <w:r>
        <w:t xml:space="preserve"> </w:t>
      </w:r>
      <w:r>
        <w:t xml:space="preserve">registers phase participation.</w:t>
      </w:r>
    </w:p>
    <w:bookmarkEnd w:id="35"/>
    <w:bookmarkStart w:id="36" w:name="SDD-001-sec1.1.5"/>
    <w:p>
      <w:pPr>
        <w:pStyle w:val="Heading3"/>
      </w:pPr>
      <w:r>
        <w:t xml:space="preserve">Type Categories</w:t>
      </w:r>
    </w:p>
    <w:p>
      <w:pPr>
        <w:spacing w:lineRule="exact" w:line="20" w:after="0" w:before="0"/>
        <w:rPr>
          <w:sz w:val="2"/>
        </w:rPr>
      </w:pPr>
      <w:bookmarkStart w:id="83454" w:name="csv-tbl-type-system-categories"/>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Each hook accepts one frozen context table. The polymorphic</w:t>
      </w:r>
      <w:r>
        <w:t xml:space="preserve"> </w:t>
      </w:r>
      <w:r>
        <w:rPr>
          <w:rStyle w:val="VerbatimChar"/>
        </w:rPr>
        <w:t xml:space="preserve">subject</w:t>
      </w:r>
      <w:r>
        <w:t xml:space="preserve"> </w:t>
      </w:r>
      <w:r>
        <w:t xml:space="preserve">field contains the hook input. The</w:t>
      </w:r>
      <w:r>
        <w:t xml:space="preserve"> </w:t>
      </w:r>
      <w:r>
        <w:rPr>
          <w:rStyle w:val="VerbatimChar"/>
        </w:rPr>
        <w:t xml:space="preserve">capability</w:t>
      </w:r>
      <w:r>
        <w:t xml:space="preserve"> </w:t>
      </w:r>
      <w:r>
        <w:t xml:space="preserve">field identifies the hook. The hook name selects one of two context tiers:</w:t>
      </w:r>
    </w:p>
    <w:p>
      <w:pPr>
        <w:spacing w:lineRule="exact" w:line="20" w:after="0" w:before="0"/>
        <w:rPr>
          <w:sz w:val="2"/>
        </w:rPr>
      </w:pPr>
      <w:bookmarkStart w:id="27495" w:name="csv-tbl-hook-contract"/>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context with Pandoc and output-format fields</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context with</w:t>
            </w:r>
            <w:r>
              <w:t xml:space="preserve"> </w:t>
            </w:r>
            <w:r>
              <w:rPr>
                <w:rStyle w:val="VerbatimChar"/>
              </w:rPr>
              <w:t xml:space="preserve">subject.raw_content</w:t>
            </w:r>
            <w:r>
              <w:t xml:space="preserve"> </w:t>
            </w:r>
            <w:r>
              <w:t xml:space="preserve">and</w:t>
            </w:r>
            <w:r>
              <w:t xml:space="preserve"> </w:t>
            </w:r>
            <w:r>
              <w:rPr>
                <w:rStyle w:val="VerbatimChar"/>
              </w:rPr>
              <w:t xml:space="preserve">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context with target text and source identifier</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context with task or result fields</w:t>
            </w:r>
          </w:p>
        </w:tc>
        <w:tc>
          <w:tcPr/>
          <w:p>
            <w:pPr>
              <w:pStyle w:val="Compact"/>
              <w:jc w:val="left"/>
            </w:pPr>
            <w:r>
              <w:t xml:space="preserve">task table / DB write</w:t>
            </w:r>
          </w:p>
        </w:tc>
      </w:tr>
    </w:tbl>
    <w:p>
      <w:pPr>
        <w:pStyle w:val="BodyText"/>
      </w:pPr>
      <w:r>
        <w:t xml:space="preserve">A render hook receives the render core and its subject. A data hook receives</w:t>
      </w:r>
      <w:r>
        <w:t xml:space="preserv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and its subject. The host checks required context fields. It prevents assignment to top-level context fields. Each hook must return its documented type.</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analyze-query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lineRule="exact" w:line="20" w:after="0" w:before="0"/>
        <w:rPr>
          <w:sz w:val="2"/>
        </w:rPr>
      </w:pPr>
      <w:bookmarkStart w:id="49437" w:name="csv-tbl-SpecIR-domains"/>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lineRule="exact" w:line="20" w:after="0" w:before="0"/>
        <w:rPr>
          <w:sz w:val="2"/>
        </w:rPr>
      </w:pPr>
      <w:bookmarkStart w:id="32777" w:name="SpecIR-puml-er-SpecIR-core"/>
      <w:bookmarkEnd w:id="32777"/>
    </w:p>
    <w:p>
      <w:pPr>
        <w:pStyle w:val="BodyText"/>
      </w:pPr>
      <w:r>
        <w:drawing>
          <wp:inline>
            <wp:extent cx="5334000" cy="5619298"/>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9298"/>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id="28259" w:name="FD-001"/>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lineRule="exact" w:line="20" w:after="0" w:before="0"/>
        <w:rPr>
          <w:sz w:val="2"/>
        </w:rPr>
      </w:pPr>
      <w:bookmarkStart w:id="69296" w:name="FD-001-puml-fd-001-pipeline"/>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7979246"/>
            <wp:effectExtent b="0" l="0" r="0" t="0"/>
            <wp:docPr descr="" title="" id="57" name="Picture"/>
            <a:graphic>
              <a:graphicData uri="http://schemas.openxmlformats.org/drawingml/2006/picture">
                <pic:pic>
                  <pic:nvPicPr>
                    <pic:cNvPr descr="diagrams/f085382052246b3e549d97143deefa307d61671c.png" id="58" name="Picture"/>
                    <pic:cNvPicPr>
                      <a:picLocks noChangeArrowheads="1" noChangeAspect="1"/>
                    </pic:cNvPicPr>
                  </pic:nvPicPr>
                  <pic:blipFill>
                    <a:blip r:embed="rId56"/>
                    <a:stretch>
                      <a:fillRect/>
                    </a:stretch>
                  </pic:blipFill>
                  <pic:spPr bwMode="auto">
                    <a:xfrm>
                      <a:off x="0" y="0"/>
                      <a:ext cx="5334000" cy="797924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id="69345" w:name="LLR-PIPE-002-01"/>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9346" w:name="LLR-PIPE-002-02"/>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9347" w:name="LLR-PIPE-002-03"/>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509" w:name="LLR-PIPE-006-01"/>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510" w:name="LLR-PIPE-006-02"/>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511" w:name="LLR-PIPE-006-03"/>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6" w:name="LLR-020"/>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7" w:name="LLR-021"/>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8" w:name="LLR-022"/>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9" w:name="LLR-023"/>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0" w:name="LLR-024"/>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1" w:name="LLR-025"/>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2" w:name="LLR-026"/>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3" w:name="LLR-027"/>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4" w:name="LLR-028"/>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5" w:name="LLR-029"/>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07" w:name="LLR-030"/>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08" w:name="LLR-031"/>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09" w:name="LLR-032"/>
      <w:r>
        <w:t xml:space="preserve">LLR-032: Blockquotes Register as Attributes</w:t>
      </w:r>
      <w:bookmarkEnd w:id="12309"/>
    </w:p>
    <w:p>
      <w:pPr>
        <w:pStyle w:val="SpecObjectBody"/>
      </w:pPr>
      <w:r>
        <w:t xml:space="preserve">Given Pandoc BlockQuote lines matching</w:t>
      </w:r>
      <w:r>
        <w:t xml:space="preserve"> </w:t>
      </w:r>
      <w:r>
        <w:rPr>
          <w:rStyle w:val="VerbatimChar"/>
        </w:rPr>
        <w:t xml:space="preserve">&gt; key: value</w:t>
      </w:r>
      <w:r>
        <w:t xml:space="preserve">,</w:t>
      </w:r>
      <w:r>
        <w:t xml:space="preserve"> </w:t>
      </w:r>
      <w:hyperlink w:anchor="CSU-044">
        <w:r>
          <w:rPr>
            <w:rStyle w:val="Hyperlink"/>
          </w:rPr>
          <w:t xml:space="preserve">CSU Attribute Parser</w:t>
        </w:r>
      </w:hyperlink>
      <w:r>
        <w:t xml:space="preserve"> </w:t>
      </w:r>
      <w:r>
        <w:t xml:space="preserve">shall insert</w:t>
      </w:r>
      <w:r>
        <w:t xml:space="preserve"> </w:t>
      </w:r>
      <w:hyperlink r:id="rId74">
        <w:r>
          <w:rPr>
            <w:rStyle w:val="Hyperlink"/>
          </w:rPr>
          <w:t xml:space="preserve">&lt;Attribute&gt;</w:t>
        </w:r>
      </w:hyperlink>
      <w:r>
        <w:t xml:space="preserve"> </w:t>
      </w:r>
      <w:r>
        <w:t xml:space="preserve">records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0" w:name="LLR-033"/>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1" w:name="LLR-034"/>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2" w:name="LLR-035"/>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3" w:name="LLR-036"/>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4" w:name="LLR-037"/>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5" w:name="LLR-038"/>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6" w:name="LLR-039"/>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38" w:name="LLR-040"/>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39" w:name="LLR-041"/>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0" w:name="LLR-042"/>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1" w:name="LLR-043"/>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2" w:name="LLR-044"/>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3" w:name="LLR-045"/>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4" w:name="LLR-046"/>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42769" w:name="DD-CORE-001"/>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id="42770" w:name="DD-CORE-002"/>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id="42771" w:name="DD-CORE-003"/>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id="42772" w:name="DD-CORE-004"/>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97" w:name="SDD-001-sec1.4"/>
    <w:p>
      <w:pPr>
        <w:pStyle w:val="Heading2"/>
      </w:pPr>
      <w:r>
        <w:t xml:space="preserve">Type Discovery Design</w:t>
      </w:r>
    </w:p>
    <w:p>
      <w:pPr>
        <w:pStyle w:val="SpecObjectHeader"/>
        <w:keepNext/>
        <w:outlineLvl w:val="0"/>
      </w:pPr>
      <w:bookmarkStart w:id="28260" w:name="FD-002"/>
      <w:r>
        <w:t xml:space="preserve">FD-002: Type Model Discovery and Registration</w:t>
      </w:r>
      <w:bookmarkEnd w:id="28260"/>
    </w:p>
    <w:p>
      <w:pPr>
        <w:pStyle w:val="SpecObjectBody"/>
      </w:pPr>
      <w:r>
        <w:t xml:space="preserve">The host loads model descriptors from the filesystem. It registers schema data, behavior hooks, phase hooks, and analyze queries.</w:t>
      </w:r>
    </w:p>
    <w:p>
      <w:pPr>
        <w:pStyle w:val="SpecObjectBody"/>
      </w:pPr>
      <w:r>
        <w:rPr>
          <w:bCs/>
          <w:b/>
        </w:rPr>
        <w:t xml:space="preserve">Model order:</w:t>
      </w:r>
      <w:r>
        <w:t xml:space="preserve"> </w:t>
      </w:r>
      <w:r>
        <w:t xml:space="preserve">The engine loads</w:t>
      </w:r>
      <w:r>
        <w:t xml:space="preserve"> </w:t>
      </w:r>
      <w:r>
        <w:rPr>
          <w:rStyle w:val="VerbatimChar"/>
        </w:rPr>
        <w:t xml:space="preserve">default</w:t>
      </w:r>
      <w:r>
        <w:t xml:space="preserve"> </w:t>
      </w:r>
      <w:r>
        <w:t xml:space="preserve">before the selected model. It loads manifest dependencies before the model that requires them. A descriptor with the same kind and identifier replaces the earlier descriptor.</w:t>
      </w:r>
    </w:p>
    <w:p>
      <w:pPr>
        <w:pStyle w:val="SpecObjectBody"/>
      </w:pPr>
      <w:r>
        <w:rPr>
          <w:bCs/>
          <w:b/>
        </w:rPr>
        <w:t xml:space="preserve">Model paths:</w:t>
      </w:r>
      <w:r>
        <w:t xml:space="preserve"> </w:t>
      </w:r>
      <w:r>
        <w:t xml:space="preserve">The host searches</w:t>
      </w:r>
      <w:r>
        <w:t xml:space="preserve"> </w:t>
      </w:r>
      <w:r>
        <w:rPr>
          <w:rStyle w:val="VerbatimChar"/>
        </w:rPr>
        <w:t xml:space="preserve">$SPECCOMPILER_HOME/models/{model}</w:t>
      </w:r>
      <w:r>
        <w:t xml:space="preserve"> </w:t>
      </w:r>
      <w:r>
        <w:t xml:space="preserve">first. It then searches</w:t>
      </w:r>
      <w:r>
        <w:t xml:space="preserve"> </w:t>
      </w:r>
      <w:r>
        <w:rPr>
          <w:rStyle w:val="VerbatimChar"/>
        </w:rPr>
        <w:t xml:space="preserve">{cwd}/models/{model}</w:t>
      </w:r>
      <w:r>
        <w:t xml:space="preserve">. A missing selected or required model stops the build.</w:t>
      </w:r>
    </w:p>
    <w:p>
      <w:pPr>
        <w:pStyle w:val="SpecObjectBody"/>
      </w:pPr>
      <w:r>
        <w:rPr>
          <w:bCs/>
          <w:b/>
        </w:rPr>
        <w:t xml:space="preserve">Type discovery:</w:t>
      </w:r>
      <w:r>
        <w:t xml:space="preserve"> </w:t>
      </w:r>
      <w:r>
        <w:t xml:space="preserve">The host scans five directories under</w:t>
      </w:r>
      <w:r>
        <w:t xml:space="preserve"> </w:t>
      </w:r>
      <w:r>
        <w:rPr>
          <w:rStyle w:val="VerbatimChar"/>
        </w:rPr>
        <w:t xml:space="preserve">models/{model}/types/</w:t>
      </w:r>
      <w:r>
        <w:t xml:space="preserve">.</w:t>
      </w:r>
    </w:p>
    <w:p>
      <w:pPr>
        <w:spacing w:lineRule="exact" w:line="20" w:after="0" w:before="0"/>
        <w:rPr>
          <w:sz w:val="2"/>
        </w:rPr>
      </w:pPr>
      <w:bookmarkStart w:id="40656" w:name="FD-002-csv-tbl-type-categories"/>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The host loads Lua files in sorted order. A type can use one file or a directory with</w:t>
      </w:r>
      <w:r>
        <w:t xml:space="preserve"> </w:t>
      </w:r>
      <w:r>
        <w:rPr>
          <w:rStyle w:val="VerbatimChar"/>
        </w:rPr>
        <w:t xml:space="preserve">init.lua</w:t>
      </w:r>
      <w:r>
        <w:t xml:space="preserve">. The declared kind must match the directory category.</w:t>
      </w:r>
    </w:p>
    <w:p>
      <w:pPr>
        <w:pStyle w:val="SpecObjectBody"/>
      </w:pPr>
      <w:r>
        <w:rPr>
          <w:bCs/>
          <w:b/>
        </w:rPr>
        <w:t xml:space="preserve">Descriptor contract:</w:t>
      </w:r>
      <w:r>
        <w:t xml:space="preserve"> </w:t>
      </w:r>
      <w:r>
        <w:t xml:space="preserve">Each module returns</w:t>
      </w:r>
      <w:r>
        <w:t xml:space="preserve"> </w:t>
      </w:r>
      <w:r>
        <w:rPr>
          <w:rStyle w:val="VerbatimChar"/>
        </w:rPr>
        <w:t xml:space="preserve">{ kind, schema, hooks }</w:t>
      </w:r>
      <w:r>
        <w:t xml:space="preserve">. The</w:t>
      </w:r>
      <w:r>
        <w:t xml:space="preserve"> </w:t>
      </w:r>
      <w:r>
        <w:rPr>
          <w:rStyle w:val="VerbatimChar"/>
        </w:rPr>
        <w:t xml:space="preserve">hooks</w:t>
      </w:r>
      <w:r>
        <w:t xml:space="preserve"> </w:t>
      </w:r>
      <w:r>
        <w:t xml:space="preserve">field is optional. The host requires a known kind and a non-empty</w:t>
      </w:r>
      <w:r>
        <w:t xml:space="preserve"> </w:t>
      </w:r>
      <w:r>
        <w:rPr>
          <w:rStyle w:val="VerbatimChar"/>
        </w:rPr>
        <w:t xml:space="preserve">schema.id</w:t>
      </w:r>
      <w:r>
        <w:t xml:space="preserve">. It rejects invalid hooks and functions outside</w:t>
      </w:r>
      <w:r>
        <w:t xml:space="preserve"> </w:t>
      </w:r>
      <w:r>
        <w:rPr>
          <w:rStyle w:val="VerbatimChar"/>
        </w:rPr>
        <w:t xml:space="preserve">hooks</w:t>
      </w:r>
      <w:r>
        <w:t xml:space="preserve">.</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pecObjectBody"/>
      </w:pPr>
      <w:r>
        <w:rPr>
          <w:bCs/>
          <w:b/>
        </w:rPr>
        <w:t xml:space="preserve">Registration:</w:t>
      </w:r>
      <w:r>
        <w:t xml:space="preserve"> </w:t>
      </w:r>
      <w:r>
        <w:t xml:space="preserve">The host writes schema data to the applicable SpecIR table. It registers declared attributes and records the</w:t>
      </w:r>
      <w:r>
        <w:t xml:space="preserve"> </w:t>
      </w:r>
      <w:r>
        <w:rPr>
          <w:rStyle w:val="VerbatimChar"/>
        </w:rPr>
        <w:t xml:space="preserve">extends</w:t>
      </w:r>
      <w:r>
        <w:t xml:space="preserve"> </w:t>
      </w:r>
      <w:r>
        <w:t xml:space="preserve">relationship. It indexes each behavior hook by kind, identifier, and hook name.</w:t>
      </w:r>
    </w:p>
    <w:p>
      <w:pPr>
        <w:pStyle w:val="SpecObjectBody"/>
      </w:pPr>
      <w:r>
        <w:rPr>
          <w:bCs/>
          <w:b/>
        </w:rPr>
        <w:t xml:space="preserve">Hook inheritance:</w:t>
      </w:r>
      <w:r>
        <w:t xml:space="preserve"> </w:t>
      </w:r>
      <w:r>
        <w:rPr>
          <w:rStyle w:val="VerbatimChar"/>
        </w:rPr>
        <w:t xml:space="preserve">get_hook_inherited</w:t>
      </w:r>
      <w:r>
        <w:t xml:space="preserve"> </w:t>
      </w:r>
      <w:r>
        <w:t xml:space="preserve">searches the descriptor and then its ancestors. This lookup applies to all descriptor kinds that support</w:t>
      </w:r>
      <w:r>
        <w:t xml:space="preserve"> </w:t>
      </w:r>
      <w:r>
        <w:rPr>
          <w:rStyle w:val="VerbatimChar"/>
        </w:rPr>
        <w:t xml:space="preserve">extends</w:t>
      </w:r>
      <w:r>
        <w:t xml:space="preserve">.</w:t>
      </w:r>
    </w:p>
    <w:p>
      <w:pPr>
        <w:pStyle w:val="SpecObjectBody"/>
      </w:pPr>
      <w:r>
        <w:rPr>
          <w:bCs/>
          <w:b/>
        </w:rPr>
        <w:t xml:space="preserve">Phase hooks:</w:t>
      </w:r>
      <w:r>
        <w:t xml:space="preserve"> </w:t>
      </w:r>
      <w:r>
        <w:t xml:space="preserve">An</w:t>
      </w:r>
      <w:r>
        <w:t xml:space="preserve"> </w:t>
      </w:r>
      <w:r>
        <w:rPr>
          <w:rStyle w:val="VerbatimChar"/>
        </w:rPr>
        <w:t xml:space="preserve">on_&lt;phase&gt;</w:t>
      </w:r>
      <w:r>
        <w:t xml:space="preserve"> </w:t>
      </w:r>
      <w:r>
        <w:t xml:space="preserve">hook creates a pipeline handler named</w:t>
      </w:r>
      <w:r>
        <w:t xml:space="preserve"> </w:t>
      </w:r>
      <w:r>
        <w:rPr>
          <w:rStyle w:val="VerbatimChar"/>
        </w:rPr>
        <w:t xml:space="preserve">&lt;lowercase schema.id&gt;_handler</w:t>
      </w:r>
      <w:r>
        <w:t xml:space="preserve">. The</w:t>
      </w:r>
      <w:r>
        <w:t xml:space="preserve"> </w:t>
      </w:r>
      <w:r>
        <w:rPr>
          <w:rStyle w:val="VerbatimChar"/>
        </w:rPr>
        <w:t xml:space="preserve">schema.phase_prerequisites</w:t>
      </w:r>
      <w:r>
        <w:t xml:space="preserve"> </w:t>
      </w:r>
      <w:r>
        <w:t xml:space="preserve">field defines its ordering constraints. Phase hooks do not enter the behavior-hook index.</w:t>
      </w:r>
    </w:p>
    <w:p>
      <w:pPr>
        <w:pStyle w:val="SpecObjectBody"/>
      </w:pPr>
      <w:r>
        <w:rPr>
          <w:bCs/>
          <w:b/>
        </w:rPr>
        <w:t xml:space="preserve">Analyze queries:</w:t>
      </w:r>
      <w:r>
        <w:t xml:space="preserve"> </w:t>
      </w:r>
      <w:r>
        <w:t xml:space="preserve">The host scans</w:t>
      </w:r>
      <w:r>
        <w:t xml:space="preserve"> </w:t>
      </w:r>
      <w:r>
        <w:rPr>
          <w:rStyle w:val="VerbatimChar"/>
        </w:rPr>
        <w:t xml:space="preserve">models/{model}/analyze_queries/</w:t>
      </w:r>
      <w:r>
        <w:t xml:space="preserve">. Each descriptor uses</w:t>
      </w:r>
      <w:r>
        <w:t xml:space="preserve"> </w:t>
      </w:r>
      <w:r>
        <w:rPr>
          <w:rStyle w:val="VerbatimChar"/>
        </w:rPr>
        <w:t xml:space="preserve">kind = "analyze"</w:t>
      </w:r>
      <w:r>
        <w:t xml:space="preserve">. Repeated policy keys use later-model precedence. A descriptor with</w:t>
      </w:r>
      <w:r>
        <w:t xml:space="preserve"> </w:t>
      </w:r>
      <w:r>
        <w:rPr>
          <w:rStyle w:val="VerbatimChar"/>
        </w:rPr>
        <w:t xml:space="preserve">disabled = true</w:t>
      </w:r>
      <w:r>
        <w:t xml:space="preserve"> </w:t>
      </w:r>
      <w:r>
        <w:t xml:space="preserve">removes the policy key.</w:t>
      </w:r>
    </w:p>
    <w:p>
      <w:pPr>
        <w:pStyle w:val="SpecObjectBody"/>
      </w:pPr>
      <w:r>
        <w:rPr>
          <w:bCs/>
          <w:b/>
        </w:rPr>
        <w:t xml:space="preserve">Finalization:</w:t>
      </w:r>
      <w:r>
        <w:t xml:space="preserve"> </w:t>
      </w:r>
      <w:r>
        <w:t xml:space="preserve">After model loading, the host propagates inherited attributes. It creates analyze-query SQL views and checks required hooks. A</w:t>
      </w:r>
      <w:r>
        <w:t xml:space="preserve"> </w:t>
      </w:r>
      <w:r>
        <w:rPr>
          <w:rStyle w:val="VerbatimChar"/>
        </w:rPr>
        <w:t xml:space="preserve">TABLE_VIEW</w:t>
      </w:r>
      <w:r>
        <w:t xml:space="preserve"> </w:t>
      </w:r>
      <w:r>
        <w:t xml:space="preserve">subtype without</w:t>
      </w:r>
      <w:r>
        <w:t xml:space="preserve"> </w:t>
      </w:r>
      <w:r>
        <w:rPr>
          <w:rStyle w:val="VerbatimChar"/>
        </w:rPr>
        <w:t xml:space="preserve">build_block</w:t>
      </w:r>
      <w:r>
        <w:t xml:space="preserve"> </w:t>
      </w:r>
      <w:r>
        <w:t xml:space="preserve">stops the build.</w:t>
      </w:r>
    </w:p>
    <w:p>
      <w:pPr>
        <w:spacing w:lineRule="exact" w:line="20" w:after="0" w:before="0"/>
        <w:rPr>
          <w:sz w:val="2"/>
        </w:rPr>
      </w:pPr>
      <w:bookmarkStart w:id="60599" w:name="FD-002-puml-seq-type-loading"/>
      <w:bookmarkEnd w:id="60599"/>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Model descriptor loading</w:t>
      </w:r>
    </w:p>
    <w:p>
      <w:pPr>
        <w:pStyle w:val="SpecObjectBody"/>
      </w:pPr>
      <w:r>
        <w:drawing>
          <wp:inline>
            <wp:extent cx="5334000" cy="4785986"/>
            <wp:effectExtent b="0" l="0" r="0" t="0"/>
            <wp:docPr descr="" title="" id="86" name="Picture"/>
            <a:graphic>
              <a:graphicData uri="http://schemas.openxmlformats.org/drawingml/2006/picture">
                <pic:pic>
                  <pic:nvPicPr>
                    <pic:cNvPr descr="diagrams/e4a735658edf5a114d87044b56736a4f424ec7aa.png" id="87" name="Picture"/>
                    <pic:cNvPicPr>
                      <a:picLocks noChangeArrowheads="1" noChangeAspect="1"/>
                    </pic:cNvPicPr>
                  </pic:nvPicPr>
                  <pic:blipFill>
                    <a:blip r:embed="rId85"/>
                    <a:stretch>
                      <a:fillRect/>
                    </a:stretch>
                  </pic:blipFill>
                  <pic:spPr bwMode="auto">
                    <a:xfrm>
                      <a:off x="0" y="0"/>
                      <a:ext cx="5334000" cy="478598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8">
        <w:r>
          <w:rPr>
            <w:rStyle w:val="Hyperlink"/>
          </w:rPr>
          <w:t xml:space="preserve">srs: SF-005</w:t>
        </w:r>
      </w:hyperlink>
    </w:p>
    <w:p>
      <w:pPr>
        <w:pStyle w:val="Definition"/>
      </w:pPr>
      <w:r>
        <w:t xml:space="preserve">,</w:t>
      </w:r>
    </w:p>
    <w:p>
      <w:pPr>
        <w:pStyle w:val="Definition"/>
      </w:pPr>
      <w:r>
        <w:t xml:space="preserve"> </w:t>
      </w:r>
    </w:p>
    <w:p>
      <w:pPr>
        <w:pStyle w:val="Definition"/>
      </w:pPr>
      <w:hyperlink w:anchor="CSC-001">
        <w:r>
          <w:rPr>
            <w:rStyle w:val="Hyperlink"/>
          </w:rPr>
          <w:t xml:space="preserve">CSC-001</w:t>
        </w:r>
      </w:hyperlink>
    </w:p>
    <w:p>
      <w:pPr>
        <w:pStyle w:val="Definition"/>
      </w:pPr>
      <w:r>
        <w:t xml:space="preserve">,</w:t>
      </w:r>
    </w:p>
    <w:p>
      <w:pPr>
        <w:pStyle w:val="Definition"/>
      </w:pPr>
      <w:r>
        <w:t xml:space="preserve"> </w:t>
      </w:r>
    </w:p>
    <w:p>
      <w:pPr>
        <w:pStyle w:val="Definition"/>
      </w:pPr>
      <w:hyperlink w:anchor="CSU-008">
        <w:r>
          <w:rPr>
            <w:rStyle w:val="Hyperlink"/>
          </w:rPr>
          <w:t xml:space="preserve">CSU-008</w:t>
        </w:r>
      </w:hyperlink>
    </w:p>
    <w:p>
      <w:pPr>
        <w:pStyle w:val="SpecObjectHeader"/>
        <w:keepNext/>
        <w:outlineLvl w:val="0"/>
      </w:pPr>
      <w:bookmarkStart w:id="33064" w:name="LLR-EXT-020-01"/>
      <w:r>
        <w:t xml:space="preserve">LLR-EXT-020-01: Known Type Categories Are Scanned</w:t>
      </w:r>
      <w:bookmarkEnd w:id="33064"/>
    </w:p>
    <w:p>
      <w:pPr>
        <w:pStyle w:val="SpecObjectBody"/>
      </w:pPr>
      <w:r>
        <w:t xml:space="preserve">The host shall scan the five known type-category directories in deterministic order.</w:t>
      </w:r>
    </w:p>
    <w:p>
      <w:pPr>
        <w:pStyle w:val="DefinitionTerm"/>
      </w:pPr>
      <w:r>
        <w:rPr>
          <w:bCs/>
          <w:b/>
        </w:rPr>
        <w:t xml:space="preserve">TRACEABILITY:</w:t>
      </w:r>
    </w:p>
    <w:p>
      <w:pPr>
        <w:pStyle w:val="Definition"/>
      </w:pPr>
      <w:hyperlink r:id="rId89">
        <w:r>
          <w:rPr>
            <w:rStyle w:val="Hyperlink"/>
          </w:rPr>
          <w:t xml:space="preserve">srs: HLR-EXT-002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2855" w:name="LLR-EXT-021-01"/>
      <w:r>
        <w:t xml:space="preserve">LLR-EXT-021-01: Declared Hooks Are Indexed</w:t>
      </w:r>
      <w:bookmarkEnd w:id="62855"/>
    </w:p>
    <w:p>
      <w:pPr>
        <w:pStyle w:val="SpecObjectBody"/>
      </w:pPr>
      <w:r>
        <w:t xml:space="preserve">The host shall index each valid behavior hook by kind,</w:t>
      </w:r>
      <w:r>
        <w:t xml:space="preserve"> </w:t>
      </w:r>
      <w:r>
        <w:rPr>
          <w:rStyle w:val="VerbatimChar"/>
        </w:rPr>
        <w:t xml:space="preserve">schema.id</w:t>
      </w:r>
      <w:r>
        <w:t xml:space="preserve">, and hook name.</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2856" w:name="LLR-EXT-021-02"/>
      <w:r>
        <w:t xml:space="preserve">LLR-EXT-021-02: Attribute Display Order</w:t>
      </w:r>
      <w:bookmarkEnd w:id="62856"/>
    </w:p>
    <w:p>
      <w:pPr>
        <w:pStyle w:val="SpecObjectBody"/>
      </w:pPr>
      <w:r>
        <w:t xml:space="preserve">The standard object renderer shall render attributes listed in</w:t>
      </w:r>
      <w:r>
        <w:t xml:space="preserve"> </w:t>
      </w:r>
      <w:r>
        <w:rPr>
          <w:rStyle w:val="VerbatimChar"/>
        </w:rPr>
        <w:t xml:space="preserve">schema.attr_order</w:t>
      </w:r>
      <w:r>
        <w:t xml:space="preserve"> </w:t>
      </w:r>
      <w:r>
        <w:t xml:space="preserve">first. It shall append other attributes in alphabetical order.</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92646" w:name="LLR-EXT-022-01"/>
      <w:r>
        <w:t xml:space="preserve">LLR-EXT-022-01: Schema Identifier Validation</w:t>
      </w:r>
      <w:bookmarkEnd w:id="92646"/>
    </w:p>
    <w:p>
      <w:pPr>
        <w:pStyle w:val="SpecObjectBody"/>
      </w:pPr>
      <w:r>
        <w:t xml:space="preserve">The host shall stop model loading when a descriptor has no non-empty</w:t>
      </w:r>
      <w:r>
        <w:t xml:space="preserve"> </w:t>
      </w:r>
      <w:r>
        <w:rPr>
          <w:rStyle w:val="VerbatimChar"/>
        </w:rPr>
        <w:t xml:space="preserve">schema.id</w:t>
      </w:r>
      <w:r>
        <w:t xml:space="preserve">. It shall apply category defaults to valid schemas and register enum values.</w:t>
      </w:r>
    </w:p>
    <w:p>
      <w:pPr>
        <w:pStyle w:val="DefinitionTerm"/>
      </w:pPr>
      <w:r>
        <w:rPr>
          <w:bCs/>
          <w:b/>
        </w:rPr>
        <w:t xml:space="preserve">TRACEABILITY:</w:t>
      </w:r>
    </w:p>
    <w:p>
      <w:pPr>
        <w:pStyle w:val="Definition"/>
      </w:pPr>
      <w:hyperlink r:id="rId91">
        <w:r>
          <w:rPr>
            <w:rStyle w:val="Hyperlink"/>
          </w:rPr>
          <w:t xml:space="preserve">srs: HLR-EXT-004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22437" w:name="LLR-EXT-023-01"/>
      <w:r>
        <w:t xml:space="preserve">LLR-EXT-023-01: Model Path Resolution Order</w:t>
      </w:r>
      <w:bookmarkEnd w:id="22437"/>
    </w:p>
    <w:p>
      <w:pPr>
        <w:pStyle w:val="SpecObjectBody"/>
      </w:pPr>
      <w:r>
        <w:t xml:space="preserve">Model resolution shall check</w:t>
      </w:r>
      <w:r>
        <w:t xml:space="preserve"> </w:t>
      </w:r>
      <w:r>
        <w:rPr>
          <w:rStyle w:val="VerbatimChar"/>
        </w:rPr>
        <w:t xml:space="preserve">SPECCOMPILER_HOME/models/{model}</w:t>
      </w:r>
      <w:r>
        <w:t xml:space="preserve"> </w:t>
      </w:r>
      <w:r>
        <w:t xml:space="preserve">before</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22438" w:name="LLR-EXT-023-02"/>
      <w:r>
        <w:t xml:space="preserve">LLR-EXT-023-02: Missing Model Paths Fail Fast</w:t>
      </w:r>
      <w:bookmarkEnd w:id="22438"/>
    </w:p>
    <w:p>
      <w:pPr>
        <w:pStyle w:val="SpecObjectBody"/>
      </w:pPr>
      <w:r>
        <w:t xml:space="preserve">Model loading shall stop when neither model path contains the selected or required model.</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28" w:name="LLR-EXT-024-01"/>
      <w:r>
        <w:t xml:space="preserve">LLR-EXT-024-01: Data View Resolution</w:t>
      </w:r>
      <w:bookmarkEnd w:id="52228"/>
    </w:p>
    <w:p>
      <w:pPr>
        <w:pStyle w:val="SpecObjectBody"/>
      </w:pPr>
      <w:r>
        <w:t xml:space="preserve">Chart data loading shall use the inherited</w:t>
      </w:r>
      <w:r>
        <w:t xml:space="preserve"> </w:t>
      </w:r>
      <w:r>
        <w:rPr>
          <w:rStyle w:val="VerbatimChar"/>
        </w:rPr>
        <w:t xml:space="preserve">dataset</w:t>
      </w:r>
      <w:r>
        <w:t xml:space="preserve"> </w:t>
      </w:r>
      <w:r>
        <w:t xml:space="preserve">hook for the requested view. Fixture modules outside the host index can use the loose-module loader.</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29" w:name="LLR-EXT-024-02"/>
      <w:r>
        <w:t xml:space="preserve">LLR-EXT-024-02: Sankey Data Injection</w:t>
      </w:r>
      <w:bookmarkEnd w:id="52229"/>
    </w:p>
    <w:p>
      <w:pPr>
        <w:pStyle w:val="SpecObjectBody"/>
      </w:pPr>
      <w:r>
        <w:t xml:space="preserve">For a Sankey series, chart injection shall copy returned</w:t>
      </w:r>
      <w:r>
        <w:t xml:space="preserve"> </w:t>
      </w:r>
      <w:r>
        <w:rPr>
          <w:rStyle w:val="VerbatimChar"/>
        </w:rPr>
        <w:t xml:space="preserve">data</w:t>
      </w:r>
      <w:r>
        <w:t xml:space="preserve"> </w:t>
      </w:r>
      <w:r>
        <w:t xml:space="preserve">and</w:t>
      </w:r>
      <w:r>
        <w:t xml:space="preserve"> </w:t>
      </w:r>
      <w:r>
        <w:rPr>
          <w:rStyle w:val="VerbatimChar"/>
        </w:rPr>
        <w:t xml:space="preserve">links</w:t>
      </w:r>
      <w:r>
        <w:t xml:space="preserve"> </w:t>
      </w:r>
      <w:r>
        <w:t xml:space="preserve">to the first series. It shall remove the conflicting dataset.</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30" w:name="LLR-EXT-024-03"/>
      <w:r>
        <w:t xml:space="preserve">LLR-EXT-024-03: Unsupported View Data</w:t>
      </w:r>
      <w:bookmarkEnd w:id="52230"/>
    </w:p>
    <w:p>
      <w:pPr>
        <w:pStyle w:val="SpecObjectBody"/>
      </w:pPr>
      <w:r>
        <w:t xml:space="preserve">Chart injection shall preserve the chart configuration when no view is specified or the view returns an unsupported shape.</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7" w:name="LLR-094"/>
      <w:r>
        <w:t xml:space="preserve">LLR-094: Phase Hook Registration</w:t>
      </w:r>
      <w:bookmarkEnd w:id="12497"/>
    </w:p>
    <w:p>
      <w:pPr>
        <w:pStyle w:val="SpecObjectBody"/>
      </w:pPr>
      <w:r>
        <w:t xml:space="preserve">The host shall register descriptor</w:t>
      </w:r>
      <w:r>
        <w:t xml:space="preserve"> </w:t>
      </w:r>
      <w:r>
        <w:rPr>
          <w:rStyle w:val="VerbatimChar"/>
        </w:rPr>
        <w:t xml:space="preserve">on_&lt;phase&gt;</w:t>
      </w:r>
      <w:r>
        <w:t xml:space="preserve"> </w:t>
      </w:r>
      <w:r>
        <w:t xml:space="preserve">hooks with the pipeline.</w:t>
      </w:r>
    </w:p>
    <w:p>
      <w:pPr>
        <w:pStyle w:val="DefinitionTerm"/>
      </w:pPr>
      <w:r>
        <w:rPr>
          <w:bCs/>
          <w:b/>
        </w:rPr>
        <w:t xml:space="preserve">TRACEABILITY:</w:t>
      </w:r>
    </w:p>
    <w:p>
      <w:pPr>
        <w:pStyle w:val="Definition"/>
      </w:pPr>
      <w:hyperlink r:id="rId94">
        <w:r>
          <w:rPr>
            <w:rStyle w:val="Hyperlink"/>
          </w:rPr>
          <w:t xml:space="preserve">srs: HLR-EXT-001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8" w:name="LLR-095"/>
      <w:r>
        <w:t xml:space="preserve">LLR-095: Data View Discovery</w:t>
      </w:r>
      <w:bookmarkEnd w:id="12498"/>
    </w:p>
    <w:p>
      <w:pPr>
        <w:pStyle w:val="SpecObjectBody"/>
      </w:pPr>
      <w:r>
        <w:t xml:space="preserve">The host shall register view descriptors from</w:t>
      </w:r>
      <w:r>
        <w:t xml:space="preserve"> </w:t>
      </w:r>
      <w:r>
        <w:rPr>
          <w:rStyle w:val="VerbatimChar"/>
        </w:rPr>
        <w:t xml:space="preserve">models/{model}/types/views/</w:t>
      </w:r>
      <w:r>
        <w:t xml:space="preserve">.</w:t>
      </w:r>
    </w:p>
    <w:p>
      <w:pPr>
        <w:pStyle w:val="DefinitionTerm"/>
      </w:pPr>
      <w:r>
        <w:rPr>
          <w:bCs/>
          <w:b/>
        </w:rPr>
        <w:t xml:space="preserve">TRACEABILITY:</w:t>
      </w:r>
    </w:p>
    <w:p>
      <w:pPr>
        <w:pStyle w:val="Definition"/>
      </w:pPr>
      <w:hyperlink r:id="rId95">
        <w:r>
          <w:rPr>
            <w:rStyle w:val="Hyperlink"/>
          </w:rPr>
          <w:t xml:space="preserve">srs: HLR-EXT-007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9" w:name="LLR-096"/>
      <w:r>
        <w:t xml:space="preserve">LLR-096: Hook Index Lookup</w:t>
      </w:r>
      <w:bookmarkEnd w:id="12499"/>
    </w:p>
    <w:p>
      <w:pPr>
        <w:pStyle w:val="SpecObjectBody"/>
      </w:pPr>
      <w:r>
        <w:t xml:space="preserve">The host shall return direct hooks from its index and inherited hooks from the</w:t>
      </w:r>
      <w:r>
        <w:t xml:space="preserve"> </w:t>
      </w:r>
      <w:r>
        <w:rPr>
          <w:rStyle w:val="VerbatimChar"/>
        </w:rPr>
        <w:t xml:space="preserve">extends</w:t>
      </w:r>
      <w:r>
        <w:t xml:space="preserve"> </w:t>
      </w:r>
      <w:r>
        <w:t xml:space="preserve">chain. An absent hook shall return nil.</w:t>
      </w:r>
    </w:p>
    <w:p>
      <w:pPr>
        <w:pStyle w:val="DefinitionTerm"/>
      </w:pPr>
      <w:r>
        <w:rPr>
          <w:bCs/>
          <w:b/>
        </w:rPr>
        <w:t xml:space="preserve">TRACEABILITY:</w:t>
      </w:r>
    </w:p>
    <w:p>
      <w:pPr>
        <w:pStyle w:val="Definition"/>
      </w:pPr>
      <w:hyperlink r:id="rId96">
        <w:r>
          <w:rPr>
            <w:rStyle w:val="Hyperlink"/>
          </w:rPr>
          <w:t xml:space="preserve">srs: HLR-EXT-008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42774" w:name="DD-CORE-006"/>
      <w:r>
        <w:t xml:space="preserve">DD-CORE-006: Lua Type System with Inheritance</w:t>
      </w:r>
      <w:bookmarkEnd w:id="42774"/>
    </w:p>
    <w:p>
      <w:pPr>
        <w:pStyle w:val="SpecObjectBody"/>
      </w:pPr>
      <w:r>
        <w:t xml:space="preserve">SpecCompiler shall use Lua descriptor modules for model types.</w:t>
      </w:r>
    </w:p>
    <w:p>
      <w:pPr>
        <w:pStyle w:val="DefinitionTerm"/>
      </w:pPr>
      <w:r>
        <w:rPr>
          <w:bCs/>
          <w:b/>
        </w:rPr>
        <w:t xml:space="preserve">RATIONALE:</w:t>
      </w:r>
    </w:p>
    <w:p>
      <w:pPr>
        <w:pStyle w:val="Definition"/>
      </w:pPr>
      <w:r>
        <w:t xml:space="preserve">Lua supports computed schema data and co-locates behavior with its type. The</w:t>
      </w:r>
      <w:r>
        <w:t xml:space="preserve"> </w:t>
      </w:r>
      <w:r>
        <w:rPr>
          <w:rStyle w:val="VerbatimChar"/>
        </w:rPr>
        <w:t xml:space="preserve">extends</w:t>
      </w:r>
      <w:r>
        <w:t xml:space="preserve"> </w:t>
      </w:r>
      <w:r>
        <w:t xml:space="preserve">field supports attribute and hook inheritance. Ordered model loading supports replacement without changes to the default model.</w:t>
      </w:r>
    </w:p>
    <w:bookmarkEnd w:id="97"/>
    <w:bookmarkStart w:id="111" w:name="SDD-001-sec1.5"/>
    <w:p>
      <w:pPr>
        <w:pStyle w:val="Heading2"/>
      </w:pPr>
      <w:r>
        <w:t xml:space="preserve">Storage Design</w:t>
      </w:r>
    </w:p>
    <w:p>
      <w:pPr>
        <w:pStyle w:val="SpecObjectHeader"/>
        <w:keepNext/>
        <w:outlineLvl w:val="0"/>
      </w:pPr>
      <w:bookmarkStart w:id="28261" w:name="FD-003"/>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8">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8"/>
        </w:numPr>
        <w:pStyle w:val="Compact"/>
      </w:pPr>
      <w:r>
        <w:rPr>
          <w:rStyle w:val="VerbatimChar"/>
        </w:rPr>
        <w:t xml:space="preserve">specifications</w:t>
      </w:r>
      <w:r>
        <w:t xml:space="preserve"> </w:t>
      </w:r>
      <w:r>
        <w:t xml:space="preserve">— Document-level containers with header AST and metadata</w:t>
      </w:r>
    </w:p>
    <w:p>
      <w:pPr>
        <w:numPr>
          <w:ilvl w:val="0"/>
          <w:numId w:val="1008"/>
        </w:numPr>
        <w:pStyle w:val="Compact"/>
      </w:pPr>
      <w:r>
        <w:rPr>
          <w:rStyle w:val="VerbatimChar"/>
        </w:rPr>
        <w:t xml:space="preserve">spec_objects</w:t>
      </w:r>
      <w:r>
        <w:t xml:space="preserve"> </w:t>
      </w:r>
      <w:r>
        <w:t xml:space="preserve">— Typed content blocks with AST, file position, and specification scope</w:t>
      </w:r>
    </w:p>
    <w:p>
      <w:pPr>
        <w:numPr>
          <w:ilvl w:val="0"/>
          <w:numId w:val="1008"/>
        </w:numPr>
        <w:pStyle w:val="Compact"/>
      </w:pPr>
      <w:r>
        <w:rPr>
          <w:rStyle w:val="VerbatimChar"/>
        </w:rPr>
        <w:t xml:space="preserve">spec_floats</w:t>
      </w:r>
      <w:r>
        <w:t xml:space="preserve"> </w:t>
      </w:r>
      <w:r>
        <w:t xml:space="preserve">— Embedded figures, listings, tables with render state</w:t>
      </w:r>
    </w:p>
    <w:p>
      <w:pPr>
        <w:numPr>
          <w:ilvl w:val="0"/>
          <w:numId w:val="1008"/>
        </w:numPr>
        <w:pStyle w:val="Compact"/>
      </w:pPr>
      <w:r>
        <w:rPr>
          <w:rStyle w:val="VerbatimChar"/>
        </w:rPr>
        <w:t xml:space="preserve">spec_views</w:t>
      </w:r>
      <w:r>
        <w:t xml:space="preserve"> </w:t>
      </w:r>
      <w:r>
        <w:t xml:space="preserve">— Materialized data views (TOC, LOF, traceability matrices)</w:t>
      </w:r>
    </w:p>
    <w:p>
      <w:pPr>
        <w:numPr>
          <w:ilvl w:val="0"/>
          <w:numId w:val="1008"/>
        </w:numPr>
        <w:pStyle w:val="Compact"/>
      </w:pPr>
      <w:r>
        <w:rPr>
          <w:rStyle w:val="VerbatimChar"/>
        </w:rPr>
        <w:t xml:space="preserve">spec_relations</w:t>
      </w:r>
      <w:r>
        <w:t xml:space="preserve"> </w:t>
      </w:r>
      <w:r>
        <w:t xml:space="preserve">— Links between objects with type inference results</w:t>
      </w:r>
    </w:p>
    <w:p>
      <w:pPr>
        <w:numPr>
          <w:ilvl w:val="0"/>
          <w:numId w:val="1008"/>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99">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lineRule="exact" w:line="20" w:after="0" w:before="0"/>
        <w:rPr>
          <w:sz w:val="2"/>
        </w:rPr>
      </w:pPr>
      <w:bookmarkStart w:id="32883" w:name="FD-003-puml-fd-003-storage"/>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465102"/>
            <wp:effectExtent b="0" l="0" r="0" t="0"/>
            <wp:docPr descr="" title="" id="101" name="Picture"/>
            <a:graphic>
              <a:graphicData uri="http://schemas.openxmlformats.org/drawingml/2006/picture">
                <pic:pic>
                  <pic:nvPicPr>
                    <pic:cNvPr descr="diagrams/cff5b489e98bf4f22e4e82e6deebf3d8aab175eb.png" id="102" name="Picture"/>
                    <pic:cNvPicPr>
                      <a:picLocks noChangeArrowheads="1" noChangeAspect="1"/>
                    </pic:cNvPicPr>
                  </pic:nvPicPr>
                  <pic:blipFill>
                    <a:blip r:embed="rId100"/>
                    <a:stretch>
                      <a:fillRect/>
                    </a:stretch>
                  </pic:blipFill>
                  <pic:spPr bwMode="auto">
                    <a:xfrm>
                      <a:off x="0" y="0"/>
                      <a:ext cx="5334000" cy="546510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3">
        <w:r>
          <w:rPr>
            <w:rStyle w:val="Hyperlink"/>
          </w:rPr>
          <w:t xml:space="preserve">srs: SF-002</w:t>
        </w:r>
      </w:hyperlink>
    </w:p>
    <w:p>
      <w:pPr>
        <w:pStyle w:val="SpecObjectHeader"/>
        <w:keepNext/>
        <w:outlineLvl w:val="0"/>
      </w:pPr>
      <w:bookmarkStart w:id="59372" w:name="LLR-DB-007-01"/>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9373" w:name="LLR-DB-007-02"/>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9163" w:name="LLR-DB-008-01"/>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5">
        <w:r>
          <w:rPr>
            <w:rStyle w:val="Hyperlink"/>
          </w:rPr>
          <w:t xml:space="preserve">srs: HLR-STOR-002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5" w:name="LLR-047"/>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6">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6" w:name="LLR-048"/>
      <w:r>
        <w:t xml:space="preserve">LLR-048: Build Cache Dirty on Missing Entry</w:t>
      </w:r>
      <w:bookmarkEnd w:id="12346"/>
    </w:p>
    <w:p>
      <w:pPr>
        <w:pStyle w:val="SpecObjectBody"/>
      </w:pPr>
      <w:r>
        <w:t xml:space="preserve">Given a document path with no root node recorded in the</w:t>
      </w:r>
      <w:r>
        <w:t xml:space="preserve"> </w:t>
      </w:r>
      <w:hyperlink r:id="rId106">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7" w:name="LLR-049"/>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99">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69" w:name="LLR-050"/>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0" w:name="LLR-051"/>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6">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1" w:name="LLR-052"/>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6">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2" w:name="LLR-053"/>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8">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3" w:name="LLR-054"/>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42775" w:name="DD-CORE-007"/>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09"/>
        </w:numPr>
        <w:pStyle w:val="Compact"/>
      </w:pPr>
      <w:r>
        <w:t xml:space="preserve">SHA1 of document content detects actual changes, ignoring timestamp-only modifications</w:t>
      </w:r>
    </w:p>
    <w:p>
      <w:pPr>
        <w:numPr>
          <w:ilvl w:val="0"/>
          <w:numId w:val="1009"/>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09"/>
        </w:numPr>
        <w:pStyle w:val="Compact"/>
      </w:pPr>
      <w:r>
        <w:t xml:space="preserve">Missing include files force cache miss (hash returns nil), preventing stale IR state</w:t>
      </w:r>
    </w:p>
    <w:p>
      <w:pPr>
        <w:numPr>
          <w:ilvl w:val="0"/>
          <w:numId w:val="1009"/>
        </w:numPr>
        <w:pStyle w:val="Compact"/>
      </w:pPr>
      <w:r>
        <w:t xml:space="preserve">Deferred cache updates (after successful pipeline execution) prevent stale entries on error</w:t>
      </w:r>
    </w:p>
    <w:p>
      <w:pPr>
        <w:numPr>
          <w:ilvl w:val="0"/>
          <w:numId w:val="1009"/>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09"/>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09"/>
        </w:numPr>
        <w:pStyle w:val="Compact"/>
      </w:pPr>
      <w:r>
        <w:t xml:space="preserve">Alternative of file timestamps rejected: unreliable across platforms (git checkout, copy, WSL2 clock skew)</w:t>
      </w:r>
    </w:p>
    <w:p>
      <w:pPr>
        <w:numPr>
          <w:ilvl w:val="0"/>
          <w:numId w:val="1009"/>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id="94097" w:name="DD-DB-002"/>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0"/>
        </w:numPr>
        <w:pStyle w:val="Compact"/>
      </w:pPr>
      <w:r>
        <w:t xml:space="preserve">Views generated after type loading, when attribute definitions are known</w:t>
      </w:r>
    </w:p>
    <w:p>
      <w:pPr>
        <w:numPr>
          <w:ilvl w:val="0"/>
          <w:numId w:val="1010"/>
        </w:numPr>
        <w:pStyle w:val="Compact"/>
      </w:pPr>
      <w:r>
        <w:t xml:space="preserve">One view per non-composite object type (view_{type}_objects) with type-appropriate MAX(CASE) pivot expressions</w:t>
      </w:r>
    </w:p>
    <w:p>
      <w:pPr>
        <w:numPr>
          <w:ilvl w:val="0"/>
          <w:numId w:val="1010"/>
        </w:numPr>
        <w:pStyle w:val="Compact"/>
      </w:pPr>
      <w:r>
        <w:t xml:space="preserve">Datatype-aware column selection (string_value for STRING, int_value for INTEGER, etc.)</w:t>
      </w:r>
    </w:p>
    <w:p>
      <w:pPr>
        <w:numPr>
          <w:ilvl w:val="0"/>
          <w:numId w:val="1010"/>
        </w:numPr>
        <w:pStyle w:val="Compact"/>
      </w:pPr>
      <w:r>
        <w:t xml:space="preserve">External tools query familiar columnar views instead of raw EAV tables</w:t>
      </w:r>
    </w:p>
    <w:p>
      <w:pPr>
        <w:numPr>
          <w:ilvl w:val="0"/>
          <w:numId w:val="1010"/>
        </w:numPr>
        <w:pStyle w:val="Compact"/>
      </w:pPr>
      <w:r>
        <w:t xml:space="preserve">Three-stage view initialization: resolution views first, public API views second, EAV pivots last</w:t>
      </w:r>
    </w:p>
    <w:p>
      <w:pPr>
        <w:numPr>
          <w:ilvl w:val="0"/>
          <w:numId w:val="1010"/>
        </w:numPr>
        <w:pStyle w:val="Compact"/>
      </w:pPr>
      <w:r>
        <w:t xml:space="preserve">Alternative of application-layer pivoting rejected: pushes N+1 query patterns to every consumer</w:t>
      </w:r>
    </w:p>
    <w:bookmarkEnd w:id="111"/>
    <w:bookmarkStart w:id="129" w:name="SDD-001-sec1.6"/>
    <w:p>
      <w:pPr>
        <w:pStyle w:val="Heading2"/>
      </w:pPr>
      <w:r>
        <w:t xml:space="preserve">Output Design</w:t>
      </w:r>
    </w:p>
    <w:p>
      <w:pPr>
        <w:pStyle w:val="SpecObjectHeader"/>
        <w:keepNext/>
        <w:outlineLvl w:val="0"/>
      </w:pPr>
      <w:bookmarkStart w:id="28262" w:name="FD-004"/>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1"/>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1"/>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1"/>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1"/>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2"/>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2"/>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2"/>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2"/>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2"/>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2">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2"/>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2"/>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lineRule="exact" w:line="20" w:after="0" w:before="0"/>
        <w:rPr>
          <w:sz w:val="2"/>
        </w:rPr>
      </w:pPr>
      <w:bookmarkStart w:id="40092" w:name="FD-004-puml-fd-004-transform-emit"/>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14" name="Picture"/>
            <a:graphic>
              <a:graphicData uri="http://schemas.openxmlformats.org/drawingml/2006/picture">
                <pic:pic>
                  <pic:nvPicPr>
                    <pic:cNvPr descr="diagrams/e28d080ddc0180b8fc9bfd866dceadcca81c365e.png" id="115" name="Picture"/>
                    <pic:cNvPicPr>
                      <a:picLocks noChangeArrowheads="1" noChangeAspect="1"/>
                    </pic:cNvPicPr>
                  </pic:nvPicPr>
                  <pic:blipFill>
                    <a:blip r:embed="rId113"/>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6">
        <w:r>
          <w:rPr>
            <w:rStyle w:val="Hyperlink"/>
          </w:rPr>
          <w:t xml:space="preserve">srs: SF-004</w:t>
        </w:r>
      </w:hyperlink>
    </w:p>
    <w:p>
      <w:pPr>
        <w:pStyle w:val="SpecObjectHeader"/>
        <w:keepNext/>
        <w:outlineLvl w:val="0"/>
      </w:pPr>
      <w:bookmarkStart w:id="95570" w:name="LLR-OUT-029-01"/>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17">
        <w:r>
          <w:rPr>
            <w:rStyle w:val="Hyperlink"/>
          </w:rPr>
          <w:t xml:space="preserve">srs: HLR-OUT-005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1" w:name="LLR-070"/>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2" w:name="LLR-071"/>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all Pandoc Header levels by the same amount. The shallowest included heading shall be one level below the active heading. The handler shall preserve relative depths and combine shifts across nested includes. A</w:t>
      </w:r>
      <w:r>
        <w:t xml:space="preserve"> </w:t>
      </w:r>
      <w:r>
        <w:rPr>
          <w:rStyle w:val="VerbatimChar"/>
        </w:rPr>
        <w:t xml:space="preserve">----</w:t>
      </w:r>
      <w:r>
        <w:t xml:space="preserve"> </w:t>
      </w:r>
      <w:r>
        <w:t xml:space="preserve">section close shall reduce the active level by one. Without an active heading, the handler shall preserve source levels. The source file can start at any heading level. The handler shall preserve computed levels greater than 6.</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3" w:name="LLR-072"/>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19">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0">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4" w:name="LLR-073"/>
      <w:r>
        <w:t xml:space="preserve">LLR-073: Float Placeholder Label Matching</w:t>
      </w:r>
      <w:bookmarkEnd w:id="12434"/>
    </w:p>
    <w:p>
      <w:pPr>
        <w:pStyle w:val="SpecObjectBody"/>
      </w:pPr>
      <w:r>
        <w:t xml:space="preserve">Given a</w:t>
      </w:r>
      <w:r>
        <w:t xml:space="preserve"> </w:t>
      </w:r>
      <w:hyperlink r:id="rId120">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5" w:name="LLR-074"/>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2">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6" w:name="LLR-075"/>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3">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4">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7" w:name="LLR-076"/>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2">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8" w:name="LLR-077"/>
      <w:r>
        <w:t xml:space="preserve">LLR-077: Shared Counter Group Numbering</w:t>
      </w:r>
      <w:bookmarkEnd w:id="12438"/>
    </w:p>
    <w:p>
      <w:pPr>
        <w:pStyle w:val="SpecObjectBody"/>
      </w:pPr>
      <w:r>
        <w:t xml:space="preserve">When float types share a</w:t>
      </w:r>
      <w:r>
        <w:t xml:space="preserve"> </w:t>
      </w:r>
      <w:hyperlink r:id="rId122">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9" w:name="LLR-078"/>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40" w:name="LLR-079"/>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2" w:name="LLR-080"/>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3" w:name="LLR-081"/>
      <w:r>
        <w:t xml:space="preserve">LLR-081: HTML5 Search Index Bundling</w:t>
      </w:r>
      <w:bookmarkEnd w:id="12463"/>
    </w:p>
    <w:p>
      <w:pPr>
        <w:pStyle w:val="SpecObjectBody"/>
      </w:pPr>
      <w:r>
        <w:t xml:space="preserve">When</w:t>
      </w:r>
      <w:r>
        <w:t xml:space="preserve"> </w:t>
      </w:r>
      <w:hyperlink r:id="rId112">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4" w:name="LLR-082"/>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5" w:name="LLR-083"/>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2">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00" w:name="DD-INFRA-001"/>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3"/>
        </w:numPr>
        <w:pStyle w:val="Compact"/>
      </w:pPr>
      <w:r>
        <w:t xml:space="preserve">Machine-parseable log output for CI/CD integration</w:t>
      </w:r>
    </w:p>
    <w:p>
      <w:pPr>
        <w:numPr>
          <w:ilvl w:val="0"/>
          <w:numId w:val="1013"/>
        </w:numPr>
        <w:pStyle w:val="Compact"/>
      </w:pPr>
      <w:r>
        <w:t xml:space="preserve">Structured data (level, message, timestamp, context)</w:t>
      </w:r>
    </w:p>
    <w:p>
      <w:pPr>
        <w:numPr>
          <w:ilvl w:val="0"/>
          <w:numId w:val="1013"/>
        </w:numPr>
        <w:pStyle w:val="Compact"/>
      </w:pPr>
      <w:r>
        <w:t xml:space="preserve">Easy filtering and analysis with standard tools (jq)</w:t>
      </w:r>
    </w:p>
    <w:p>
      <w:pPr>
        <w:numPr>
          <w:ilvl w:val="0"/>
          <w:numId w:val="1013"/>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id="52201" w:name="DD-INFRA-002"/>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4"/>
        </w:numPr>
        <w:pStyle w:val="Compact"/>
      </w:pPr>
      <w:r>
        <w:t xml:space="preserve">External renderers (PlantUML, ECharts) run concurrently</w:t>
      </w:r>
    </w:p>
    <w:p>
      <w:pPr>
        <w:numPr>
          <w:ilvl w:val="0"/>
          <w:numId w:val="1014"/>
        </w:numPr>
        <w:pStyle w:val="Compact"/>
      </w:pPr>
      <w:r>
        <w:t xml:space="preserve">Pandoc output generation runs in parallel for multiple formats</w:t>
      </w:r>
    </w:p>
    <w:p>
      <w:pPr>
        <w:numPr>
          <w:ilvl w:val="0"/>
          <w:numId w:val="1014"/>
        </w:numPr>
        <w:pStyle w:val="Compact"/>
      </w:pPr>
      <w:r>
        <w:t xml:space="preserve">luv provides cross-platform async I/O without external dependencies</w:t>
      </w:r>
    </w:p>
    <w:p>
      <w:pPr>
        <w:pStyle w:val="SpecObjectHeader"/>
        <w:keepNext/>
        <w:outlineLvl w:val="0"/>
      </w:pPr>
      <w:bookmarkStart w:id="52202" w:name="DD-INFRA-003"/>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5"/>
        </w:numPr>
        <w:pStyle w:val="Compact"/>
      </w:pPr>
      <w:r>
        <w:t xml:space="preserve">Loads style definitions from Lua files</w:t>
      </w:r>
    </w:p>
    <w:p>
      <w:pPr>
        <w:numPr>
          <w:ilvl w:val="0"/>
          <w:numId w:val="1015"/>
        </w:numPr>
        <w:pStyle w:val="Compact"/>
      </w:pPr>
      <w:r>
        <w:t xml:space="preserve">Generates reference.docx with custom styles</w:t>
      </w:r>
    </w:p>
    <w:p>
      <w:pPr>
        <w:numPr>
          <w:ilvl w:val="0"/>
          <w:numId w:val="1015"/>
        </w:numPr>
        <w:pStyle w:val="Compact"/>
      </w:pPr>
      <w:r>
        <w:t xml:space="preserve">Caches generated reference based on preset hash</w:t>
      </w:r>
    </w:p>
    <w:p>
      <w:pPr>
        <w:numPr>
          <w:ilvl w:val="0"/>
          <w:numId w:val="1015"/>
        </w:numPr>
        <w:pStyle w:val="Compact"/>
      </w:pPr>
      <w:r>
        <w:t xml:space="preserve">Enables style changes without modifying source documents</w:t>
      </w:r>
    </w:p>
    <w:p>
      <w:pPr>
        <w:pStyle w:val="SpecObjectHeader"/>
        <w:keepNext/>
        <w:outlineLvl w:val="0"/>
      </w:pPr>
      <w:bookmarkStart w:id="59763" w:name="DD-TOOLS-001"/>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6"/>
        </w:numPr>
        <w:pStyle w:val="Compact"/>
      </w:pPr>
      <w:r>
        <w:t xml:space="preserve">Single-file TypeScript execution without build step</w:t>
      </w:r>
    </w:p>
    <w:p>
      <w:pPr>
        <w:numPr>
          <w:ilvl w:val="0"/>
          <w:numId w:val="1016"/>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6"/>
        </w:numPr>
        <w:pStyle w:val="Compact"/>
      </w:pPr>
      <w:r>
        <w:t xml:space="preserve">Permission-based security model</w:t>
      </w:r>
    </w:p>
    <w:p>
      <w:pPr>
        <w:numPr>
          <w:ilvl w:val="0"/>
          <w:numId w:val="1016"/>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id="42773" w:name="DD-CORE-005"/>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7"/>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7"/>
        </w:numPr>
        <w:pStyle w:val="Compact"/>
      </w:pPr>
      <w:r>
        <w:t xml:space="preserve">Lua filter API enables in-process AST manipulation without subprocess overhead for parsing</w:t>
      </w:r>
    </w:p>
    <w:p>
      <w:pPr>
        <w:numPr>
          <w:ilvl w:val="0"/>
          <w:numId w:val="1017"/>
        </w:numPr>
        <w:pStyle w:val="Compact"/>
      </w:pPr>
      <w:r>
        <w:t xml:space="preserve">Multi-format output (DOCX, HTML5, Markdown, LaTeX/PDF, JSON) from a single intermediate representation</w:t>
      </w:r>
    </w:p>
    <w:p>
      <w:pPr>
        <w:numPr>
          <w:ilvl w:val="0"/>
          <w:numId w:val="1017"/>
        </w:numPr>
        <w:pStyle w:val="Compact"/>
      </w:pPr>
      <w:r>
        <w:rPr>
          <w:rStyle w:val="VerbatimChar"/>
        </w:rPr>
        <w:t xml:space="preserve">--reference-doc</w:t>
      </w:r>
      <w:r>
        <w:t xml:space="preserve"> </w:t>
      </w:r>
      <w:r>
        <w:t xml:space="preserve">support enables DOCX style customization via generated reference.docx</w:t>
      </w:r>
    </w:p>
    <w:p>
      <w:pPr>
        <w:numPr>
          <w:ilvl w:val="0"/>
          <w:numId w:val="1017"/>
        </w:numPr>
        <w:pStyle w:val="Compact"/>
      </w:pPr>
      <w:r>
        <w:rPr>
          <w:rStyle w:val="VerbatimChar"/>
        </w:rPr>
        <w:t xml:space="preserve">--lua-filter</w:t>
      </w:r>
      <w:r>
        <w:t xml:space="preserve"> </w:t>
      </w:r>
      <w:r>
        <w:t xml:space="preserve">support enables format-specific transformations (docx.lua, html.lua)</w:t>
      </w:r>
    </w:p>
    <w:p>
      <w:pPr>
        <w:numPr>
          <w:ilvl w:val="0"/>
          <w:numId w:val="1017"/>
        </w:numPr>
        <w:pStyle w:val="Compact"/>
      </w:pPr>
      <w:r>
        <w:t xml:space="preserve">Native bibliography support (–bibliography, –csl) for citation processing</w:t>
      </w:r>
    </w:p>
    <w:p>
      <w:pPr>
        <w:numPr>
          <w:ilvl w:val="0"/>
          <w:numId w:val="1017"/>
        </w:numPr>
        <w:pStyle w:val="Compact"/>
      </w:pPr>
      <w:r>
        <w:t xml:space="preserve">Broad ecosystem adoption provides stability and community support</w:t>
      </w:r>
    </w:p>
    <w:bookmarkEnd w:id="129"/>
    <w:bookmarkStart w:id="145" w:name="SDD-001-sec1.7"/>
    <w:p>
      <w:pPr>
        <w:pStyle w:val="Heading2"/>
      </w:pPr>
      <w:r>
        <w:t xml:space="preserve">Model Design</w:t>
      </w:r>
    </w:p>
    <w:p>
      <w:pPr>
        <w:pStyle w:val="SpecObjectHeader"/>
        <w:keepNext/>
        <w:outlineLvl w:val="0"/>
      </w:pPr>
      <w:bookmarkStart w:id="28263" w:name="FD-005"/>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0">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the descriptor fields.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CSC-017</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CSC-022</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CSC-023</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CSC-024</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CSC-018</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CSC-019</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CSC-021</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lineRule="exact" w:line="20" w:after="0" w:before="0"/>
        <w:rPr>
          <w:sz w:val="2"/>
        </w:rPr>
      </w:pPr>
      <w:bookmarkStart w:id="84709" w:name="FD-005-puml-fd-005-model"/>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32" name="Picture"/>
            <a:graphic>
              <a:graphicData uri="http://schemas.openxmlformats.org/drawingml/2006/picture">
                <pic:pic>
                  <pic:nvPicPr>
                    <pic:cNvPr descr="diagrams/3c17da8a9162d501aab06b7d153eee622567f6fd.png" id="133" name="Picture"/>
                    <pic:cNvPicPr>
                      <a:picLocks noChangeArrowheads="1" noChangeAspect="1"/>
                    </pic:cNvPicPr>
                  </pic:nvPicPr>
                  <pic:blipFill>
                    <a:blip r:embed="rId131"/>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4">
        <w:r>
          <w:rPr>
            <w:rStyle w:val="Hyperlink"/>
          </w:rPr>
          <w:t xml:space="preserve">srs: SF-003</w:t>
        </w:r>
      </w:hyperlink>
    </w:p>
    <w:p>
      <w:pPr>
        <w:pStyle w:val="Definition"/>
      </w:pPr>
      <w:r>
        <w:t xml:space="preserve">,</w:t>
      </w:r>
    </w:p>
    <w:p>
      <w:pPr>
        <w:pStyle w:val="Definition"/>
      </w:pPr>
      <w:r>
        <w:t xml:space="preserve"> </w:t>
      </w:r>
    </w:p>
    <w:p>
      <w:pPr>
        <w:pStyle w:val="Definition"/>
      </w:pPr>
      <w:hyperlink w:anchor="CSC-017">
        <w:r>
          <w:rPr>
            <w:rStyle w:val="Hyperlink"/>
          </w:rPr>
          <w:t xml:space="preserve">CSC-017</w:t>
        </w:r>
      </w:hyperlink>
    </w:p>
    <w:p>
      <w:pPr>
        <w:pStyle w:val="Definition"/>
      </w:pPr>
      <w:r>
        <w:t xml:space="preserve">,</w:t>
      </w:r>
    </w:p>
    <w:p>
      <w:pPr>
        <w:pStyle w:val="Definition"/>
      </w:pPr>
      <w:r>
        <w:t xml:space="preserve"> </w:t>
      </w:r>
    </w:p>
    <w:p>
      <w:pPr>
        <w:pStyle w:val="Definition"/>
      </w:pPr>
      <w:hyperlink w:anchor="CSC-018">
        <w:r>
          <w:rPr>
            <w:rStyle w:val="Hyperlink"/>
          </w:rPr>
          <w:t xml:space="preserve">CSC-018</w:t>
        </w:r>
      </w:hyperlink>
    </w:p>
    <w:p>
      <w:pPr>
        <w:pStyle w:val="Definition"/>
      </w:pPr>
      <w:r>
        <w:t xml:space="preserve">,</w:t>
      </w:r>
    </w:p>
    <w:p>
      <w:pPr>
        <w:pStyle w:val="Definition"/>
      </w:pPr>
      <w:r>
        <w:t xml:space="preserve"> </w:t>
      </w:r>
    </w:p>
    <w:p>
      <w:pPr>
        <w:pStyle w:val="Definition"/>
      </w:pPr>
      <w:hyperlink w:anchor="CSC-019">
        <w:r>
          <w:rPr>
            <w:rStyle w:val="Hyperlink"/>
          </w:rPr>
          <w:t xml:space="preserve">CSC-019</w:t>
        </w:r>
      </w:hyperlink>
    </w:p>
    <w:p>
      <w:pPr>
        <w:pStyle w:val="Definition"/>
      </w:pPr>
      <w:r>
        <w:t xml:space="preserve">,</w:t>
      </w:r>
    </w:p>
    <w:p>
      <w:pPr>
        <w:pStyle w:val="Definition"/>
      </w:pPr>
      <w:r>
        <w:t xml:space="preserve"> </w:t>
      </w:r>
    </w:p>
    <w:p>
      <w:pPr>
        <w:pStyle w:val="Definition"/>
      </w:pPr>
      <w:hyperlink w:anchor="CSC-021">
        <w:r>
          <w:rPr>
            <w:rStyle w:val="Hyperlink"/>
          </w:rPr>
          <w:t xml:space="preserve">CSC-021</w:t>
        </w:r>
      </w:hyperlink>
    </w:p>
    <w:p>
      <w:pPr>
        <w:pStyle w:val="Definition"/>
      </w:pPr>
      <w:r>
        <w:t xml:space="preserve">,</w:t>
      </w:r>
    </w:p>
    <w:p>
      <w:pPr>
        <w:pStyle w:val="Definition"/>
      </w:pPr>
      <w:r>
        <w:t xml:space="preserve"> </w:t>
      </w:r>
    </w:p>
    <w:p>
      <w:pPr>
        <w:pStyle w:val="Definition"/>
      </w:pPr>
      <w:hyperlink w:anchor="CSC-022">
        <w:r>
          <w:rPr>
            <w:rStyle w:val="Hyperlink"/>
          </w:rPr>
          <w:t xml:space="preserve">CSC-022</w:t>
        </w:r>
      </w:hyperlink>
    </w:p>
    <w:p>
      <w:pPr>
        <w:pStyle w:val="Definition"/>
      </w:pPr>
      <w:r>
        <w:t xml:space="preserve">,</w:t>
      </w:r>
    </w:p>
    <w:p>
      <w:pPr>
        <w:pStyle w:val="Definition"/>
      </w:pPr>
      <w:r>
        <w:t xml:space="preserve"> </w:t>
      </w:r>
    </w:p>
    <w:p>
      <w:pPr>
        <w:pStyle w:val="Definition"/>
      </w:pPr>
      <w:hyperlink w:anchor="CSC-023">
        <w:r>
          <w:rPr>
            <w:rStyle w:val="Hyperlink"/>
          </w:rPr>
          <w:t xml:space="preserve">CSC-023</w:t>
        </w:r>
      </w:hyperlink>
    </w:p>
    <w:p>
      <w:pPr>
        <w:pStyle w:val="Definition"/>
      </w:pPr>
      <w:r>
        <w:t xml:space="preserve">,</w:t>
      </w:r>
    </w:p>
    <w:p>
      <w:pPr>
        <w:pStyle w:val="Definition"/>
      </w:pPr>
      <w:r>
        <w:t xml:space="preserve"> </w:t>
      </w:r>
    </w:p>
    <w:p>
      <w:pPr>
        <w:pStyle w:val="Definition"/>
      </w:pPr>
      <w:hyperlink w:anchor="CSC-024">
        <w:r>
          <w:rPr>
            <w:rStyle w:val="Hyperlink"/>
          </w:rPr>
          <w:t xml:space="preserve">CSC-024</w:t>
        </w:r>
      </w:hyperlink>
    </w:p>
    <w:p>
      <w:pPr>
        <w:pStyle w:val="Definition"/>
      </w:pPr>
      <w:r>
        <w:t xml:space="preserve">,</w:t>
      </w:r>
    </w:p>
    <w:p>
      <w:pPr>
        <w:pStyle w:val="Definition"/>
      </w:pPr>
      <w:r>
        <w:t xml:space="preserve"> </w:t>
      </w:r>
    </w:p>
    <w:p>
      <w:pPr>
        <w:pStyle w:val="Definition"/>
      </w:pPr>
      <w:hyperlink w:anchor="CSU-081">
        <w:r>
          <w:rPr>
            <w:rStyle w:val="Hyperlink"/>
          </w:rPr>
          <w:t xml:space="preserve">CSU-081</w:t>
        </w:r>
      </w:hyperlink>
    </w:p>
    <w:p>
      <w:pPr>
        <w:pStyle w:val="Definition"/>
      </w:pPr>
      <w:r>
        <w:t xml:space="preserve">,</w:t>
      </w:r>
    </w:p>
    <w:p>
      <w:pPr>
        <w:pStyle w:val="Definition"/>
      </w:pPr>
      <w:r>
        <w:t xml:space="preserve"> </w:t>
      </w:r>
    </w:p>
    <w:p>
      <w:pPr>
        <w:pStyle w:val="Definition"/>
      </w:pPr>
      <w:hyperlink w:anchor="CSU-082">
        <w:r>
          <w:rPr>
            <w:rStyle w:val="Hyperlink"/>
          </w:rPr>
          <w:t xml:space="preserve">CSU-082</w:t>
        </w:r>
      </w:hyperlink>
    </w:p>
    <w:p>
      <w:pPr>
        <w:pStyle w:val="SpecObjectHeader"/>
        <w:keepNext/>
        <w:outlineLvl w:val="0"/>
      </w:pPr>
      <w:bookmarkStart w:id="12374" w:name="LLR-055"/>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5" w:name="LLR-056"/>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4">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6" w:name="LLR-057"/>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7" w:name="LLR-058"/>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8" w:name="LLR-059"/>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0" w:name="LLR-06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1" w:name="LLR-06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2" w:name="LLR-062"/>
      <w:r>
        <w:t xml:space="preserve">LLR-062: External Render Delegation</w:t>
      </w:r>
      <w:bookmarkEnd w:id="12402"/>
    </w:p>
    <w:p>
      <w:pPr>
        <w:pStyle w:val="SpecObjectBody"/>
      </w:pPr>
      <w:r>
        <w:t xml:space="preserve">When a</w:t>
      </w:r>
      <w:r>
        <w:t xml:space="preserve"> </w:t>
      </w:r>
      <w:hyperlink r:id="rId119">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3">
        <w:r>
          <w:rPr>
            <w:rStyle w:val="Hyperlink"/>
          </w:rPr>
          <w:t xml:space="preserve">&lt;External Renderer&gt;</w:t>
        </w:r>
      </w:hyperlink>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3" w:name="LLR-06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9">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4" w:name="LLR-06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5" w:name="LLR-06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6" w:name="LLR-06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7" w:name="LLR-06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8" w:name="LLR-068"/>
      <w:r>
        <w:t xml:space="preserve">LLR-068: Analyze Query Registration</w:t>
      </w:r>
      <w:bookmarkEnd w:id="12408"/>
    </w:p>
    <w:p>
      <w:pPr>
        <w:pStyle w:val="SpecObjectBody"/>
      </w:pPr>
      <w:r>
        <w:t xml:space="preserve">Given a</w:t>
      </w:r>
      <w:r>
        <w:t xml:space="preserve"> </w:t>
      </w:r>
      <w:hyperlink r:id="rId141">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2">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9" w:name="LLR-069"/>
      <w:r>
        <w:t xml:space="preserve">LLR-069: Validation Policy Severity Resolution</w:t>
      </w:r>
      <w:bookmarkEnd w:id="12409"/>
    </w:p>
    <w:p>
      <w:pPr>
        <w:pStyle w:val="SpecObjectBody"/>
      </w:pPr>
      <w:r>
        <w:t xml:space="preserve">Given a</w:t>
      </w:r>
      <w:r>
        <w:t xml:space="preserve"> </w:t>
      </w:r>
      <w:hyperlink r:id="rId144">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4">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481" w:name="DD-MODEL-00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8"/>
        </w:numPr>
        <w:pStyle w:val="Compact"/>
      </w:pPr>
      <w:r>
        <w:t xml:space="preserve">Default model loads first, establishing baseline types (SECTION, SPEC, float types, relations, views)</w:t>
      </w:r>
    </w:p>
    <w:p>
      <w:pPr>
        <w:numPr>
          <w:ilvl w:val="0"/>
          <w:numId w:val="1018"/>
        </w:numPr>
        <w:pStyle w:val="Compact"/>
      </w:pPr>
      <w:r>
        <w:t xml:space="preserve">Domain model loads second; types with matching IDs replace defaults, new IDs add to the registry</w:t>
      </w:r>
    </w:p>
    <w:p>
      <w:pPr>
        <w:numPr>
          <w:ilvl w:val="0"/>
          <w:numId w:val="1018"/>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8"/>
        </w:numPr>
        <w:pStyle w:val="Compact"/>
      </w:pPr>
      <w:r>
        <w:t xml:space="preserve">Attribute inheritance propagated iteratively after all types are loaded, enabling parent attributes to flow to child types across model boundaries</w:t>
      </w:r>
    </w:p>
    <w:p>
      <w:pPr>
        <w:numPr>
          <w:ilvl w:val="0"/>
          <w:numId w:val="1018"/>
        </w:numPr>
        <w:pStyle w:val="Compact"/>
      </w:pPr>
      <w:r>
        <w:t xml:space="preserve">Filter, postprocessor, and style directories follow conventional naming for predictable discovery</w:t>
      </w:r>
    </w:p>
    <w:p>
      <w:pPr>
        <w:numPr>
          <w:ilvl w:val="0"/>
          <w:numId w:val="1018"/>
        </w:numPr>
        <w:pStyle w:val="Compact"/>
      </w:pPr>
      <w:r>
        <w:t xml:space="preserve">Alternative of mixin composition rejected: ordering ambiguity when multiple mixins define the same attribute</w:t>
      </w:r>
    </w:p>
    <w:bookmarkEnd w:id="145"/>
    <w:bookmarkStart w:id="156" w:name="SDD-001-sec1.8"/>
    <w:p>
      <w:pPr>
        <w:pStyle w:val="Heading2"/>
      </w:pPr>
      <w:r>
        <w:t xml:space="preserve">Audit &amp; Integrity Design</w:t>
      </w:r>
    </w:p>
    <w:p>
      <w:pPr>
        <w:pStyle w:val="SpecObjectHeader"/>
        <w:keepNext/>
        <w:outlineLvl w:val="0"/>
      </w:pPr>
      <w:bookmarkStart w:id="28264" w:name="FD-006"/>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lineRule="exact" w:line="20" w:after="0" w:before="0"/>
        <w:rPr>
          <w:sz w:val="2"/>
        </w:rPr>
      </w:pPr>
      <w:bookmarkStart w:id="65138" w:name="FD-006-csv-tbl-verification-spec"/>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lineRule="exact" w:line="20" w:after="0" w:before="0"/>
        <w:rPr>
          <w:sz w:val="2"/>
        </w:rPr>
      </w:pPr>
      <w:bookmarkStart w:id="4822" w:name="FD-006-csv-tbl-verification-object"/>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lineRule="exact" w:line="20" w:after="0" w:before="0"/>
        <w:rPr>
          <w:sz w:val="2"/>
        </w:rPr>
      </w:pPr>
      <w:bookmarkStart w:id="3975" w:name="FD-006-csv-tbl-verification-float"/>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lineRule="exact" w:line="20" w:after="0" w:before="0"/>
        <w:rPr>
          <w:sz w:val="2"/>
        </w:rPr>
      </w:pPr>
      <w:bookmarkStart w:id="50003" w:name="FD-006-csv-tbl-verification-relation"/>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lineRule="exact" w:line="20" w:after="0" w:before="0"/>
        <w:rPr>
          <w:sz w:val="2"/>
        </w:rPr>
      </w:pPr>
      <w:bookmarkStart w:id="55257" w:name="FD-006-puml-fd-006-audit"/>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157576"/>
            <wp:effectExtent b="0" l="0" r="0" t="0"/>
            <wp:docPr descr="" title="" id="147" name="Picture"/>
            <a:graphic>
              <a:graphicData uri="http://schemas.openxmlformats.org/drawingml/2006/picture">
                <pic:pic>
                  <pic:nvPicPr>
                    <pic:cNvPr descr="diagrams/8a9a1a3a64d598fbe686356c5a14f42310b91963.png" id="148" name="Picture"/>
                    <pic:cNvPicPr>
                      <a:picLocks noChangeArrowheads="1" noChangeAspect="1"/>
                    </pic:cNvPicPr>
                  </pic:nvPicPr>
                  <pic:blipFill>
                    <a:blip r:embed="rId146"/>
                    <a:stretch>
                      <a:fillRect/>
                    </a:stretch>
                  </pic:blipFill>
                  <pic:spPr bwMode="auto">
                    <a:xfrm>
                      <a:off x="0" y="0"/>
                      <a:ext cx="5334000" cy="515757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49">
        <w:r>
          <w:rPr>
            <w:rStyle w:val="Hyperlink"/>
          </w:rPr>
          <w:t xml:space="preserve">srs: SF-006</w:t>
        </w:r>
      </w:hyperlink>
    </w:p>
    <w:p>
      <w:pPr>
        <w:pStyle w:val="SpecObjectHeader"/>
        <w:keepNext/>
        <w:outlineLvl w:val="0"/>
      </w:pPr>
      <w:bookmarkStart w:id="12466" w:name="LLR-084"/>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6">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7" w:name="LLR-085"/>
      <w:r>
        <w:t xml:space="preserve">LLR-085: Cache Hit Skips Pipeline</w:t>
      </w:r>
      <w:bookmarkEnd w:id="12467"/>
    </w:p>
    <w:p>
      <w:pPr>
        <w:pStyle w:val="SpecObjectBody"/>
      </w:pPr>
      <w:r>
        <w:t xml:space="preserve">When all</w:t>
      </w:r>
      <w:r>
        <w:t xml:space="preserve"> </w:t>
      </w:r>
      <w:hyperlink r:id="rId106">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8" w:name="LLR-086"/>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6">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9" w:name="LLR-087"/>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70" w:name="LLR-088"/>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4">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71" w:name="LLR-089"/>
      <w:r>
        <w:t xml:space="preserve">LLR-089: Diagnostic Code Domain Prefix Format</w:t>
      </w:r>
      <w:bookmarkEnd w:id="12471"/>
    </w:p>
    <w:p>
      <w:pPr>
        <w:pStyle w:val="SpecObjectBody"/>
      </w:pPr>
      <w:hyperlink r:id="rId124">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3" w:name="LLR-090"/>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3">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4" w:name="LLR-091"/>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5" w:name="LLR-092"/>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6" w:name="LLR-093"/>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bookmarkEnd w:id="156"/>
    <w:bookmarkStart w:id="160" w:name="SDD-001-sec1.9"/>
    <w:p>
      <w:pPr>
        <w:pStyle w:val="Heading2"/>
      </w:pPr>
      <w:r>
        <w:t xml:space="preserve">SW Docs Model Design</w:t>
      </w:r>
    </w:p>
    <w:p>
      <w:pPr>
        <w:pStyle w:val="SpecObjectHeader"/>
        <w:keepNext/>
        <w:outlineLvl w:val="0"/>
      </w:pPr>
      <w:bookmarkStart w:id="28265" w:name="FD-007"/>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lineRule="exact" w:line="20" w:after="0" w:before="0"/>
        <w:rPr>
          <w:sz w:val="2"/>
        </w:rPr>
      </w:pPr>
      <w:bookmarkStart w:id="20388" w:name="FD-007-puml-fd-007-sw-docs"/>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337678"/>
            <wp:effectExtent b="0" l="0" r="0" t="0"/>
            <wp:docPr descr="" title="" id="158" name="Picture"/>
            <a:graphic>
              <a:graphicData uri="http://schemas.openxmlformats.org/drawingml/2006/picture">
                <pic:pic>
                  <pic:nvPicPr>
                    <pic:cNvPr descr="diagrams/255f1aa383a39b8db159b489e9b4c1743f42aa24.png" id="159" name="Picture"/>
                    <pic:cNvPicPr>
                      <a:picLocks noChangeArrowheads="1" noChangeAspect="1"/>
                    </pic:cNvPicPr>
                  </pic:nvPicPr>
                  <pic:blipFill>
                    <a:blip r:embed="rId157"/>
                    <a:stretch>
                      <a:fillRect/>
                    </a:stretch>
                  </pic:blipFill>
                  <pic:spPr bwMode="auto">
                    <a:xfrm>
                      <a:off x="0" y="0"/>
                      <a:ext cx="5334000" cy="5337678"/>
                    </a:xfrm>
                    <a:prstGeom prst="rect">
                      <a:avLst/>
                    </a:prstGeom>
                    <a:noFill/>
                    <a:ln w="9525">
                      <a:noFill/>
                      <a:headEnd/>
                      <a:tailEnd/>
                    </a:ln>
                  </pic:spPr>
                </pic:pic>
              </a:graphicData>
            </a:graphic>
          </wp:inline>
        </w:drawing>
      </w:r>
    </w:p>
    <w:bookmarkEnd w:id="160"/>
    <w:bookmarkStart w:id="196"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19"/>
        </w:numPr>
        <w:pStyle w:val="Compact"/>
      </w:pPr>
      <w:r>
        <w:rPr>
          <w:rStyle w:val="VerbatimChar"/>
        </w:rPr>
        <w:t xml:space="preserve">CSC</w:t>
      </w:r>
      <w:r>
        <w:t xml:space="preserve"> </w:t>
      </w:r>
      <w:r>
        <w:t xml:space="preserve">(</w:t>
      </w:r>
      <w:hyperlink r:id="rId161">
        <w:r>
          <w:rPr>
            <w:rStyle w:val="Hyperlink"/>
          </w:rPr>
          <w:t xml:space="preserve">&lt;CSC (Computer Software Component)&gt;</w:t>
        </w:r>
      </w:hyperlink>
      <w:r>
        <w:t xml:space="preserve">) identifies structural subsystems/layers.</w:t>
      </w:r>
    </w:p>
    <w:p>
      <w:pPr>
        <w:numPr>
          <w:ilvl w:val="0"/>
          <w:numId w:val="1019"/>
        </w:numPr>
        <w:pStyle w:val="Compact"/>
      </w:pPr>
      <w:r>
        <w:rPr>
          <w:rStyle w:val="VerbatimChar"/>
        </w:rPr>
        <w:t xml:space="preserve">CSU</w:t>
      </w:r>
      <w:r>
        <w:t xml:space="preserve"> </w:t>
      </w:r>
      <w:r>
        <w:t xml:space="preserve">(</w:t>
      </w:r>
      <w:hyperlink r:id="rId162">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9" w:name="SDD-001-sec1.10.1"/>
    <w:p>
      <w:pPr>
        <w:pStyle w:val="Heading3"/>
      </w:pPr>
      <w:r>
        <w:t xml:space="preserve">Core Software Components</w:t>
      </w:r>
    </w:p>
    <w:bookmarkStart w:id="163" w:name="SDD-001-sec1.10.1.1"/>
    <w:p>
      <w:pPr>
        <w:pStyle w:val="Heading4"/>
      </w:pPr>
      <w:r>
        <w:t xml:space="preserve">Core Runtime Layer</w:t>
      </w:r>
    </w:p>
    <w:p>
      <w:pPr>
        <w:pStyle w:val="SpecObjectHeader"/>
        <w:keepNext/>
        <w:outlineLvl w:val="0"/>
      </w:pPr>
      <w:bookmarkStart w:id="30328" w:name="CSC-001"/>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id="53706" w:name="CSU-001"/>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07" w:name="CSU-002"/>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08" w:name="CSU-003"/>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09" w:name="CSU-004"/>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0" w:name="CSU-005"/>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0">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1" w:name="CSU-006"/>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2" w:name="CSU-007"/>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3" w:name="CSU-008"/>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4" w:name="CSU-009"/>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bookmarkEnd w:id="163"/>
    <w:bookmarkStart w:id="167" w:name="SDD-001-sec1.10.1.2"/>
    <w:p>
      <w:pPr>
        <w:pStyle w:val="Heading4"/>
      </w:pPr>
      <w:r>
        <w:t xml:space="preserve">Database Persistence Layer</w:t>
      </w:r>
    </w:p>
    <w:p>
      <w:pPr>
        <w:pStyle w:val="SpecObjectHeader"/>
        <w:keepNext/>
        <w:outlineLvl w:val="0"/>
      </w:pPr>
      <w:bookmarkStart w:id="30329" w:name="CSC-002"/>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id="53736" w:name="CSU-010"/>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37" w:name="CSU-011"/>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38" w:name="CSU-012"/>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39" w:name="CSU-013"/>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40" w:name="CSU-014"/>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bookmarkStart w:id="164" w:name="SDD-001-sec1.10.1.2.1"/>
    <w:p>
      <w:pPr>
        <w:pStyle w:val="Heading5"/>
      </w:pPr>
      <w:r>
        <w:t xml:space="preserve">DB Queries Package</w:t>
      </w:r>
    </w:p>
    <w:p>
      <w:pPr>
        <w:pStyle w:val="SpecObjectHeader"/>
        <w:keepNext/>
        <w:outlineLvl w:val="0"/>
      </w:pPr>
      <w:bookmarkStart w:id="30332" w:name="CSC-005"/>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id="53741" w:name="CSU-015"/>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2" w:name="CSU-016"/>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3" w:name="CSU-017"/>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4" w:name="CSU-018"/>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5" w:name="CSU-019"/>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67" w:name="CSU-020"/>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bookmarkEnd w:id="164"/>
    <w:bookmarkStart w:id="165" w:name="SDD-001-sec1.10.1.2.2"/>
    <w:p>
      <w:pPr>
        <w:pStyle w:val="Heading5"/>
      </w:pPr>
      <w:r>
        <w:t xml:space="preserve">DB Schema Package</w:t>
      </w:r>
    </w:p>
    <w:p>
      <w:pPr>
        <w:pStyle w:val="SpecObjectHeader"/>
        <w:keepNext/>
        <w:outlineLvl w:val="0"/>
      </w:pPr>
      <w:bookmarkStart w:id="30333" w:name="CSC-006"/>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id="53768" w:name="CSU-021"/>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69" w:name="CSU-022"/>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70" w:name="CSU-023"/>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71" w:name="CSU-024"/>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72" w:name="CSU-025"/>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bookmarkEnd w:id="165"/>
    <w:bookmarkStart w:id="166" w:name="SDD-001-sec1.10.1.2.3"/>
    <w:p>
      <w:pPr>
        <w:pStyle w:val="Heading5"/>
      </w:pPr>
      <w:r>
        <w:t xml:space="preserve">DB Views Package</w:t>
      </w:r>
    </w:p>
    <w:p>
      <w:pPr>
        <w:pStyle w:val="SpecObjectHeader"/>
        <w:keepNext/>
        <w:outlineLvl w:val="0"/>
      </w:pPr>
      <w:bookmarkStart w:id="30334" w:name="CSC-007"/>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id="53773" w:name="CSU-026"/>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8">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id="53774" w:name="CSU-027"/>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id="53775" w:name="CSU-028"/>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id="53776" w:name="CSU-029"/>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bookmarkEnd w:id="166"/>
    <w:bookmarkEnd w:id="167"/>
    <w:bookmarkStart w:id="173" w:name="SDD-001-sec1.10.1.3"/>
    <w:p>
      <w:pPr>
        <w:pStyle w:val="Heading4"/>
      </w:pPr>
      <w:r>
        <w:t xml:space="preserve">Pipeline Handlers Layer</w:t>
      </w:r>
    </w:p>
    <w:p>
      <w:pPr>
        <w:pStyle w:val="SpecObjectHeader"/>
        <w:keepNext/>
        <w:outlineLvl w:val="0"/>
      </w:pPr>
      <w:bookmarkStart w:id="30330" w:name="CSC-003"/>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id="53798" w:name="CSU-030"/>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p>
      <w:pPr>
        <w:pStyle w:val="SpecObjectHeader"/>
        <w:keepNext/>
        <w:outlineLvl w:val="0"/>
      </w:pPr>
      <w:bookmarkStart w:id="53799" w:name="CSU-031"/>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bookmarkStart w:id="168" w:name="SDD-001-sec1.10.1.3.1"/>
    <w:p>
      <w:pPr>
        <w:pStyle w:val="Heading5"/>
      </w:pPr>
      <w:r>
        <w:t xml:space="preserve">Resolve Handlers Package</w:t>
      </w:r>
    </w:p>
    <w:p>
      <w:pPr>
        <w:pStyle w:val="SpecObjectHeader"/>
        <w:keepNext/>
        <w:outlineLvl w:val="0"/>
      </w:pPr>
      <w:bookmarkStart w:id="30335" w:name="CSC-008"/>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id="53800" w:name="CSU-032"/>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id="53801" w:name="CSU-033"/>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id="54853" w:name="CSU-161"/>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bookmarkEnd w:id="168"/>
    <w:bookmarkStart w:id="169" w:name="SDD-001-sec1.10.1.3.2"/>
    <w:p>
      <w:pPr>
        <w:pStyle w:val="Heading5"/>
      </w:pPr>
      <w:r>
        <w:t xml:space="preserve">Emit Handlers Package</w:t>
      </w:r>
    </w:p>
    <w:p>
      <w:pPr>
        <w:pStyle w:val="SpecObjectHeader"/>
        <w:keepNext/>
        <w:outlineLvl w:val="0"/>
      </w:pPr>
      <w:bookmarkStart w:id="30336" w:name="CSC-009"/>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id="53802" w:name="CSU-034"/>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3" w:name="CSU-035"/>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4" w:name="CSU-036"/>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5" w:name="CSU-037"/>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6" w:name="CSU-038"/>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7" w:name="CSU-039"/>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29" w:name="CSU-040"/>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30" w:name="CSU-041"/>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31" w:name="CSU-042"/>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32" w:name="CSU-043"/>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bookmarkEnd w:id="169"/>
    <w:bookmarkStart w:id="170" w:name="SDD-001-sec1.10.1.3.3"/>
    <w:p>
      <w:pPr>
        <w:pStyle w:val="Heading5"/>
      </w:pPr>
      <w:r>
        <w:t xml:space="preserve">Initialize Handlers Package</w:t>
      </w:r>
    </w:p>
    <w:p>
      <w:pPr>
        <w:pStyle w:val="SpecObjectHeader"/>
        <w:keepNext/>
        <w:outlineLvl w:val="0"/>
      </w:pPr>
      <w:bookmarkStart w:id="30358" w:name="CSC-010"/>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id="53833" w:name="CSU-044"/>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4" w:name="CSU-045"/>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35" w:name="CSU-046"/>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6" w:name="CSU-047"/>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7" w:name="CSU-048"/>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8" w:name="CSU-049"/>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60" w:name="CSU-05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bookmarkEnd w:id="170"/>
    <w:bookmarkStart w:id="171" w:name="SDD-001-sec1.10.1.3.4"/>
    <w:p>
      <w:pPr>
        <w:pStyle w:val="Heading5"/>
      </w:pPr>
      <w:r>
        <w:t xml:space="preserve">Shared Pipeline Utilities Package</w:t>
      </w:r>
    </w:p>
    <w:p>
      <w:pPr>
        <w:pStyle w:val="SpecObjectHeader"/>
        <w:keepNext/>
        <w:outlineLvl w:val="0"/>
      </w:pPr>
      <w:bookmarkStart w:id="30359" w:name="CSC-011"/>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id="53861" w:name="CSU-05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2" w:name="CSU-05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3" w:name="CSU-05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4" w:name="CSU-05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5" w:name="CSU-05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6" w:name="CSU-05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7" w:name="CSU-05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8" w:name="CSU-05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9" w:name="CSU-05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bookmarkEnd w:id="171"/>
    <w:bookmarkStart w:id="172" w:name="SDD-001-sec1.10.1.3.5"/>
    <w:p>
      <w:pPr>
        <w:pStyle w:val="Heading5"/>
      </w:pPr>
      <w:r>
        <w:t xml:space="preserve">Transform Handlers Package</w:t>
      </w:r>
    </w:p>
    <w:p>
      <w:pPr>
        <w:pStyle w:val="SpecObjectHeader"/>
        <w:keepNext/>
        <w:outlineLvl w:val="0"/>
      </w:pPr>
      <w:bookmarkStart w:id="30360" w:name="CSC-012"/>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id="53891" w:name="CSU-060"/>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3892" w:name="CSU-061"/>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4854" w:name="CSU-162"/>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3893" w:name="CSU-062"/>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3894" w:name="CSU-063"/>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bookmarkEnd w:id="172"/>
    <w:bookmarkEnd w:id="173"/>
    <w:bookmarkStart w:id="178" w:name="SDD-001-sec1.10.1.4"/>
    <w:p>
      <w:pPr>
        <w:pStyle w:val="Heading4"/>
      </w:pPr>
      <w:r>
        <w:t xml:space="preserve">Infrastructure Layer</w:t>
      </w:r>
    </w:p>
    <w:p>
      <w:pPr>
        <w:pStyle w:val="SpecObjectHeader"/>
        <w:keepNext/>
        <w:outlineLvl w:val="0"/>
      </w:pPr>
      <w:bookmarkStart w:id="30331" w:name="CSC-004"/>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id="53896" w:name="CSU-065"/>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897" w:name="CSU-066"/>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898" w:name="CSU-067"/>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899" w:name="CSU-068"/>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900" w:name="CSU-069"/>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bookmarkStart w:id="174" w:name="SDD-001-sec1.10.1.4.1"/>
    <w:p>
      <w:pPr>
        <w:pStyle w:val="Heading5"/>
      </w:pPr>
      <w:r>
        <w:t xml:space="preserve">Format Utilities Package</w:t>
      </w:r>
    </w:p>
    <w:p>
      <w:pPr>
        <w:pStyle w:val="SpecObjectHeader"/>
        <w:keepNext/>
        <w:outlineLvl w:val="0"/>
      </w:pPr>
      <w:bookmarkStart w:id="30361" w:name="CSC-013"/>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id="53922" w:name="CSU-070"/>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id="53923" w:name="CSU-071"/>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id="53924" w:name="CSU-072"/>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bookmarkEnd w:id="174"/>
    <w:bookmarkStart w:id="175" w:name="SDD-001-sec1.10.1.4.2"/>
    <w:p>
      <w:pPr>
        <w:pStyle w:val="Heading5"/>
      </w:pPr>
      <w:r>
        <w:t xml:space="preserve">DOCX Generation Package</w:t>
      </w:r>
    </w:p>
    <w:p>
      <w:pPr>
        <w:pStyle w:val="SpecObjectHeader"/>
        <w:keepNext/>
        <w:outlineLvl w:val="0"/>
      </w:pPr>
      <w:bookmarkStart w:id="30362" w:name="CSC-014"/>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id="53925" w:name="CSU-073"/>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id="53926" w:name="CSU-074"/>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id="53927" w:name="CSU-075"/>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id="53928" w:name="CSU-076"/>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bookmarkEnd w:id="175"/>
    <w:bookmarkStart w:id="176" w:name="SDD-001-sec1.10.1.4.3"/>
    <w:p>
      <w:pPr>
        <w:pStyle w:val="Heading5"/>
      </w:pPr>
      <w:r>
        <w:t xml:space="preserve">I/O Utilities Package</w:t>
      </w:r>
    </w:p>
    <w:p>
      <w:pPr>
        <w:pStyle w:val="SpecObjectHeader"/>
        <w:keepNext/>
        <w:outlineLvl w:val="0"/>
      </w:pPr>
      <w:bookmarkStart w:id="30363" w:name="CSC-015"/>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id="53929" w:name="CSU-077"/>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p>
      <w:pPr>
        <w:pStyle w:val="SpecObjectHeader"/>
        <w:keepNext/>
        <w:outlineLvl w:val="0"/>
      </w:pPr>
      <w:bookmarkStart w:id="53930" w:name="CSU-078"/>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bookmarkEnd w:id="176"/>
    <w:bookmarkStart w:id="177" w:name="SDD-001-sec1.10.1.4.4"/>
    <w:p>
      <w:pPr>
        <w:pStyle w:val="Heading5"/>
      </w:pPr>
      <w:r>
        <w:t xml:space="preserve">Process Management Package</w:t>
      </w:r>
    </w:p>
    <w:p>
      <w:pPr>
        <w:pStyle w:val="SpecObjectHeader"/>
        <w:keepNext/>
        <w:outlineLvl w:val="0"/>
      </w:pPr>
      <w:bookmarkStart w:id="30364" w:name="CSC-016"/>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id="53931" w:name="CSU-079"/>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p>
      <w:pPr>
        <w:pStyle w:val="SpecObjectHeader"/>
        <w:keepNext/>
        <w:outlineLvl w:val="0"/>
      </w:pPr>
      <w:bookmarkStart w:id="53953" w:name="CSU-080"/>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bookmarkEnd w:id="177"/>
    <w:bookmarkEnd w:id="178"/>
    <w:bookmarkEnd w:id="179"/>
    <w:bookmarkStart w:id="188" w:name="SDD-001-sec1.10.2"/>
    <w:p>
      <w:pPr>
        <w:pStyle w:val="Heading3"/>
      </w:pPr>
      <w:r>
        <w:t xml:space="preserve">Default Model Components</w:t>
      </w:r>
    </w:p>
    <w:bookmarkStart w:id="187" w:name="SDD-001-sec1.10.2.1"/>
    <w:p>
      <w:pPr>
        <w:pStyle w:val="Heading4"/>
      </w:pPr>
      <w:r>
        <w:t xml:space="preserve">Default Model</w:t>
      </w:r>
    </w:p>
    <w:p>
      <w:pPr>
        <w:pStyle w:val="SpecObjectHeader"/>
        <w:keepNext/>
        <w:outlineLvl w:val="0"/>
      </w:pPr>
      <w:bookmarkStart w:id="30365" w:name="CSC-017"/>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id="53954" w:name="CSU-081"/>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p>
      <w:pPr>
        <w:pStyle w:val="SpecObjectHeader"/>
        <w:keepNext/>
        <w:outlineLvl w:val="0"/>
      </w:pPr>
      <w:bookmarkStart w:id="53955" w:name="CSU-082"/>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bookmarkStart w:id="180" w:name="SDD-001-sec1.10.2.1.1"/>
    <w:p>
      <w:pPr>
        <w:pStyle w:val="Heading5"/>
      </w:pPr>
      <w:r>
        <w:t xml:space="preserve">Default Filters Package</w:t>
      </w:r>
    </w:p>
    <w:p>
      <w:pPr>
        <w:pStyle w:val="SpecObjectHeader"/>
        <w:keepNext/>
        <w:outlineLvl w:val="0"/>
      </w:pPr>
      <w:bookmarkStart w:id="30366" w:name="CSC-018"/>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id="53956" w:name="CSU-083"/>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id="53957" w:name="CSU-084"/>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id="53958" w:name="CSU-085"/>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bookmarkEnd w:id="180"/>
    <w:bookmarkStart w:id="181" w:name="SDD-001-sec1.10.2.1.2"/>
    <w:p>
      <w:pPr>
        <w:pStyle w:val="Heading5"/>
      </w:pPr>
      <w:r>
        <w:t xml:space="preserve">Default Postprocessors Package</w:t>
      </w:r>
    </w:p>
    <w:p>
      <w:pPr>
        <w:pStyle w:val="SpecObjectHeader"/>
        <w:keepNext/>
        <w:outlineLvl w:val="0"/>
      </w:pPr>
      <w:bookmarkStart w:id="30367" w:name="CSC-019"/>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id="53959" w:name="CSU-086"/>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p>
      <w:pPr>
        <w:pStyle w:val="SpecObjectHeader"/>
        <w:keepNext/>
        <w:outlineLvl w:val="0"/>
      </w:pPr>
      <w:bookmarkStart w:id="53960" w:name="CSU-087"/>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bookmarkEnd w:id="181"/>
    <w:bookmarkStart w:id="182" w:name="SDD-001-sec1.10.2.1.3"/>
    <w:p>
      <w:pPr>
        <w:pStyle w:val="Heading5"/>
      </w:pPr>
      <w:r>
        <w:t xml:space="preserve">Default Analyze Queries Package</w:t>
      </w:r>
    </w:p>
    <w:p>
      <w:pPr>
        <w:pStyle w:val="SpecObjectHeader"/>
        <w:keepNext/>
        <w:outlineLvl w:val="0"/>
      </w:pPr>
      <w:bookmarkStart w:id="30389" w:name="CSC-020"/>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id="53962" w:name="CSU-089"/>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4" w:name="CSU-090"/>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5" w:name="CSU-091"/>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6" w:name="CSU-092"/>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7" w:name="CSU-093"/>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8" w:name="CSU-094"/>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9" w:name="CSU-095"/>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0" w:name="CSU-096"/>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1" w:name="CSU-097"/>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2" w:name="CSU-098"/>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3" w:name="CSU-099"/>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6" w:name="CSU-100"/>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7" w:name="CSU-101"/>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8" w:name="CSU-102"/>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9" w:name="CSU-103"/>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bookmarkEnd w:id="182"/>
    <w:bookmarkStart w:id="183" w:name="SDD-001-sec1.10.2.1.4"/>
    <w:p>
      <w:pPr>
        <w:pStyle w:val="Heading5"/>
      </w:pPr>
      <w:r>
        <w:t xml:space="preserve">Default Styles Package</w:t>
      </w:r>
    </w:p>
    <w:p>
      <w:pPr>
        <w:pStyle w:val="SpecObjectHeader"/>
        <w:keepNext/>
        <w:outlineLvl w:val="0"/>
      </w:pPr>
      <w:bookmarkStart w:id="30390" w:name="CSC-021"/>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id="54672" w:name="CSU-106"/>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p>
      <w:pPr>
        <w:pStyle w:val="SpecObjectHeader"/>
        <w:keepNext/>
        <w:outlineLvl w:val="0"/>
      </w:pPr>
      <w:bookmarkStart w:id="54673" w:name="CSU-107"/>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bookmarkEnd w:id="183"/>
    <w:bookmarkStart w:id="184" w:name="SDD-001-sec1.10.2.1.5"/>
    <w:p>
      <w:pPr>
        <w:pStyle w:val="Heading5"/>
      </w:pPr>
      <w:r>
        <w:t xml:space="preserve">Default Float Types Package</w:t>
      </w:r>
    </w:p>
    <w:p>
      <w:pPr>
        <w:pStyle w:val="SpecObjectHeader"/>
        <w:keepNext/>
        <w:outlineLvl w:val="0"/>
      </w:pPr>
      <w:bookmarkStart w:id="30391" w:name="CSC-022"/>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id="54674" w:name="CSU-108"/>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75" w:name="CSU-109"/>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97" w:name="CSU-110"/>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98" w:name="CSU-111"/>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99" w:name="CSU-112"/>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700" w:name="CSU-113"/>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bookmarkEnd w:id="184"/>
    <w:bookmarkStart w:id="185" w:name="SDD-001-sec1.10.2.1.6"/>
    <w:p>
      <w:pPr>
        <w:pStyle w:val="Heading5"/>
      </w:pPr>
      <w:r>
        <w:t xml:space="preserve">Default Relation Types Package</w:t>
      </w:r>
    </w:p>
    <w:p>
      <w:pPr>
        <w:pStyle w:val="SpecObjectHeader"/>
        <w:keepNext/>
        <w:outlineLvl w:val="0"/>
      </w:pPr>
      <w:bookmarkStart w:id="30392" w:name="CSC-023"/>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id="54701" w:name="CSU-114"/>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2" w:name="CSU-115"/>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3" w:name="CSU-116"/>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4" w:name="CSU-117"/>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5" w:name="CSU-118"/>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bookmarkEnd w:id="185"/>
    <w:bookmarkStart w:id="186" w:name="SDD-001-sec1.10.2.1.7"/>
    <w:p>
      <w:pPr>
        <w:pStyle w:val="Heading5"/>
      </w:pPr>
      <w:r>
        <w:t xml:space="preserve">Default View Types Package</w:t>
      </w:r>
    </w:p>
    <w:p>
      <w:pPr>
        <w:pStyle w:val="SpecObjectHeader"/>
        <w:keepNext/>
        <w:outlineLvl w:val="0"/>
      </w:pPr>
      <w:bookmarkStart w:id="30393" w:name="CSC-024"/>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id="54706" w:name="CSU-119"/>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28" w:name="CSU-120"/>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29" w:name="CSU-121"/>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30" w:name="CSU-122"/>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31" w:name="CSU-123"/>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32" w:name="CSU-124"/>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bookmarkEnd w:id="186"/>
    <w:bookmarkEnd w:id="187"/>
    <w:bookmarkEnd w:id="188"/>
    <w:bookmarkStart w:id="195" w:name="SDD-001-sec1.10.3"/>
    <w:p>
      <w:pPr>
        <w:pStyle w:val="Heading3"/>
      </w:pPr>
      <w:r>
        <w:t xml:space="preserve">SW Docs Model Components</w:t>
      </w:r>
    </w:p>
    <w:bookmarkStart w:id="194" w:name="SDD-001-sec1.10.3.1"/>
    <w:p>
      <w:pPr>
        <w:pStyle w:val="Heading4"/>
      </w:pPr>
      <w:r>
        <w:t xml:space="preserve">SW Docs Model</w:t>
      </w:r>
    </w:p>
    <w:p>
      <w:pPr>
        <w:pStyle w:val="SpecObjectHeader"/>
        <w:keepNext/>
        <w:outlineLvl w:val="0"/>
      </w:pPr>
      <w:bookmarkStart w:id="30394" w:name="CSC-025"/>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id="54733" w:name="CSU-125"/>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CSC-025</w:t>
        </w:r>
      </w:hyperlink>
    </w:p>
    <w:bookmarkStart w:id="189" w:name="SDD-001-sec1.10.3.1.1"/>
    <w:p>
      <w:pPr>
        <w:pStyle w:val="Heading5"/>
      </w:pPr>
      <w:r>
        <w:t xml:space="preserve">SW Docs Analyze Queries Package</w:t>
      </w:r>
    </w:p>
    <w:p>
      <w:pPr>
        <w:pStyle w:val="SpecObjectHeader"/>
        <w:keepNext/>
        <w:outlineLvl w:val="0"/>
      </w:pPr>
      <w:bookmarkStart w:id="30395" w:name="CSC-026"/>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id="54734" w:name="CSU-126"/>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35" w:name="CSU-127"/>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36" w:name="CSU-128"/>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60" w:name="CSU-131"/>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61" w:name="CSU-132"/>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855" w:name="CSU-163"/>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856" w:name="CSU-164"/>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bookmarkEnd w:id="189"/>
    <w:bookmarkStart w:id="190" w:name="SDD-001-sec1.10.3.1.2"/>
    <w:p>
      <w:pPr>
        <w:pStyle w:val="Heading5"/>
      </w:pPr>
      <w:r>
        <w:t xml:space="preserve">SW Docs Object Types Package</w:t>
      </w:r>
    </w:p>
    <w:p>
      <w:pPr>
        <w:pStyle w:val="SpecObjectHeader"/>
        <w:keepNext/>
        <w:outlineLvl w:val="0"/>
      </w:pPr>
      <w:bookmarkStart w:id="30396" w:name="CSC-027"/>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id="54762" w:name="CSU-133"/>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3" w:name="CSU-134"/>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4" w:name="CSU-135"/>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5" w:name="CSU-136"/>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6" w:name="CSU-137"/>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7" w:name="CSU-138"/>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8" w:name="CSU-139"/>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0" w:name="CSU-14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1" w:name="CSU-14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2" w:name="CSU-14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3" w:name="CSU-14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4" w:name="CSU-14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5" w:name="CSU-14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bookmarkEnd w:id="190"/>
    <w:bookmarkStart w:id="191" w:name="SDD-001-sec1.10.3.1.3"/>
    <w:p>
      <w:pPr>
        <w:pStyle w:val="Heading5"/>
      </w:pPr>
      <w:r>
        <w:t xml:space="preserve">SW Docs Relation Types Package</w:t>
      </w:r>
    </w:p>
    <w:p>
      <w:pPr>
        <w:pStyle w:val="SpecObjectHeader"/>
        <w:keepNext/>
        <w:outlineLvl w:val="0"/>
      </w:pPr>
      <w:bookmarkStart w:id="30397" w:name="CSC-028"/>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id="54796" w:name="CSU-14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id="54797" w:name="CSU-14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id="54798" w:name="CSU-14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id="54799" w:name="CSU-14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bookmarkEnd w:id="191"/>
    <w:bookmarkStart w:id="192" w:name="SDD-001-sec1.10.3.1.4"/>
    <w:p>
      <w:pPr>
        <w:pStyle w:val="Heading5"/>
      </w:pPr>
      <w:r>
        <w:t xml:space="preserve">SW Docs Specification Types Package</w:t>
      </w:r>
    </w:p>
    <w:p>
      <w:pPr>
        <w:pStyle w:val="SpecObjectHeader"/>
        <w:keepNext/>
        <w:outlineLvl w:val="0"/>
      </w:pPr>
      <w:bookmarkStart w:id="30398" w:name="CSC-029"/>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id="54821" w:name="CSU-150"/>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2" w:name="CSU-151"/>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3" w:name="CSU-152"/>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4" w:name="CSU-153"/>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5" w:name="CSU-154"/>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bookmarkEnd w:id="192"/>
    <w:bookmarkStart w:id="193" w:name="SDD-001-sec1.10.3.1.5"/>
    <w:p>
      <w:pPr>
        <w:pStyle w:val="Heading5"/>
      </w:pPr>
      <w:r>
        <w:t xml:space="preserve">SW Docs View Types Package</w:t>
      </w:r>
    </w:p>
    <w:p>
      <w:pPr>
        <w:pStyle w:val="SpecObjectHeader"/>
        <w:keepNext/>
        <w:outlineLvl w:val="0"/>
      </w:pPr>
      <w:bookmarkStart w:id="30420" w:name="CSC-03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id="54826" w:name="CSU-155"/>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27" w:name="CSU-156"/>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28" w:name="CSU-157"/>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29" w:name="CSU-158"/>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30" w:name="CSU-159"/>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bookmarkEnd w:id="193"/>
    <w:bookmarkEnd w:id="194"/>
    <w:bookmarkEnd w:id="195"/>
    <w:bookmarkEnd w:id="196"/>
    <w:bookmarkEnd w:id="197"/>
    <w:bookmarkStart w:id="205"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18">
              <w:r>
                <w:rPr>
                  <w:rStyle w:val="Hyperlink"/>
                </w:rPr>
                <w:t xml:space="preserve">HLR-OUT-001</w:t>
              </w:r>
            </w:hyperlink>
          </w:p>
        </w:tc>
        <w:tc>
          <w:tcPr/>
          <w:p>
            <w:pPr>
              <w:pStyle w:val="Compact"/>
              <w:jc w:val="left"/>
            </w:pPr>
            <w:r>
              <w:t xml:space="preserve">Document Assembly</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HLR-OUT-002</w:t>
              </w:r>
            </w:hyperlink>
          </w:p>
        </w:tc>
        <w:tc>
          <w:tcPr/>
          <w:p>
            <w:pPr>
              <w:pStyle w:val="Compact"/>
              <w:jc w:val="left"/>
            </w:pPr>
            <w:r>
              <w:t xml:space="preserve">Float Resolution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5">
              <w:r>
                <w:rPr>
                  <w:rStyle w:val="Hyperlink"/>
                </w:rPr>
                <w:t xml:space="preserve">HLR-OUT-003</w:t>
              </w:r>
            </w:hyperlink>
          </w:p>
        </w:tc>
        <w:tc>
          <w:tcPr/>
          <w:p>
            <w:pPr>
              <w:pStyle w:val="Compact"/>
              <w:jc w:val="left"/>
            </w:pPr>
            <w:r>
              <w:t xml:space="preserve">Float Numbering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6">
              <w:r>
                <w:rPr>
                  <w:rStyle w:val="Hyperlink"/>
                </w:rPr>
                <w:t xml:space="preserve">HLR-OUT-004</w:t>
              </w:r>
            </w:hyperlink>
          </w:p>
        </w:tc>
        <w:tc>
          <w:tcPr/>
          <w:p>
            <w:pPr>
              <w:pStyle w:val="Compact"/>
              <w:jc w:val="left"/>
            </w:pPr>
            <w:r>
              <w:t xml:space="preserve">Multi-Format Output</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7">
              <w:r>
                <w:rPr>
                  <w:rStyle w:val="Hyperlink"/>
                </w:rPr>
                <w:t xml:space="preserve">HLR-OUT-005</w:t>
              </w:r>
            </w:hyperlink>
          </w:p>
        </w:tc>
        <w:tc>
          <w:tcPr/>
          <w:p>
            <w:pPr>
              <w:pStyle w:val="Compact"/>
              <w:jc w:val="left"/>
            </w:pPr>
            <w:r>
              <w:t xml:space="preserve">DOCX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7">
              <w:r>
                <w:rPr>
                  <w:rStyle w:val="Hyperlink"/>
                </w:rPr>
                <w:t xml:space="preserve">HLR-OUT-006</w:t>
              </w:r>
            </w:hyperlink>
          </w:p>
        </w:tc>
        <w:tc>
          <w:tcPr/>
          <w:p>
            <w:pPr>
              <w:pStyle w:val="Compact"/>
              <w:jc w:val="left"/>
            </w:pPr>
            <w:r>
              <w:t xml:space="preserve">HTML5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HLR-OUT-007</w:t>
              </w:r>
            </w:hyperlink>
          </w:p>
        </w:tc>
        <w:tc>
          <w:tcPr/>
          <w:p>
            <w:pPr>
              <w:pStyle w:val="Compact"/>
              <w:jc w:val="left"/>
            </w:pPr>
            <w:r>
              <w:t xml:space="preserve">Full-Text Search Indexing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04">
              <w:r>
                <w:rPr>
                  <w:rStyle w:val="Hyperlink"/>
                </w:rPr>
                <w:t xml:space="preserve">HLR-STOR-001</w:t>
              </w:r>
            </w:hyperlink>
          </w:p>
        </w:tc>
        <w:tc>
          <w:tcPr/>
          <w:p>
            <w:pPr>
              <w:pStyle w:val="Compact"/>
              <w:jc w:val="left"/>
            </w:pPr>
            <w:r>
              <w:t xml:space="preserve">SQLite Persistence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5">
              <w:r>
                <w:rPr>
                  <w:rStyle w:val="Hyperlink"/>
                </w:rPr>
                <w:t xml:space="preserve">HLR-STOR-002</w:t>
              </w:r>
            </w:hyperlink>
          </w:p>
        </w:tc>
        <w:tc>
          <w:tcPr/>
          <w:p>
            <w:pPr>
              <w:pStyle w:val="Compact"/>
              <w:jc w:val="left"/>
            </w:pPr>
            <w:r>
              <w:t xml:space="preserve">EAV Attribute Model</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HLR-STOR-003</w:t>
              </w:r>
            </w:hyperlink>
          </w:p>
        </w:tc>
        <w:tc>
          <w:tcPr/>
          <w:p>
            <w:pPr>
              <w:pStyle w:val="Compact"/>
              <w:jc w:val="left"/>
            </w:pPr>
            <w:r>
              <w:t xml:space="preserve">Build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HLR-STOR-004</w:t>
              </w:r>
            </w:hyperlink>
          </w:p>
        </w:tc>
        <w:tc>
          <w:tcPr/>
          <w:p>
            <w:pPr>
              <w:pStyle w:val="Compact"/>
              <w:jc w:val="left"/>
            </w:pPr>
            <w:r>
              <w:t xml:space="preserve">Output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9">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after="120" w:line="276" w:lineRule="auto" w:before="28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31" Target="media/rId131.png" /><Relationship Type="http://schemas.openxmlformats.org/officeDocument/2006/relationships/image" Id="rId146" Target="media/rId146.png" /><Relationship Type="http://schemas.openxmlformats.org/officeDocument/2006/relationships/image" Id="rId43" Target="media/rId43.png" /><Relationship Type="http://schemas.openxmlformats.org/officeDocument/2006/relationships/image" Id="rId100" Target="media/rId100.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13" Target="media/rId113.png" /><Relationship Type="http://schemas.openxmlformats.org/officeDocument/2006/relationships/image" Id="rId85" Target="media/rId85.png" /><Relationship Type="http://schemas.openxmlformats.org/officeDocument/2006/relationships/image" Id="rId56" Target="media/rId56.png" /><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Defines the TRACEABILITY_MATRIX view generating a table showing the full HLR-to-VC-to-TR traceability chain with test results.</dc:description>
  <cp:keywords/>
  <dcterms:created xsi:type="dcterms:W3CDTF">2026-08-17T23:08:48Z</dcterms:created>
  <dcterms:modified xsi:type="dcterms:W3CDTF">2026-08-17T23:08:48Z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onent_type">
    <vt:lpwstr>Package</vt:lpwstr>
  </property>
  <property fmtid="{D5CDD505-2E9C-101B-9397-08002B2CF9AE}" pid="3" name="file_path">
    <vt:lpwstr>models/sw_docs/types/views/traceability_matrix.lua</vt:lpwstr>
  </property>
  <property fmtid="{D5CDD505-2E9C-101B-9397-08002B2CF9AE}" pid="4" name="language">
    <vt:lpwstr>Lua</vt:lpwstr>
  </property>
  <property fmtid="{D5CDD505-2E9C-101B-9397-08002B2CF9AE}" pid="5" name="path">
    <vt:lpwstr>models/sw_docs/types/views/</vt:lpwstr>
  </property>
  <property fmtid="{D5CDD505-2E9C-101B-9397-08002B2CF9AE}" pid="6" name="rationale">
    <vt:lpwstr>ID-based override enables clean domain specialization:
Default model loads first, establishing baseline types (SECTION, SPEC, float types, relations, views)Domain model loads second; types with matching IDs replace defaults, new IDs add to the registryVerification views follow the same pattern: domain analyze queries override defaults by policy_keyAttribute inheritance propagated iteratively after all types are loaded, enabling parent attributes to flow to child types across model boundariesFilter, postprocessor, and style directories follow conventional naming for predictable discoveryAlternative of mixin composition rejected: ordering ambiguity when multiple mixins define the same attribute</vt:lpwstr>
  </property>
  <property fmtid="{D5CDD505-2E9C-101B-9397-08002B2CF9AE}" pid="7" name="traceability">
    <vt:lpwstr>CSC-030</vt:lpwstr>
  </property>
  <property fmtid="{D5CDD505-2E9C-101B-9397-08002B2CF9AE}" pid="8" name="verification_method">
    <vt:lpwstr>Test</vt:lpwstr>
  </property>
  <property fmtid="{D5CDD505-2E9C-101B-9397-08002B2CF9AE}" pid="9" name="version">
    <vt:lpwstr>1.0</vt:lpwstr>
  </property>
</Properties>
</file>