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72.png" ContentType="image/png"/>
  <Override PartName="/word/media/rId27.png" ContentType="image/png"/>
  <Override PartName="/word/media/rId52.png" ContentType="image/png"/>
  <Override PartName="/word/media/rId44.png" ContentType="image/png"/>
  <Override PartName="/word/media/rId62.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PEC"/>
    <w:p>
      <w:pPr>
        <w:pStyle w:val="Title"/>
      </w:pPr>
      <w:r>
        <w:t xml:space="preserve">CommonSpec Language Specification</w:t>
      </w:r>
    </w:p>
    <w:bookmarkEnd w:id="20"/>
    <w:p>
      <w:pPr>
        <w:pStyle w:val="TOCHeading"/>
      </w:pPr>
      <w:bookmarkStart w:id="28179" w:name="SPEC-sec1"/>
      <w:r>
        <w:rPr>
          <w:color w:val="000000"/>
        </w:rPr>
        <w:t xml:space="preserve">INDEX</w:t>
      </w:r>
      <w:bookmarkEnd w:id="28179"/>
    </w:p>
    <w:p>
      <w:r>
        <w:fldChar w:fldCharType="begin"/>
      </w:r>
      <w:r>
        <w:instrText xml:space="preserve"> TOC \o "1-3" </w:instrText>
      </w:r>
      <w:r>
        <w:fldChar w:fldCharType="separate"/>
      </w:r>
    </w:p>
    <w:p>
      <w:r>
        <w:fldChar w:fldCharType="end"/>
      </w:r>
    </w:p>
    <w:p>
      <w:r>
        <w:br w:type="page"/>
      </w:r>
    </w:p>
    <w:bookmarkStart w:id="24" w:name="SPEC-sec2"/>
    <w:p>
      <w:pPr>
        <w:pStyle w:val="Heading1"/>
        <w:numPr>
          <w:ilvl w:val="0"/>
          <w:numId w:val="100"/>
        </w:numPr>
      </w:pPr>
      <w:r>
        <w:t xml:space="preserve">Introduction</w:t>
      </w:r>
    </w:p>
    <w:bookmarkStart w:id="21" w:name="SPEC-sec2.1"/>
    <w:p>
      <w:pPr>
        <w:pStyle w:val="Heading2"/>
        <w:numPr>
          <w:ilvl w:val="1"/>
          <w:numId w:val="100"/>
        </w:numPr>
      </w:pPr>
      <w:r>
        <w:t xml:space="preserve">What is CommonSpec?</w:t>
      </w:r>
    </w:p>
    <w:p>
      <w:pPr>
        <w:pStyle w:val="FirstParagraph"/>
      </w:pPr>
      <w:r>
        <w:rPr>
          <w:bCs/>
          <w:b/>
        </w:rPr>
        <w:t xml:space="preserve">CommonSpec</w:t>
      </w:r>
      <w:r>
        <w:t xml:space="preserve"> </w:t>
      </w:r>
      <w:r>
        <w:t xml:space="preserve">is a structured Markdown language for authoring typed, traceable specifications. It extends standard Markdown (CommonMark) with six constructs that give documents a formal type system: specifications, spec objects, spec floats, attributes, spec relations, and spec views.</w:t>
      </w:r>
    </w:p>
    <w:p>
      <w:pPr>
        <w:pStyle w:val="BodyText"/>
      </w:pPr>
      <w:r>
        <w:t xml:space="preserve">CommonSpec documents are plain text files that any Markdown editor can open. The additional constructs use existing Markdown syntax — headers, blockquotes, fenced code blocks, and inline links — so no new markup characters are introduced.</w:t>
      </w:r>
    </w:p>
    <w:bookmarkEnd w:id="21"/>
    <w:bookmarkStart w:id="22" w:name="SPEC-sec2.2"/>
    <w:p>
      <w:pPr>
        <w:pStyle w:val="Heading2"/>
        <w:numPr>
          <w:ilvl w:val="1"/>
          <w:numId w:val="100"/>
        </w:numPr>
      </w:pPr>
      <w:r>
        <w:t xml:space="preserve">Design Principles</w:t>
      </w:r>
    </w:p>
    <w:p>
      <w:pPr>
        <w:pStyle w:val="FirstParagraph"/>
      </w:pPr>
      <w:r>
        <w:rPr>
          <w:bCs/>
          <w:b/>
        </w:rPr>
        <w:t xml:space="preserve">Markdown superset.</w:t>
      </w:r>
      <w:r>
        <w:t xml:space="preserve"> </w:t>
      </w:r>
      <w:r>
        <w:t xml:space="preserve">Every valid CommonSpec document is valid Markdown. Editors, diff tools, and version control work unchanged.</w:t>
      </w:r>
    </w:p>
    <w:p>
      <w:pPr>
        <w:pStyle w:val="BodyText"/>
      </w:pPr>
      <w:r>
        <w:rPr>
          <w:bCs/>
          <w:b/>
        </w:rPr>
        <w:t xml:space="preserve">Type-driven.</w:t>
      </w:r>
      <w:r>
        <w:t xml:space="preserve"> </w:t>
      </w:r>
      <w:r>
        <w:t xml:space="preserve">The type system drives everything: syntax inference, relation resolution, rendering, and verification. Types are declared in models and loaded into the environment before any document is parsed.</w:t>
      </w:r>
    </w:p>
    <w:p>
      <w:pPr>
        <w:pStyle w:val="BodyText"/>
      </w:pPr>
      <w:r>
        <w:rPr>
          <w:bCs/>
          <w:b/>
        </w:rPr>
        <w:t xml:space="preserve">Plain text first.</w:t>
      </w:r>
      <w:r>
        <w:t xml:space="preserve"> </w:t>
      </w:r>
      <w:r>
        <w:t xml:space="preserve">CommonSpec source is readable without any tooling. The six constructs use familiar Markdown patterns that render meaningfully even in a basic Markdown viewer.</w:t>
      </w:r>
    </w:p>
    <w:p>
      <w:pPr>
        <w:pStyle w:val="BodyText"/>
      </w:pPr>
      <w:r>
        <w:rPr>
          <w:bCs/>
          <w:b/>
        </w:rPr>
        <w:t xml:space="preserve">Model-parameterized.</w:t>
      </w:r>
      <w:r>
        <w:t xml:space="preserve"> </w:t>
      </w:r>
      <w:r>
        <w:t xml:space="preserve">The language syntax is fixed, but the set of valid types, attributes, and constraints is determined by the active model. The same syntax supports different domains (software requirements, test plans, technical manuals) by loading different models.</w:t>
      </w:r>
    </w:p>
    <w:bookmarkEnd w:id="22"/>
    <w:bookmarkStart w:id="23" w:name="SPEC-sec2.3"/>
    <w:p>
      <w:pPr>
        <w:pStyle w:val="Heading2"/>
        <w:numPr>
          <w:ilvl w:val="1"/>
          <w:numId w:val="100"/>
        </w:numPr>
      </w:pPr>
      <w:r>
        <w:t xml:space="preserve">Notation</w:t>
      </w:r>
    </w:p>
    <w:p>
      <w:pPr>
        <w:pStyle w:val="FirstParagraph"/>
      </w:pPr>
      <w:r>
        <w:t xml:space="preserve">This specification uses the following notation in formal definitions:</w:t>
      </w:r>
    </w:p>
    <w:p>
      <w:pPr>
        <w:numPr>
          <w:ilvl w:val="0"/>
          <w:numId w:val="1001"/>
        </w:numPr>
        <w:pStyle w:val="Compact"/>
      </w:pPr>
      <m:oMath>
        <m:r>
          <m:t>τ</m:t>
        </m:r>
        <m:r>
          <m:rPr>
            <m:sty m:val="p"/>
          </m:rPr>
          <m:t>,</m:t>
        </m:r>
        <m:r>
          <m:t>σ</m:t>
        </m:r>
        <m:r>
          <m:rPr>
            <m:sty m:val="p"/>
          </m:rPr>
          <m:t>,</m:t>
        </m:r>
        <m:r>
          <m:t>α</m:t>
        </m:r>
        <m:r>
          <m:rPr>
            <m:sty m:val="p"/>
          </m:rPr>
          <m:t>,</m:t>
        </m:r>
        <m:r>
          <m:t>β</m:t>
        </m:r>
        <m:r>
          <m:rPr>
            <m:sty m:val="p"/>
          </m:rPr>
          <m:t>,</m:t>
        </m:r>
        <m:r>
          <m:t>ρ</m:t>
        </m:r>
        <m:r>
          <m:rPr>
            <m:sty m:val="p"/>
          </m:rPr>
          <m:t>,</m:t>
        </m:r>
        <m:r>
          <m:t>ω</m:t>
        </m:r>
      </m:oMath>
      <w:r>
        <w:t xml:space="preserve"> </w:t>
      </w:r>
      <w:r>
        <w:t xml:space="preserve">— Greek letters denote typed values.</w:t>
      </w:r>
    </w:p>
    <w:p>
      <w:pPr>
        <w:numPr>
          <w:ilvl w:val="0"/>
          <w:numId w:val="1001"/>
        </w:numPr>
        <w:pStyle w:val="Compact"/>
      </w:pPr>
      <m:oMath>
        <m:r>
          <m:t>Γ</m:t>
        </m:r>
      </m:oMath>
      <w:r>
        <w:t xml:space="preserve"> </w:t>
      </w:r>
      <w:r>
        <w:t xml:space="preserve">— the model’s type environment.</w:t>
      </w:r>
    </w:p>
    <w:p>
      <w:pPr>
        <w:numPr>
          <w:ilvl w:val="0"/>
          <w:numId w:val="1001"/>
        </w:numPr>
        <w:pStyle w:val="Compact"/>
      </w:pPr>
      <m:oMath>
        <m:r>
          <m:t>Γ</m:t>
        </m:r>
        <m:r>
          <m:rPr>
            <m:sty m:val="p"/>
          </m:rPr>
          <m:t>.</m:t>
        </m:r>
        <m:sSub>
          <m:e>
            <m:r>
              <m:rPr>
                <m:sty m:val="p"/>
              </m:rPr>
              <m:t>⊤</m:t>
            </m:r>
          </m:e>
          <m:sub>
            <m:r>
              <m:t>X</m:t>
            </m:r>
          </m:sub>
        </m:sSub>
      </m:oMath>
      <w:r>
        <w:t xml:space="preserve"> </w:t>
      </w:r>
      <w:r>
        <w:t xml:space="preserve">— projection: the set of types of category X within the model (e.g.,</w:t>
      </w:r>
      <w:r>
        <w:t xml:space="preserve"> </w:t>
      </w:r>
      <m:oMath>
        <m:sSub>
          <m:e>
            <m:r>
              <m:rPr>
                <m:sty m:val="p"/>
              </m:rPr>
              <m:t>⊤</m:t>
            </m:r>
          </m:e>
          <m:sub>
            <m:r>
              <m:t>S</m:t>
            </m:r>
          </m:sub>
        </m:sSub>
      </m:oMath>
      <w:r>
        <w:t xml:space="preserve"> </w:t>
      </w:r>
      <w:r>
        <w:t xml:space="preserve">for specification types,</w:t>
      </w:r>
      <w:r>
        <w:t xml:space="preserve"> </w:t>
      </w:r>
      <m:oMath>
        <m:sSub>
          <m:e>
            <m:r>
              <m:rPr>
                <m:sty m:val="p"/>
              </m:rPr>
              <m:t>⊤</m:t>
            </m:r>
          </m:e>
          <m:sub>
            <m:r>
              <m:t>O</m:t>
            </m:r>
          </m:sub>
        </m:sSub>
      </m:oMath>
      <w:r>
        <w:t xml:space="preserve"> </w:t>
      </w:r>
      <w:r>
        <w:t xml:space="preserve">for object types).</w:t>
      </w:r>
    </w:p>
    <w:p>
      <w:pPr>
        <w:numPr>
          <w:ilvl w:val="0"/>
          <w:numId w:val="1001"/>
        </w:numPr>
        <w:pStyle w:val="Compact"/>
      </w:pPr>
      <m:oMath>
        <m:r>
          <m:rPr>
            <m:sty m:val="p"/>
            <m:scr m:val="script"/>
          </m:rPr>
          <m:t>X</m:t>
        </m:r>
      </m:oMath>
      <w:r>
        <w:t xml:space="preserve"> </w:t>
      </w:r>
      <w:r>
        <w:t xml:space="preserve">— calligraphic letter denoting a set (e.g.,</w:t>
      </w:r>
      <w:r>
        <w:t xml:space="preserve"> </w:t>
      </w:r>
      <m:oMath>
        <m:r>
          <m:rPr>
            <m:sty m:val="p"/>
            <m:scr m:val="script"/>
          </m:rPr>
          <m:t>A</m:t>
        </m:r>
      </m:oMath>
      <w:r>
        <w:t xml:space="preserve"> </w:t>
      </w:r>
      <w:r>
        <w:t xml:space="preserve">for a set of attributes).</w:t>
      </w:r>
    </w:p>
    <w:p>
      <w:pPr>
        <w:numPr>
          <w:ilvl w:val="0"/>
          <w:numId w:val="1001"/>
        </w:numPr>
        <w:pStyle w:val="Compact"/>
      </w:pPr>
      <m:oMath>
        <m:r>
          <m:rPr>
            <m:sty m:val="p"/>
          </m:rPr>
          <m:t>⊆</m:t>
        </m:r>
      </m:oMath>
      <w:r>
        <w:t xml:space="preserve"> </w:t>
      </w:r>
      <w:r>
        <w:t xml:space="preserve">— subset-or-equal relation.</w:t>
      </w:r>
    </w:p>
    <w:p>
      <w:pPr>
        <w:numPr>
          <w:ilvl w:val="0"/>
          <w:numId w:val="1001"/>
        </w:numPr>
        <w:pStyle w:val="Compact"/>
      </w:pPr>
      <m:oMath>
        <m:r>
          <m:rPr>
            <m:sty m:val="p"/>
          </m:rPr>
          <m:t>∪</m:t>
        </m:r>
      </m:oMath>
      <w:r>
        <w:t xml:space="preserve"> </w:t>
      </w:r>
      <w:r>
        <w:t xml:space="preserve">— set union.</w:t>
      </w:r>
    </w:p>
    <w:p>
      <w:pPr>
        <w:numPr>
          <w:ilvl w:val="0"/>
          <w:numId w:val="1001"/>
        </w:numPr>
        <w:pStyle w:val="Compact"/>
      </w:pPr>
      <m:oMath>
        <m:r>
          <m:rPr>
            <m:sty m:val="p"/>
          </m:rPr>
          <m:t>⊥</m:t>
        </m:r>
      </m:oMath>
      <w:r>
        <w:t xml:space="preserve"> </w:t>
      </w:r>
      <w:r>
        <w:t xml:space="preserve">— absence of a value (null / not applicable).</w:t>
      </w:r>
    </w:p>
    <w:p>
      <w:pPr>
        <w:numPr>
          <w:ilvl w:val="0"/>
          <w:numId w:val="1001"/>
        </w:numPr>
        <w:pStyle w:val="Compact"/>
      </w:pPr>
      <m:oMath>
        <m:r>
          <m:rPr>
            <m:nor/>
            <m:sty m:val="p"/>
          </m:rPr>
          <m:t>infer</m:t>
        </m:r>
        <m:d>
          <m:dPr>
            <m:begChr m:val="("/>
            <m:endChr m:val=")"/>
            <m:sepChr m:val=""/>
            <m:grow/>
          </m:dPr>
          <m:e>
            <m:r>
              <m:rPr>
                <m:sty m:val="p"/>
              </m:rPr>
              <m:t>…</m:t>
            </m:r>
          </m:e>
        </m:d>
      </m:oMath>
      <w:r>
        <w:t xml:space="preserve"> </w:t>
      </w:r>
      <w:r>
        <w:t xml:space="preserve">— a function applied to its arguments.</w:t>
      </w:r>
    </w:p>
    <w:p>
      <w:pPr>
        <w:pStyle w:val="FirstParagraph"/>
      </w:pPr>
      <w:r>
        <w:t xml:space="preserve">Grammar productions use Extended BNF (ISO/IEC 14977):</w:t>
      </w:r>
      <w:r>
        <w:t xml:space="preserve"> </w:t>
      </w:r>
      <w:r>
        <w:rPr>
          <w:rStyle w:val="VerbatimChar"/>
        </w:rPr>
        <w:t xml:space="preserve">[ ]</w:t>
      </w:r>
      <w:r>
        <w:t xml:space="preserve"> </w:t>
      </w:r>
      <w:r>
        <w:t xml:space="preserve">for optional,</w:t>
      </w:r>
      <w:r>
        <w:t xml:space="preserve"> </w:t>
      </w:r>
      <w:r>
        <w:rPr>
          <w:rStyle w:val="VerbatimChar"/>
        </w:rPr>
        <w:t xml:space="preserve">{ }</w:t>
      </w:r>
      <w:r>
        <w:t xml:space="preserve"> </w:t>
      </w:r>
      <w:r>
        <w:t xml:space="preserve">for repetition (zero or more),</w:t>
      </w:r>
      <w:r>
        <w:t xml:space="preserve"> </w:t>
      </w:r>
      <w:r>
        <w:rPr>
          <w:rStyle w:val="VerbatimChar"/>
        </w:rPr>
        <w:t xml:space="preserve">{ }-</w:t>
      </w:r>
      <w:r>
        <w:t xml:space="preserve"> </w:t>
      </w:r>
      <w:r>
        <w:t xml:space="preserve">for one or more,</w:t>
      </w:r>
      <w:r>
        <w:t xml:space="preserve"> </w:t>
      </w:r>
      <w:r>
        <w:rPr>
          <w:rStyle w:val="VerbatimChar"/>
        </w:rPr>
        <w:t xml:space="preserve">|</w:t>
      </w:r>
      <w:r>
        <w:t xml:space="preserve"> </w:t>
      </w:r>
      <w:r>
        <w:t xml:space="preserve">for alternation, and</w:t>
      </w:r>
      <w:r>
        <w:t xml:space="preserve"> </w:t>
      </w:r>
      <w:r>
        <w:rPr>
          <w:rStyle w:val="VerbatimChar"/>
        </w:rPr>
        <w:t xml:space="preserve">(* *)</w:t>
      </w:r>
      <w:r>
        <w:t xml:space="preserve"> </w:t>
      </w:r>
      <w:r>
        <w:t xml:space="preserve">for comments.</w:t>
      </w:r>
    </w:p>
    <w:bookmarkEnd w:id="23"/>
    <w:bookmarkEnd w:id="24"/>
    <w:bookmarkStart w:id="80" w:name="SPEC-sec3"/>
    <w:p>
      <w:pPr>
        <w:pStyle w:val="Heading1"/>
        <w:numPr>
          <w:ilvl w:val="0"/>
          <w:numId w:val="100"/>
        </w:numPr>
      </w:pPr>
      <w:r>
        <w:t xml:space="preserve">Language Constructs</w:t>
      </w:r>
    </w:p>
    <w:p>
      <w:pPr>
        <w:pStyle w:val="FirstParagraph"/>
      </w:pPr>
      <w:r>
        <w:t xml:space="preserve">CommonSpec defines six constructs. Each is produced by a specific Markdown syntax pattern.</w:t>
      </w:r>
    </w:p>
    <w:bookmarkStart w:id="25" w:name="SPEC-sec3.1"/>
    <w:p>
      <w:pPr>
        <w:pStyle w:val="Heading2"/>
        <w:numPr>
          <w:ilvl w:val="1"/>
          <w:numId w:val="100"/>
        </w:numPr>
      </w:pPr>
      <w:r>
        <w:t xml:space="preserve">Lexical Rules</w:t>
      </w:r>
    </w:p>
    <w:p>
      <w:pPr>
        <w:pStyle w:val="FirstParagraph"/>
      </w:pPr>
      <w:r>
        <w:t xml:space="preserve">The following terminals are used throughout the grammar productions:</w:t>
      </w:r>
    </w:p>
    <w:p>
      <w:pPr>
        <w:numPr>
          <w:ilvl w:val="0"/>
          <w:numId w:val="1002"/>
        </w:numPr>
        <w:pStyle w:val="Compact"/>
      </w:pPr>
      <w:r>
        <w:rPr>
          <w:bCs/>
          <w:b/>
        </w:rPr>
        <w:t xml:space="preserve">TypeRef</w:t>
      </w:r>
      <w:r>
        <w:t xml:space="preserve"> </w:t>
      </w:r>
      <w:r>
        <w:t xml:space="preserve">— an identifier matching a type or alias declared in the model:</w:t>
      </w:r>
      <w:r>
        <w:t xml:space="preserve"> </w:t>
      </w:r>
      <w:r>
        <w:rPr>
          <w:rStyle w:val="VerbatimChar"/>
        </w:rPr>
        <w:t xml:space="preserve">[A-Za-z][A-Za-z0-9_-]*</w:t>
      </w:r>
      <w:r>
        <w:t xml:space="preserve">. By convention, canonical type IDs are uppercase (</w:t>
      </w:r>
      <w:r>
        <w:rPr>
          <w:rStyle w:val="VerbatimChar"/>
        </w:rPr>
        <w:t xml:space="preserve">HLR</w:t>
      </w:r>
      <w:r>
        <w:t xml:space="preserve">,</w:t>
      </w:r>
      <w:r>
        <w:t xml:space="preserve"> </w:t>
      </w:r>
      <w:r>
        <w:rPr>
          <w:rStyle w:val="VerbatimChar"/>
        </w:rPr>
        <w:t xml:space="preserve">FIGURE</w:t>
      </w:r>
      <w:r>
        <w:t xml:space="preserve">,</w:t>
      </w:r>
      <w:r>
        <w:t xml:space="preserve"> </w:t>
      </w:r>
      <w:r>
        <w:rPr>
          <w:rStyle w:val="VerbatimChar"/>
        </w:rPr>
        <w:t xml:space="preserve">SRS</w:t>
      </w:r>
      <w:r>
        <w:t xml:space="preserve">) while aliases are lowercase (</w:t>
      </w:r>
      <w:r>
        <w:rPr>
          <w:rStyle w:val="VerbatimChar"/>
        </w:rPr>
        <w:t xml:space="preserve">fig</w:t>
      </w:r>
      <w:r>
        <w:t xml:space="preserve">,</w:t>
      </w:r>
      <w:r>
        <w:t xml:space="preserve"> </w:t>
      </w:r>
      <w:r>
        <w:rPr>
          <w:rStyle w:val="VerbatimChar"/>
        </w:rPr>
        <w:t xml:space="preserve">csv</w:t>
      </w:r>
      <w:r>
        <w:t xml:space="preserve">,</w:t>
      </w:r>
      <w:r>
        <w:t xml:space="preserve"> </w:t>
      </w:r>
      <w:r>
        <w:rPr>
          <w:rStyle w:val="VerbatimChar"/>
        </w:rPr>
        <w:t xml:space="preserve">plantuml</w:t>
      </w:r>
      <w:r>
        <w:t xml:space="preserve">,</w:t>
      </w:r>
      <w:r>
        <w:t xml:space="preserve"> </w:t>
      </w:r>
      <w:r>
        <w:rPr>
          <w:rStyle w:val="VerbatimChar"/>
        </w:rPr>
        <w:t xml:space="preserve">toc</w:t>
      </w:r>
      <w:r>
        <w:t xml:space="preserve">). Resolution is case-insensitive.</w:t>
      </w:r>
    </w:p>
    <w:p>
      <w:pPr>
        <w:numPr>
          <w:ilvl w:val="0"/>
          <w:numId w:val="1002"/>
        </w:numPr>
        <w:pStyle w:val="Compact"/>
      </w:pPr>
      <w:r>
        <w:rPr>
          <w:bCs/>
          <w:b/>
        </w:rPr>
        <w:t xml:space="preserve">AttrName</w:t>
      </w:r>
      <w:r>
        <w:t xml:space="preserve"> </w:t>
      </w:r>
      <w:r>
        <w:t xml:space="preserve">— an attribute name declared for the enclosing object’s type:</w:t>
      </w:r>
      <w:r>
        <w:t xml:space="preserve"> </w:t>
      </w:r>
      <w:r>
        <w:rPr>
          <w:rStyle w:val="VerbatimChar"/>
        </w:rPr>
        <w:t xml:space="preserve">[a-z][a-z0-9_]*</w:t>
      </w:r>
      <w:r>
        <w:t xml:space="preserve">. Examples:</w:t>
      </w:r>
      <w:r>
        <w:t xml:space="preserve"> </w:t>
      </w:r>
      <w:r>
        <w:rPr>
          <w:rStyle w:val="VerbatimChar"/>
        </w:rPr>
        <w:t xml:space="preserve">status</w:t>
      </w:r>
      <w:r>
        <w:t xml:space="preserve">,</w:t>
      </w:r>
      <w:r>
        <w:t xml:space="preserve"> </w:t>
      </w:r>
      <w:r>
        <w:rPr>
          <w:rStyle w:val="VerbatimChar"/>
        </w:rPr>
        <w:t xml:space="preserve">rationale</w:t>
      </w:r>
      <w:r>
        <w:t xml:space="preserve">,</w:t>
      </w:r>
      <w:r>
        <w:t xml:space="preserve"> </w:t>
      </w:r>
      <w:r>
        <w:rPr>
          <w:rStyle w:val="VerbatimChar"/>
        </w:rPr>
        <w:t xml:space="preserve">verification_method</w:t>
      </w:r>
      <w:r>
        <w:t xml:space="preserve">.</w:t>
      </w:r>
    </w:p>
    <w:p>
      <w:pPr>
        <w:numPr>
          <w:ilvl w:val="0"/>
          <w:numId w:val="1002"/>
        </w:numPr>
        <w:pStyle w:val="Compact"/>
      </w:pPr>
      <w:r>
        <w:rPr>
          <w:bCs/>
          <w:b/>
        </w:rPr>
        <w:t xml:space="preserve">PID</w:t>
      </w:r>
      <w:r>
        <w:t xml:space="preserve"> </w:t>
      </w:r>
      <w:r>
        <w:t xml:space="preserve">— a project identifier for cross-referencing. Composed of uppercase letters, digits, hyphens, and dots:</w:t>
      </w:r>
      <w:r>
        <w:t xml:space="preserve"> </w:t>
      </w:r>
      <w:r>
        <w:rPr>
          <w:rStyle w:val="VerbatimChar"/>
        </w:rPr>
        <w:t xml:space="preserve">[A-Z][A-Z0-9]*(-[0-9]+)+(\.[0-9]+)*</w:t>
      </w:r>
      <w:r>
        <w:t xml:space="preserve">. Examples:</w:t>
      </w:r>
      <w:r>
        <w:t xml:space="preserve"> </w:t>
      </w:r>
      <w:r>
        <w:rPr>
          <w:rStyle w:val="VerbatimChar"/>
        </w:rPr>
        <w:t xml:space="preserve">HLR-001</w:t>
      </w:r>
      <w:r>
        <w:t xml:space="preserve">,</w:t>
      </w:r>
      <w:r>
        <w:t xml:space="preserve"> </w:t>
      </w:r>
      <w:r>
        <w:rPr>
          <w:rStyle w:val="VerbatimChar"/>
        </w:rPr>
        <w:t xml:space="preserve">SRS-001</w:t>
      </w:r>
      <w:r>
        <w:t xml:space="preserve">,</w:t>
      </w:r>
      <w:r>
        <w:t xml:space="preserve"> </w:t>
      </w:r>
      <w:r>
        <w:rPr>
          <w:rStyle w:val="VerbatimChar"/>
        </w:rPr>
        <w:t xml:space="preserve">LLR-020.1</w:t>
      </w:r>
      <w:r>
        <w:t xml:space="preserve">.</w:t>
      </w:r>
    </w:p>
    <w:p>
      <w:pPr>
        <w:numPr>
          <w:ilvl w:val="0"/>
          <w:numId w:val="1002"/>
        </w:numPr>
        <w:pStyle w:val="Compact"/>
      </w:pPr>
      <w:r>
        <w:rPr>
          <w:bCs/>
          <w:b/>
        </w:rPr>
        <w:t xml:space="preserve">Title</w:t>
      </w:r>
      <w:r>
        <w:t xml:space="preserve"> </w:t>
      </w:r>
      <w:r>
        <w:t xml:space="preserve">/</w:t>
      </w:r>
      <w:r>
        <w:t xml:space="preserve"> </w:t>
      </w:r>
      <w:r>
        <w:rPr>
          <w:bCs/>
          <w:b/>
        </w:rPr>
        <w:t xml:space="preserve">Text</w:t>
      </w:r>
      <w:r>
        <w:t xml:space="preserve"> </w:t>
      </w:r>
      <w:r>
        <w:t xml:space="preserve">— the remaining inline content of a header after the optional</w:t>
      </w:r>
      <w:r>
        <w:t xml:space="preserve"> </w:t>
      </w:r>
      <w:r>
        <w:rPr>
          <w:rStyle w:val="VerbatimChar"/>
        </w:rPr>
        <w:t xml:space="preserve">TypeRef ":"</w:t>
      </w:r>
      <w:r>
        <w:t xml:space="preserve"> </w:t>
      </w:r>
      <w:r>
        <w:t xml:space="preserve">prefix and before the optional</w:t>
      </w:r>
      <w:r>
        <w:t xml:space="preserve"> </w:t>
      </w:r>
      <w:r>
        <w:rPr>
          <w:rStyle w:val="VerbatimChar"/>
        </w:rPr>
        <w:t xml:space="preserve">"@" PID</w:t>
      </w:r>
      <w:r>
        <w:t xml:space="preserve"> </w:t>
      </w:r>
      <w:r>
        <w:t xml:space="preserve">suffix. May contain any valid Markdown inline content.</w:t>
      </w:r>
    </w:p>
    <w:p>
      <w:pPr>
        <w:numPr>
          <w:ilvl w:val="0"/>
          <w:numId w:val="1002"/>
        </w:numPr>
        <w:pStyle w:val="Compact"/>
      </w:pPr>
      <w:r>
        <w:rPr>
          <w:bCs/>
          <w:b/>
        </w:rPr>
        <w:t xml:space="preserve">Label</w:t>
      </w:r>
      <w:r>
        <w:t xml:space="preserve"> </w:t>
      </w:r>
      <w:r>
        <w:t xml:space="preserve">— a float cross-reference label. Composed of lowercase letters, digits, hyphens, and underscores:</w:t>
      </w:r>
      <w:r>
        <w:t xml:space="preserve"> </w:t>
      </w:r>
      <w:r>
        <w:rPr>
          <w:rStyle w:val="VerbatimChar"/>
        </w:rPr>
        <w:t xml:space="preserve">[a-z][a-z0-9_-]*</w:t>
      </w:r>
      <w:r>
        <w:t xml:space="preserve">. Labels must be unique within their float type’s counter group.</w:t>
      </w:r>
    </w:p>
    <w:p>
      <w:pPr>
        <w:numPr>
          <w:ilvl w:val="0"/>
          <w:numId w:val="1002"/>
        </w:numPr>
        <w:pStyle w:val="Compact"/>
      </w:pPr>
      <w:r>
        <w:rPr>
          <w:bCs/>
          <w:b/>
        </w:rPr>
        <w:t xml:space="preserve">Key</w:t>
      </w:r>
      <w:r>
        <w:t xml:space="preserve"> </w:t>
      </w:r>
      <w:r>
        <w:t xml:space="preserve">— a float metadata key. Composed of lowercase letters, digits, hyphens, and underscores:</w:t>
      </w:r>
      <w:r>
        <w:t xml:space="preserve"> </w:t>
      </w:r>
      <w:r>
        <w:rPr>
          <w:rStyle w:val="VerbatimChar"/>
        </w:rPr>
        <w:t xml:space="preserve">[a-z][a-z0-9_-]*</w:t>
      </w:r>
      <w:r>
        <w:t xml:space="preserve">.</w:t>
      </w:r>
    </w:p>
    <w:p>
      <w:pPr>
        <w:numPr>
          <w:ilvl w:val="0"/>
          <w:numId w:val="1002"/>
        </w:numPr>
        <w:pStyle w:val="Compact"/>
      </w:pPr>
      <w:r>
        <w:rPr>
          <w:bCs/>
          <w:b/>
        </w:rPr>
        <w:t xml:space="preserve">Value</w:t>
      </w:r>
      <w:r>
        <w:t xml:space="preserve"> </w:t>
      </w:r>
      <w:r>
        <w:t xml:space="preserve">— a float metadata value. Either a quoted string (</w:t>
      </w:r>
      <w:r>
        <w:rPr>
          <w:rStyle w:val="VerbatimChar"/>
        </w:rPr>
        <w:t xml:space="preserve">"..."</w:t>
      </w:r>
      <w:r>
        <w:t xml:space="preserve">) or an unquoted token containing no whitespace or</w:t>
      </w:r>
      <w:r>
        <w:t xml:space="preserve"> </w:t>
      </w:r>
      <w:r>
        <w:rPr>
          <w:rStyle w:val="VerbatimChar"/>
        </w:rPr>
        <w:t xml:space="preserve">}</w:t>
      </w:r>
      <w:r>
        <w:t xml:space="preserve">.</w:t>
      </w:r>
    </w:p>
    <w:p>
      <w:pPr>
        <w:numPr>
          <w:ilvl w:val="0"/>
          <w:numId w:val="1002"/>
        </w:numPr>
        <w:pStyle w:val="Compact"/>
      </w:pPr>
      <w:r>
        <w:rPr>
          <w:bCs/>
          <w:b/>
        </w:rPr>
        <w:t xml:space="preserve">Content</w:t>
      </w:r>
      <w:r>
        <w:t xml:space="preserve"> </w:t>
      </w:r>
      <w:r>
        <w:t xml:space="preserve">— the raw body of a fenced code block, from the line after the opening fence to the line before the closing fence.</w:t>
      </w:r>
    </w:p>
    <w:p>
      <w:pPr>
        <w:numPr>
          <w:ilvl w:val="0"/>
          <w:numId w:val="1002"/>
        </w:numPr>
        <w:pStyle w:val="Compact"/>
      </w:pPr>
      <w:r>
        <w:rPr>
          <w:bCs/>
          <w:b/>
        </w:rPr>
        <w:t xml:space="preserve">Target</w:t>
      </w:r>
      <w:r>
        <w:t xml:space="preserve"> </w:t>
      </w:r>
      <w:r>
        <w:t xml:space="preserve">— the link text of a Markdown link. When the link is a spec relation, Target is interpreted as a PID (for</w:t>
      </w:r>
      <w:r>
        <w:t xml:space="preserve"> </w:t>
      </w:r>
      <w:r>
        <w:rPr>
          <w:rStyle w:val="VerbatimChar"/>
        </w:rPr>
        <w:t xml:space="preserve">@</w:t>
      </w:r>
      <w:r>
        <w:t xml:space="preserve"> </w:t>
      </w:r>
      <w:r>
        <w:t xml:space="preserve">selectors) or a label (for</w:t>
      </w:r>
      <w:r>
        <w:t xml:space="preserve"> </w:t>
      </w:r>
      <w:r>
        <w:rPr>
          <w:rStyle w:val="VerbatimChar"/>
        </w:rPr>
        <w:t xml:space="preserve">#</w:t>
      </w:r>
      <w:r>
        <w:t xml:space="preserve"> </w:t>
      </w:r>
      <w:r>
        <w:t xml:space="preserve">selectors).</w:t>
      </w:r>
    </w:p>
    <w:p>
      <w:pPr>
        <w:numPr>
          <w:ilvl w:val="0"/>
          <w:numId w:val="1002"/>
        </w:numPr>
        <w:pStyle w:val="Compact"/>
      </w:pPr>
      <w:r>
        <w:rPr>
          <w:bCs/>
          <w:b/>
        </w:rPr>
        <w:t xml:space="preserve">Selector</w:t>
      </w:r>
      <w:r>
        <w:t xml:space="preserve"> </w:t>
      </w:r>
      <w:r>
        <w:t xml:space="preserve">— the URL portion of a Markdown link that triggers spec relation recognition. Must start with</w:t>
      </w:r>
      <w:r>
        <w:t xml:space="preserve"> </w:t>
      </w:r>
      <w:r>
        <w:rPr>
          <w:rStyle w:val="VerbatimChar"/>
        </w:rPr>
        <w:t xml:space="preserve">@</w:t>
      </w:r>
      <w:r>
        <w:t xml:space="preserve"> </w:t>
      </w:r>
      <w:r>
        <w:t xml:space="preserve">or</w:t>
      </w:r>
      <w:r>
        <w:t xml:space="preserve"> </w:t>
      </w:r>
      <w:r>
        <w:rPr>
          <w:rStyle w:val="VerbatimChar"/>
        </w:rPr>
        <w:t xml:space="preserve">#</w:t>
      </w:r>
      <w:r>
        <w:t xml:space="preserve">. The full string (including the prefix) is the selector value.</w:t>
      </w:r>
    </w:p>
    <w:p>
      <w:pPr>
        <w:numPr>
          <w:ilvl w:val="0"/>
          <w:numId w:val="1002"/>
        </w:numPr>
        <w:pStyle w:val="Compact"/>
      </w:pPr>
      <w:r>
        <w:rPr>
          <w:bCs/>
          <w:b/>
        </w:rPr>
        <w:t xml:space="preserve">ViewParam</w:t>
      </w:r>
      <w:r>
        <w:t xml:space="preserve"> </w:t>
      </w:r>
      <w:r>
        <w:t xml:space="preserve">— the parameter portion of a view invocation, following the</w:t>
      </w:r>
      <w:r>
        <w:t xml:space="preserve"> </w:t>
      </w:r>
      <w:r>
        <w:rPr>
          <w:rStyle w:val="VerbatimChar"/>
        </w:rPr>
        <w:t xml:space="preserve">TypeRef ":"</w:t>
      </w:r>
      <w:r>
        <w:t xml:space="preserve"> </w:t>
      </w:r>
      <w:r>
        <w:t xml:space="preserve">prefix. A free-form string whose interpretation is view-type-specific.</w:t>
      </w:r>
    </w:p>
    <w:p>
      <w:pPr>
        <w:numPr>
          <w:ilvl w:val="0"/>
          <w:numId w:val="1002"/>
        </w:numPr>
        <w:pStyle w:val="Compact"/>
      </w:pPr>
      <w:r>
        <w:rPr>
          <w:bCs/>
          <w:b/>
        </w:rPr>
        <w:t xml:space="preserve">BlockContent</w:t>
      </w:r>
      <w:r>
        <w:t xml:space="preserve"> </w:t>
      </w:r>
      <w:r>
        <w:t xml:space="preserve">— any valid Markdown block-level content (paragraphs, lists, code blocks, blockquotes) that is not recognized as one of the other CommonSpec constructs. See Disambiguation Rules.</w:t>
      </w:r>
    </w:p>
    <w:p>
      <w:pPr>
        <w:numPr>
          <w:ilvl w:val="0"/>
          <w:numId w:val="1002"/>
        </w:numPr>
        <w:pStyle w:val="Compact"/>
      </w:pPr>
      <w:r>
        <w:rPr>
          <w:bCs/>
          <w:b/>
        </w:rPr>
        <w:t xml:space="preserve">HeaderLevel</w:t>
      </w:r>
      <w:r>
        <w:t xml:space="preserve"> </w:t>
      </w:r>
      <w:r>
        <w:t xml:space="preserve">— a heading marker indicating depth:</w:t>
      </w:r>
      <w:r>
        <w:t xml:space="preserve"> </w:t>
      </w:r>
      <w:r>
        <w:rPr>
          <w:rStyle w:val="VerbatimChar"/>
        </w:rPr>
        <w:t xml:space="preserve">"##" | "###" | "####" | "#####" | "######"</w:t>
      </w:r>
      <w:r>
        <w:t xml:space="preserve">.</w:t>
      </w:r>
    </w:p>
    <w:bookmarkEnd w:id="25"/>
    <w:bookmarkStart w:id="32" w:name="SPEC-sec3.2"/>
    <w:p>
      <w:pPr>
        <w:pStyle w:val="Heading2"/>
        <w:numPr>
          <w:ilvl w:val="1"/>
          <w:numId w:val="100"/>
        </w:numPr>
      </w:pPr>
      <w:r>
        <w:t xml:space="preserve">Specification</w:t>
      </w:r>
    </w:p>
    <w:p>
      <w:pPr>
        <w:pStyle w:val="FirstParagraph"/>
      </w:pPr>
      <w:r>
        <w:t xml:space="preserve">A</w:t>
      </w:r>
      <w:r>
        <w:t xml:space="preserve"> </w:t>
      </w:r>
      <w:r>
        <w:rPr>
          <w:bCs/>
          <w:b/>
        </w:rPr>
        <w:t xml:space="preserve">Specification</w:t>
      </w:r>
      <w:r>
        <w:t xml:space="preserve"> </w:t>
      </w:r>
      <w:r>
        <w:t xml:space="preserve">is the root document container, created from an H1 header. It represents a complete document such as an SRS, SDD, or SVC. Each</w:t>
      </w:r>
      <w:r>
        <w:t xml:space="preserve"> </w:t>
      </w:r>
      <w:r>
        <w:rPr>
          <w:rStyle w:val="VerbatimChar"/>
        </w:rPr>
        <w:t xml:space="preserve">.md</w:t>
      </w:r>
      <w:r>
        <w:t xml:space="preserve"> </w:t>
      </w:r>
      <w:r>
        <w:t xml:space="preserve">file produces exactly one specification.</w:t>
      </w:r>
    </w:p>
    <w:bookmarkStart w:id="26" w:name="SPEC-sec3.2.1"/>
    <w:p>
      <w:pPr>
        <w:pStyle w:val="Heading3"/>
        <w:numPr>
          <w:ilvl w:val="2"/>
          <w:numId w:val="100"/>
        </w:numPr>
      </w:pPr>
      <w:r>
        <w:t xml:space="preserve">Formal Definition</w:t>
      </w:r>
    </w:p>
    <w:p>
      <w:pPr>
        <w:pStyle w:val="FirstParagraph"/>
      </w:pPr>
      <w:r>
        <w:t xml:space="preserve">A Specification is a tuple</w:t>
      </w:r>
      <w:r>
        <w:t xml:space="preserve"> </w:t>
      </w:r>
      <m:oMath>
        <m:r>
          <m:t>S</m:t>
        </m:r>
        <m:r>
          <m:rPr>
            <m:sty m:val="p"/>
          </m:rPr>
          <m:t>=</m:t>
        </m:r>
        <m:d>
          <m:dPr>
            <m:begChr m:val="("/>
            <m:endChr m:val=")"/>
            <m:sepChr m:val=""/>
            <m:grow/>
          </m:dPr>
          <m:e>
            <m:r>
              <m:t>τ</m:t>
            </m:r>
            <m:r>
              <m:rPr>
                <m:sty m:val="p"/>
              </m:rPr>
              <m:t>,</m:t>
            </m:r>
            <m:r>
              <m:t>n</m:t>
            </m:r>
            <m:r>
              <m:rPr>
                <m:sty m:val="p"/>
              </m:rPr>
              <m:t>,</m:t>
            </m:r>
            <m:r>
              <m:rPr>
                <m:nor/>
                <m:sty m:val="p"/>
              </m:rPr>
              <m:t>pid</m:t>
            </m:r>
            <m:r>
              <m:rPr>
                <m:sty m:val="p"/>
              </m:rPr>
              <m:t>,</m:t>
            </m:r>
            <m:r>
              <m:rPr>
                <m:sty m:val="p"/>
                <m:scr m:val="script"/>
              </m:rPr>
              <m:t>A</m:t>
            </m:r>
            <m:r>
              <m:rPr>
                <m:sty m:val="p"/>
              </m:rPr>
              <m:t>,</m:t>
            </m:r>
            <m:r>
              <m:rPr>
                <m:sty m:val="p"/>
                <m:scr m:val="script"/>
              </m:rPr>
              <m:t>O</m:t>
            </m:r>
          </m:e>
        </m:d>
      </m:oMath>
      <w:r>
        <w:t xml:space="preserve"> </w:t>
      </w:r>
      <w:r>
        <w:t xml:space="preserve">where:</w:t>
      </w:r>
    </w:p>
    <w:p>
      <w:pPr>
        <w:numPr>
          <w:ilvl w:val="0"/>
          <w:numId w:val="1003"/>
        </w:numPr>
        <w:pStyle w:val="Compact"/>
      </w:pPr>
      <m:oMath>
        <m:r>
          <m:t>τ</m:t>
        </m:r>
        <m:r>
          <m:rPr>
            <m:sty m:val="p"/>
          </m:rPr>
          <m:t>∈</m:t>
        </m:r>
        <m:r>
          <m:t>Γ</m:t>
        </m:r>
        <m:r>
          <m:rPr>
            <m:sty m:val="p"/>
          </m:rPr>
          <m:t>.</m:t>
        </m:r>
        <m:sSub>
          <m:e>
            <m:r>
              <m:rPr>
                <m:sty m:val="p"/>
              </m:rPr>
              <m:t>⊤</m:t>
            </m:r>
          </m:e>
          <m:sub>
            <m:r>
              <m:t>S</m:t>
            </m:r>
          </m:sub>
        </m:sSub>
      </m:oMath>
      <w:r>
        <w:t xml:space="preserve"> </w:t>
      </w:r>
      <w:r>
        <w:t xml:space="preserve">is the specification type (e.g. SRS, SDD, SVC, TRR), defined by the model.</w:t>
      </w:r>
    </w:p>
    <w:p>
      <w:pPr>
        <w:numPr>
          <w:ilvl w:val="0"/>
          <w:numId w:val="1003"/>
        </w:numPr>
        <w:pStyle w:val="Compact"/>
      </w:pPr>
      <m:oMath>
        <m:r>
          <m:t>n</m:t>
        </m:r>
        <m:r>
          <m:rPr>
            <m:sty m:val="p"/>
          </m:rPr>
          <m:t>∈</m:t>
        </m:r>
        <m:r>
          <m:rPr>
            <m:nor/>
            <m:sty m:val="p"/>
          </m:rPr>
          <m:t>String</m:t>
        </m:r>
      </m:oMath>
      <w:r>
        <w:t xml:space="preserve"> </w:t>
      </w:r>
      <w:r>
        <w:t xml:space="preserve">is the document title from the H1 header.</w:t>
      </w:r>
    </w:p>
    <w:p>
      <w:pPr>
        <w:numPr>
          <w:ilvl w:val="0"/>
          <w:numId w:val="1003"/>
        </w:numPr>
        <w:pStyle w:val="Compact"/>
      </w:pPr>
      <m:oMath>
        <m:r>
          <m:rPr>
            <m:nor/>
            <m:sty m:val="p"/>
          </m:rPr>
          <m:t>pid</m:t>
        </m:r>
        <m:r>
          <m:rPr>
            <m:sty m:val="p"/>
          </m:rPr>
          <m:t>∈</m:t>
        </m:r>
        <m:r>
          <m:rPr>
            <m:nor/>
            <m:sty m:val="p"/>
          </m:rPr>
          <m:t>String</m:t>
        </m:r>
      </m:oMath>
      <w:r>
        <w:t xml:space="preserve"> </w:t>
      </w:r>
      <w:r>
        <w:t xml:space="preserve">is the global project identifier, auto-generated from</w:t>
      </w:r>
      <w:r>
        <w:t xml:space="preserve"> </w:t>
      </w:r>
      <m:oMath>
        <m:r>
          <m:t>τ</m:t>
        </m:r>
      </m:oMath>
      <w:r>
        <w:t xml:space="preserve"> </w:t>
      </w:r>
      <w:r>
        <w:t xml:space="preserve">when not explicit.</w:t>
      </w:r>
    </w:p>
    <w:p>
      <w:pPr>
        <w:numPr>
          <w:ilvl w:val="0"/>
          <w:numId w:val="1003"/>
        </w:numPr>
        <w:pStyle w:val="Compact"/>
      </w:pPr>
      <m:oMath>
        <m:r>
          <m:rPr>
            <m:sty m:val="p"/>
            <m:scr m:val="script"/>
          </m:rPr>
          <m:t>A</m:t>
        </m:r>
        <m:r>
          <m:rPr>
            <m:sty m:val="p"/>
          </m:rPr>
          <m:t>⊆</m:t>
        </m:r>
        <m:r>
          <m:rPr>
            <m:nor/>
            <m:sty m:val="p"/>
          </m:rPr>
          <m:t>SpecAttribute</m:t>
        </m:r>
      </m:oMath>
      <w:r>
        <w:t xml:space="preserve"> </w:t>
      </w:r>
      <w:r>
        <w:t xml:space="preserve">is the set of typed attributes (version, status, date, etc.).</w:t>
      </w:r>
    </w:p>
    <w:p>
      <w:pPr>
        <w:numPr>
          <w:ilvl w:val="0"/>
          <w:numId w:val="1003"/>
        </w:numPr>
        <w:pStyle w:val="Compact"/>
      </w:pPr>
      <m:oMath>
        <m:r>
          <m:rPr>
            <m:sty m:val="p"/>
            <m:scr m:val="script"/>
          </m:rPr>
          <m:t>O</m:t>
        </m:r>
        <m:r>
          <m:rPr>
            <m:sty m:val="p"/>
          </m:rPr>
          <m:t>⊆</m:t>
        </m:r>
        <m:r>
          <m:rPr>
            <m:nor/>
            <m:sty m:val="p"/>
          </m:rPr>
          <m:t>SpecObject</m:t>
        </m:r>
      </m:oMath>
      <w:r>
        <w:t xml:space="preserve"> </w:t>
      </w:r>
      <w:r>
        <w:t xml:space="preserve">is the set of child spec objects.</w:t>
      </w:r>
    </w:p>
    <w:bookmarkEnd w:id="26"/>
    <w:bookmarkStart w:id="30" w:name="SPEC-sec3.2.2"/>
    <w:p>
      <w:pPr>
        <w:pStyle w:val="Heading3"/>
        <w:numPr>
          <w:ilvl w:val="2"/>
          <w:numId w:val="100"/>
        </w:numPr>
      </w:pPr>
      <w:r>
        <w:t xml:space="preserve">Grammar</w:t>
      </w:r>
    </w:p>
    <w:p>
      <w:pPr>
        <w:spacing w:lineRule="exact" w:after="0" w:before="0" w:line="20"/>
        <w:rPr>
          <w:sz w:val="2"/>
        </w:rPr>
      </w:pPr>
      <w:bookmarkStart w:id="36907" w:name="puml-grammar-spec"/>
      <w:bookmarkEnd w:id="36907"/>
    </w:p>
    <w:p>
      <w:pPr>
        <w:pStyle w:val="Caption"/>
        <w:keepNext/>
      </w:pPr>
      <w:r>
        <w:t xml:space="preserve">Figure </w:t>
      </w:r>
      <w:r>
        <w:fldChar w:fldCharType="begin"/>
      </w:r>
      <w:r>
        <w:instrText xml:space="preserve"> SEQ FIGURE \* ARABIC </w:instrText>
      </w:r>
      <w:r>
        <w:fldChar w:fldCharType="separate"/>
      </w:r>
      <w:r>
        <w:t>1</w:t>
      </w:r>
      <w:r>
        <w:fldChar w:fldCharType="end"/>
      </w:r>
      <w:r>
        <w:t xml:space="preserve"> – Specification production</w:t>
      </w:r>
    </w:p>
    <w:p>
      <w:pPr>
        <w:pStyle w:val="FirstParagraph"/>
        <w:jc w:val="center"/>
      </w:pPr>
      <w:r>
        <w:drawing>
          <wp:inline>
            <wp:extent cx="5334000" cy="1407367"/>
            <wp:effectExtent b="0" l="0" r="0" t="0"/>
            <wp:docPr descr="" title="" id="28" name="Picture"/>
            <a:graphic>
              <a:graphicData uri="http://schemas.openxmlformats.org/drawingml/2006/picture">
                <pic:pic>
                  <pic:nvPicPr>
                    <pic:cNvPr descr="diagrams/914a205f97052d55a70a59d729d8a4c4ec421903.png" id="29" name="Picture"/>
                    <pic:cNvPicPr>
                      <a:picLocks noChangeArrowheads="1" noChangeAspect="1"/>
                    </pic:cNvPicPr>
                  </pic:nvPicPr>
                  <pic:blipFill>
                    <a:blip r:embed="rId27"/>
                    <a:stretch>
                      <a:fillRect/>
                    </a:stretch>
                  </pic:blipFill>
                  <pic:spPr bwMode="auto">
                    <a:xfrm>
                      <a:off x="0" y="0"/>
                      <a:ext cx="5334000" cy="1407367"/>
                    </a:xfrm>
                    <a:prstGeom prst="rect">
                      <a:avLst/>
                    </a:prstGeom>
                    <a:noFill/>
                    <a:ln w="9525">
                      <a:noFill/>
                      <a:headEnd/>
                      <a:tailEnd/>
                    </a:ln>
                  </pic:spPr>
                </pic:pic>
              </a:graphicData>
            </a:graphic>
          </wp:inline>
        </w:drawing>
      </w:r>
    </w:p>
    <w:bookmarkEnd w:id="30"/>
    <w:bookmarkStart w:id="31" w:name="SPEC-sec3.2.3"/>
    <w:p>
      <w:pPr>
        <w:pStyle w:val="Heading3"/>
        <w:numPr>
          <w:ilvl w:val="2"/>
          <w:numId w:val="100"/>
        </w:numPr>
      </w:pPr>
      <w:r>
        <w:t xml:space="preserve">Examples</w:t>
      </w:r>
    </w:p>
    <w:p>
      <w:pPr>
        <w:pStyle w:val="FirstParagraph"/>
      </w:pPr>
      <w:r>
        <w:t xml:space="preserve">A specification with an explicit type and PID:</w:t>
      </w:r>
    </w:p>
    <w:p>
      <w:pPr>
        <w:pStyle w:val="SourceCode"/>
      </w:pPr>
      <w:r>
        <w:rPr>
          <w:rStyle w:val="VerbatimChar"/>
        </w:rPr>
        <w:t xml:space="preserve"># SRS: Login Service @SRS-001</w:t>
      </w:r>
      <w:r>
        <w:br/>
      </w:r>
      <w:r>
        <w:br/>
      </w:r>
      <w:r>
        <w:rPr>
          <w:rStyle w:val="VerbatimChar"/>
        </w:rPr>
        <w:t xml:space="preserve">&gt; version: 1.0</w:t>
      </w:r>
      <w:r>
        <w:br/>
      </w:r>
      <w:r>
        <w:br/>
      </w:r>
      <w:r>
        <w:rPr>
          <w:rStyle w:val="VerbatimChar"/>
        </w:rPr>
        <w:t xml:space="preserve">&gt; status: Draft</w:t>
      </w:r>
    </w:p>
    <w:p>
      <w:pPr>
        <w:pStyle w:val="FirstParagraph"/>
      </w:pPr>
      <w:r>
        <w:t xml:space="preserve">A specification with type inferred from title:</w:t>
      </w:r>
    </w:p>
    <w:p>
      <w:pPr>
        <w:pStyle w:val="SourceCode"/>
      </w:pPr>
      <w:r>
        <w:rPr>
          <w:rStyle w:val="VerbatimChar"/>
        </w:rPr>
        <w:t xml:space="preserve"># User Manual</w:t>
      </w:r>
    </w:p>
    <w:bookmarkEnd w:id="31"/>
    <w:bookmarkEnd w:id="32"/>
    <w:bookmarkStart w:id="42" w:name="SPEC-sec3.3"/>
    <w:p>
      <w:pPr>
        <w:pStyle w:val="Heading2"/>
        <w:numPr>
          <w:ilvl w:val="1"/>
          <w:numId w:val="100"/>
        </w:numPr>
      </w:pPr>
      <w:r>
        <w:t xml:space="preserve">Spec Object</w:t>
      </w:r>
    </w:p>
    <w:p>
      <w:pPr>
        <w:pStyle w:val="FirstParagraph"/>
      </w:pPr>
      <w:r>
        <w:t xml:space="preserve">A</w:t>
      </w:r>
      <w:r>
        <w:t xml:space="preserve"> </w:t>
      </w:r>
      <w:r>
        <w:rPr>
          <w:bCs/>
          <w:b/>
        </w:rPr>
        <w:t xml:space="preserve">Spec Object</w:t>
      </w:r>
      <w:r>
        <w:t xml:space="preserve"> </w:t>
      </w:r>
      <w:r>
        <w:t xml:space="preserve">is a traceable element within a specification, created from H2–H6 headers. Objects can be requirements (HLR, LLR), verification cases (VC), design elements (FD, CSC, CSU), or structural sections (SECTION). Each object has a type, an optional PID, and can contain attributes, body content, floats, relations, views, and child objects.</w:t>
      </w:r>
    </w:p>
    <w:bookmarkStart w:id="33" w:name="SPEC-sec3.3.1"/>
    <w:p>
      <w:pPr>
        <w:pStyle w:val="Heading3"/>
        <w:numPr>
          <w:ilvl w:val="2"/>
          <w:numId w:val="100"/>
        </w:numPr>
      </w:pPr>
      <w:r>
        <w:t xml:space="preserve">Formal Definition</w:t>
      </w:r>
    </w:p>
    <w:p>
      <w:pPr>
        <w:pStyle w:val="FirstParagraph"/>
      </w:pPr>
      <w:r>
        <w:t xml:space="preserve">A Spec Object is a tuple</w:t>
      </w:r>
      <w:r>
        <w:t xml:space="preserve"> </w:t>
      </w:r>
      <m:oMath>
        <m:r>
          <m:t>O</m:t>
        </m:r>
        <m:r>
          <m:rPr>
            <m:sty m:val="p"/>
          </m:rPr>
          <m:t>=</m:t>
        </m:r>
        <m:d>
          <m:dPr>
            <m:begChr m:val="("/>
            <m:endChr m:val=")"/>
            <m:sepChr m:val=""/>
            <m:grow/>
          </m:dPr>
          <m:e>
            <m:r>
              <m:t>τ</m:t>
            </m:r>
            <m:r>
              <m:rPr>
                <m:sty m:val="p"/>
              </m:rPr>
              <m:t>,</m:t>
            </m:r>
            <m:r>
              <m:rPr>
                <m:nor/>
                <m:sty m:val="p"/>
              </m:rPr>
              <m:t>title</m:t>
            </m:r>
            <m:r>
              <m:rPr>
                <m:sty m:val="p"/>
              </m:rPr>
              <m:t>,</m:t>
            </m:r>
            <m:r>
              <m:rPr>
                <m:nor/>
                <m:sty m:val="p"/>
              </m:rPr>
              <m:t>pid</m:t>
            </m:r>
            <m:r>
              <m:rPr>
                <m:sty m:val="p"/>
              </m:rPr>
              <m:t>,</m:t>
            </m:r>
            <m:r>
              <m:t>β</m:t>
            </m:r>
            <m:r>
              <m:rPr>
                <m:sty m:val="p"/>
              </m:rPr>
              <m:t>,</m:t>
            </m:r>
            <m:r>
              <m:rPr>
                <m:sty m:val="p"/>
                <m:scr m:val="script"/>
              </m:rPr>
              <m:t>A</m:t>
            </m:r>
            <m:r>
              <m:rPr>
                <m:sty m:val="p"/>
              </m:rPr>
              <m:t>,</m:t>
            </m:r>
            <m:r>
              <m:rPr>
                <m:sty m:val="p"/>
                <m:scr m:val="script"/>
              </m:rPr>
              <m:t>F</m:t>
            </m:r>
            <m:r>
              <m:rPr>
                <m:sty m:val="p"/>
              </m:rPr>
              <m:t>,</m:t>
            </m:r>
            <m:r>
              <m:rPr>
                <m:sty m:val="p"/>
                <m:scr m:val="script"/>
              </m:rPr>
              <m:t>R</m:t>
            </m:r>
            <m:r>
              <m:rPr>
                <m:sty m:val="p"/>
              </m:rPr>
              <m:t>,</m:t>
            </m:r>
            <m:r>
              <m:rPr>
                <m:sty m:val="p"/>
                <m:scr m:val="script"/>
              </m:rPr>
              <m:t>V</m:t>
            </m:r>
            <m:r>
              <m:rPr>
                <m:sty m:val="p"/>
              </m:rPr>
              <m:t>,</m:t>
            </m:r>
            <m:r>
              <m:rPr>
                <m:sty m:val="p"/>
                <m:scr m:val="script"/>
              </m:rPr>
              <m:t>O</m:t>
            </m:r>
          </m:e>
        </m:d>
      </m:oMath>
      <w:r>
        <w:t xml:space="preserve"> </w:t>
      </w:r>
      <w:r>
        <w:t xml:space="preserve">where:</w:t>
      </w:r>
    </w:p>
    <w:p>
      <w:pPr>
        <w:numPr>
          <w:ilvl w:val="0"/>
          <w:numId w:val="1004"/>
        </w:numPr>
        <w:pStyle w:val="Compact"/>
      </w:pPr>
      <m:oMath>
        <m:r>
          <m:t>τ</m:t>
        </m:r>
        <m:r>
          <m:rPr>
            <m:sty m:val="p"/>
          </m:rPr>
          <m:t>∈</m:t>
        </m:r>
        <m:r>
          <m:t>Γ</m:t>
        </m:r>
        <m:r>
          <m:rPr>
            <m:sty m:val="p"/>
          </m:rPr>
          <m:t>.</m:t>
        </m:r>
        <m:sSub>
          <m:e>
            <m:r>
              <m:rPr>
                <m:sty m:val="p"/>
              </m:rPr>
              <m:t>⊤</m:t>
            </m:r>
          </m:e>
          <m:sub>
            <m:r>
              <m:t>O</m:t>
            </m:r>
          </m:sub>
        </m:sSub>
      </m:oMath>
      <w:r>
        <w:t xml:space="preserve"> </w:t>
      </w:r>
      <w:r>
        <w:t xml:space="preserve">is the object type (e.g. HLR, LLR, VC, SECTION).</w:t>
      </w:r>
    </w:p>
    <w:p>
      <w:pPr>
        <w:numPr>
          <w:ilvl w:val="0"/>
          <w:numId w:val="1004"/>
        </w:numPr>
        <w:pStyle w:val="Compact"/>
      </w:pPr>
      <m:oMath>
        <m:r>
          <m:rPr>
            <m:nor/>
            <m:sty m:val="p"/>
          </m:rPr>
          <m:t>title</m:t>
        </m:r>
        <m:r>
          <m:rPr>
            <m:sty m:val="p"/>
          </m:rPr>
          <m:t>∈</m:t>
        </m:r>
        <m:r>
          <m:rPr>
            <m:nor/>
            <m:sty m:val="p"/>
          </m:rPr>
          <m:t>String</m:t>
        </m:r>
      </m:oMath>
      <w:r>
        <w:t xml:space="preserve"> </w:t>
      </w:r>
      <w:r>
        <w:t xml:space="preserve">is the plain-text title from the header.</w:t>
      </w:r>
    </w:p>
    <w:p>
      <w:pPr>
        <w:numPr>
          <w:ilvl w:val="0"/>
          <w:numId w:val="1004"/>
        </w:numPr>
        <w:pStyle w:val="Compact"/>
      </w:pPr>
      <m:oMath>
        <m:r>
          <m:rPr>
            <m:nor/>
            <m:sty m:val="p"/>
          </m:rPr>
          <m:t>pid</m:t>
        </m:r>
        <m:r>
          <m:rPr>
            <m:sty m:val="p"/>
          </m:rPr>
          <m:t>∈</m:t>
        </m:r>
        <m:r>
          <m:rPr>
            <m:nor/>
            <m:sty m:val="p"/>
          </m:rPr>
          <m:t>String</m:t>
        </m:r>
      </m:oMath>
      <w:r>
        <w:t xml:space="preserve"> </w:t>
      </w:r>
      <w:r>
        <w:t xml:space="preserve">is the project identifier for cross-referencing, auto-generated when not explicit.</w:t>
      </w:r>
    </w:p>
    <w:p>
      <w:pPr>
        <w:numPr>
          <w:ilvl w:val="0"/>
          <w:numId w:val="1004"/>
        </w:numPr>
        <w:pStyle w:val="Compact"/>
      </w:pPr>
      <m:oMath>
        <m:r>
          <m:t>β</m:t>
        </m:r>
      </m:oMath>
      <w:r>
        <w:t xml:space="preserve"> </w:t>
      </w:r>
      <w:r>
        <w:t xml:space="preserve">is the accumulated body content (block and inline elements).</w:t>
      </w:r>
    </w:p>
    <w:p>
      <w:pPr>
        <w:numPr>
          <w:ilvl w:val="0"/>
          <w:numId w:val="1004"/>
        </w:numPr>
        <w:pStyle w:val="Compact"/>
      </w:pPr>
      <m:oMath>
        <m:r>
          <m:rPr>
            <m:sty m:val="p"/>
            <m:scr m:val="script"/>
          </m:rPr>
          <m:t>A</m:t>
        </m:r>
        <m:r>
          <m:rPr>
            <m:sty m:val="p"/>
          </m:rPr>
          <m:t>⊆</m:t>
        </m:r>
        <m:r>
          <m:rPr>
            <m:nor/>
            <m:sty m:val="p"/>
          </m:rPr>
          <m:t>SpecAttribute</m:t>
        </m:r>
      </m:oMath>
      <w:r>
        <w:t xml:space="preserve"> </w:t>
      </w:r>
      <w:r>
        <w:t xml:space="preserve">is the set of typed attributes.</w:t>
      </w:r>
    </w:p>
    <w:p>
      <w:pPr>
        <w:numPr>
          <w:ilvl w:val="0"/>
          <w:numId w:val="1004"/>
        </w:numPr>
        <w:pStyle w:val="Compact"/>
      </w:pPr>
      <m:oMath>
        <m:r>
          <m:rPr>
            <m:sty m:val="p"/>
            <m:scr m:val="script"/>
          </m:rPr>
          <m:t>F</m:t>
        </m:r>
        <m:r>
          <m:rPr>
            <m:sty m:val="p"/>
          </m:rPr>
          <m:t>⊆</m:t>
        </m:r>
        <m:r>
          <m:rPr>
            <m:nor/>
            <m:sty m:val="p"/>
          </m:rPr>
          <m:t>SpecFloat</m:t>
        </m:r>
      </m:oMath>
      <w:r>
        <w:t xml:space="preserve"> </w:t>
      </w:r>
      <w:r>
        <w:t xml:space="preserve">is the set of child floats.</w:t>
      </w:r>
    </w:p>
    <w:p>
      <w:pPr>
        <w:numPr>
          <w:ilvl w:val="0"/>
          <w:numId w:val="1004"/>
        </w:numPr>
        <w:pStyle w:val="Compact"/>
      </w:pPr>
      <m:oMath>
        <m:r>
          <m:rPr>
            <m:sty m:val="p"/>
            <m:scr m:val="script"/>
          </m:rPr>
          <m:t>R</m:t>
        </m:r>
        <m:r>
          <m:rPr>
            <m:sty m:val="p"/>
          </m:rPr>
          <m:t>⊆</m:t>
        </m:r>
        <m:r>
          <m:rPr>
            <m:nor/>
            <m:sty m:val="p"/>
          </m:rPr>
          <m:t>SpecRelation</m:t>
        </m:r>
      </m:oMath>
      <w:r>
        <w:t xml:space="preserve"> </w:t>
      </w:r>
      <w:r>
        <w:t xml:space="preserve">is the set of child relations in</w:t>
      </w:r>
      <w:r>
        <w:t xml:space="preserve"> </w:t>
      </w:r>
      <m:oMath>
        <m:r>
          <m:t>β</m:t>
        </m:r>
      </m:oMath>
      <w:r>
        <w:t xml:space="preserve">.</w:t>
      </w:r>
    </w:p>
    <w:p>
      <w:pPr>
        <w:numPr>
          <w:ilvl w:val="0"/>
          <w:numId w:val="1004"/>
        </w:numPr>
        <w:pStyle w:val="Compact"/>
      </w:pPr>
      <m:oMath>
        <m:r>
          <m:rPr>
            <m:sty m:val="p"/>
            <m:scr m:val="script"/>
          </m:rPr>
          <m:t>V</m:t>
        </m:r>
        <m:r>
          <m:rPr>
            <m:sty m:val="p"/>
          </m:rPr>
          <m:t>⊆</m:t>
        </m:r>
        <m:r>
          <m:rPr>
            <m:nor/>
            <m:sty m:val="p"/>
          </m:rPr>
          <m:t>SpecView</m:t>
        </m:r>
      </m:oMath>
      <w:r>
        <w:t xml:space="preserve"> </w:t>
      </w:r>
      <w:r>
        <w:t xml:space="preserve">is the set of child views.</w:t>
      </w:r>
    </w:p>
    <w:p>
      <w:pPr>
        <w:numPr>
          <w:ilvl w:val="0"/>
          <w:numId w:val="1004"/>
        </w:numPr>
        <w:pStyle w:val="Compact"/>
      </w:pPr>
      <m:oMath>
        <m:r>
          <m:rPr>
            <m:sty m:val="p"/>
            <m:scr m:val="script"/>
          </m:rPr>
          <m:t>O</m:t>
        </m:r>
        <m:r>
          <m:rPr>
            <m:sty m:val="p"/>
          </m:rPr>
          <m:t>⊆</m:t>
        </m:r>
        <m:r>
          <m:rPr>
            <m:nor/>
            <m:sty m:val="p"/>
          </m:rPr>
          <m:t>SpecObject</m:t>
        </m:r>
      </m:oMath>
      <w:r>
        <w:t xml:space="preserve"> </w:t>
      </w:r>
      <w:r>
        <w:t xml:space="preserve">is the set of child objects (exactly one heading level deeper).</w:t>
      </w:r>
    </w:p>
    <w:bookmarkEnd w:id="33"/>
    <w:bookmarkStart w:id="37" w:name="SPEC-sec3.3.2"/>
    <w:p>
      <w:pPr>
        <w:pStyle w:val="Heading3"/>
        <w:numPr>
          <w:ilvl w:val="2"/>
          <w:numId w:val="100"/>
        </w:numPr>
      </w:pPr>
      <w:r>
        <w:t xml:space="preserve">Grammar</w:t>
      </w:r>
    </w:p>
    <w:p>
      <w:pPr>
        <w:spacing w:lineRule="exact" w:after="0" w:before="0" w:line="20"/>
        <w:rPr>
          <w:sz w:val="2"/>
        </w:rPr>
      </w:pPr>
      <w:bookmarkStart w:id="45123" w:name="puml-grammar-spec-object"/>
      <w:bookmarkEnd w:id="45123"/>
    </w:p>
    <w:p>
      <w:pPr>
        <w:pStyle w:val="Caption"/>
        <w:keepNext/>
      </w:pPr>
      <w:r>
        <w:t xml:space="preserve">Figure </w:t>
      </w:r>
      <w:r>
        <w:fldChar w:fldCharType="begin"/>
      </w:r>
      <w:r>
        <w:instrText xml:space="preserve"> SEQ FIGURE \* ARABIC </w:instrText>
      </w:r>
      <w:r>
        <w:fldChar w:fldCharType="separate"/>
      </w:r>
      <w:r>
        <w:t>2</w:t>
      </w:r>
      <w:r>
        <w:fldChar w:fldCharType="end"/>
      </w:r>
      <w:r>
        <w:t xml:space="preserve"> – Spec Object production</w:t>
      </w:r>
    </w:p>
    <w:p>
      <w:pPr>
        <w:pStyle w:val="FirstParagraph"/>
        <w:jc w:val="center"/>
      </w:pPr>
      <w:r>
        <w:drawing>
          <wp:inline>
            <wp:extent cx="5334000" cy="2597000"/>
            <wp:effectExtent b="0" l="0" r="0" t="0"/>
            <wp:docPr descr="" title="" id="35" name="Picture"/>
            <a:graphic>
              <a:graphicData uri="http://schemas.openxmlformats.org/drawingml/2006/picture">
                <pic:pic>
                  <pic:nvPicPr>
                    <pic:cNvPr descr="diagrams/0b4b16c17baff5b520ae303f0938c1a333742fc6.png" id="36" name="Picture"/>
                    <pic:cNvPicPr>
                      <a:picLocks noChangeArrowheads="1" noChangeAspect="1"/>
                    </pic:cNvPicPr>
                  </pic:nvPicPr>
                  <pic:blipFill>
                    <a:blip r:embed="rId34"/>
                    <a:stretch>
                      <a:fillRect/>
                    </a:stretch>
                  </pic:blipFill>
                  <pic:spPr bwMode="auto">
                    <a:xfrm>
                      <a:off x="0" y="0"/>
                      <a:ext cx="5334000" cy="2597000"/>
                    </a:xfrm>
                    <a:prstGeom prst="rect">
                      <a:avLst/>
                    </a:prstGeom>
                    <a:noFill/>
                    <a:ln w="9525">
                      <a:noFill/>
                      <a:headEnd/>
                      <a:tailEnd/>
                    </a:ln>
                  </pic:spPr>
                </pic:pic>
              </a:graphicData>
            </a:graphic>
          </wp:inline>
        </w:drawing>
      </w:r>
    </w:p>
    <w:bookmarkEnd w:id="37"/>
    <w:bookmarkStart w:id="38" w:name="SPEC-sec3.3.3"/>
    <w:p>
      <w:pPr>
        <w:pStyle w:val="Heading3"/>
        <w:numPr>
          <w:ilvl w:val="2"/>
          <w:numId w:val="100"/>
        </w:numPr>
      </w:pPr>
      <w:r>
        <w:t xml:space="preserve">Type Inference</w:t>
      </w:r>
    </w:p>
    <w:p>
      <w:pPr>
        <w:pStyle w:val="FirstParagraph"/>
      </w:pPr>
      <w:r>
        <w:t xml:space="preserve">When a header has no explicit</w:t>
      </w:r>
      <w:r>
        <w:t xml:space="preserve"> </w:t>
      </w:r>
      <w:r>
        <w:rPr>
          <w:rStyle w:val="VerbatimChar"/>
        </w:rPr>
        <w:t xml:space="preserve">TypeRef:</w:t>
      </w:r>
      <w:r>
        <w:t xml:space="preserve"> </w:t>
      </w:r>
      <w:r>
        <w:t xml:space="preserve">prefix, the type is inferred:</w:t>
      </w:r>
    </w:p>
    <w:p>
      <w:pPr>
        <w:numPr>
          <w:ilvl w:val="0"/>
          <w:numId w:val="1005"/>
        </w:numPr>
        <w:pStyle w:val="Compact"/>
      </w:pPr>
      <w:r>
        <w:rPr>
          <w:bCs/>
          <w:b/>
        </w:rPr>
        <w:t xml:space="preserve">Implicit type aliases.</w:t>
      </w:r>
      <w:r>
        <w:t xml:space="preserve"> </w:t>
      </w:r>
      <w:r>
        <w:t xml:space="preserve">The title is matched against the model’s implicit type aliases (case-insensitive). For example, a model may map</w:t>
      </w:r>
      <w:r>
        <w:t xml:space="preserve"> </w:t>
      </w:r>
      <w:r>
        <w:t xml:space="preserve">“</w:t>
      </w:r>
      <w:r>
        <w:t xml:space="preserve">Introduction</w:t>
      </w:r>
      <w:r>
        <w:t xml:space="preserve">”</w:t>
      </w:r>
      <w:r>
        <w:t xml:space="preserve"> </w:t>
      </w:r>
      <w:r>
        <w:t xml:space="preserve">to SECTION.</w:t>
      </w:r>
    </w:p>
    <w:p>
      <w:pPr>
        <w:numPr>
          <w:ilvl w:val="0"/>
          <w:numId w:val="1005"/>
        </w:numPr>
        <w:pStyle w:val="Compact"/>
      </w:pPr>
      <w:r>
        <w:rPr>
          <w:bCs/>
          <w:b/>
        </w:rPr>
        <w:t xml:space="preserve">Default type.</w:t>
      </w:r>
      <w:r>
        <w:t xml:space="preserve"> </w:t>
      </w:r>
      <w:r>
        <w:t xml:space="preserve">If no alias matches, the model’s default object type is used (typically SECTION).</w:t>
      </w:r>
    </w:p>
    <w:bookmarkEnd w:id="38"/>
    <w:bookmarkStart w:id="39" w:name="SPEC-sec3.3.4"/>
    <w:p>
      <w:pPr>
        <w:pStyle w:val="Heading3"/>
        <w:numPr>
          <w:ilvl w:val="2"/>
          <w:numId w:val="100"/>
        </w:numPr>
      </w:pPr>
      <w:r>
        <w:t xml:space="preserve">PID Auto-Generation</w:t>
      </w:r>
    </w:p>
    <w:p>
      <w:pPr>
        <w:pStyle w:val="FirstParagraph"/>
      </w:pPr>
      <w:r>
        <w:t xml:space="preserve">When a header has no explicit</w:t>
      </w:r>
      <w:r>
        <w:t xml:space="preserve"> </w:t>
      </w:r>
      <w:r>
        <w:rPr>
          <w:rStyle w:val="VerbatimChar"/>
        </w:rPr>
        <w:t xml:space="preserve">@PID</w:t>
      </w:r>
      <w:r>
        <w:t xml:space="preserve">, a PID is auto-generated using the type’s</w:t>
      </w:r>
      <w:r>
        <w:t xml:space="preserve"> </w:t>
      </w:r>
      <w:r>
        <w:rPr>
          <w:rStyle w:val="VerbatimChar"/>
        </w:rPr>
        <w:t xml:space="preserve">pid_prefix</w:t>
      </w:r>
      <w:r>
        <w:t xml:space="preserve"> </w:t>
      </w:r>
      <w:r>
        <w:t xml:space="preserve">and</w:t>
      </w:r>
      <w:r>
        <w:t xml:space="preserve"> </w:t>
      </w:r>
      <w:r>
        <w:rPr>
          <w:rStyle w:val="VerbatimChar"/>
        </w:rPr>
        <w:t xml:space="preserve">pid_format</w:t>
      </w:r>
      <w:r>
        <w:t xml:space="preserve"> </w:t>
      </w:r>
      <w:r>
        <w:t xml:space="preserve">(e.g.,</w:t>
      </w:r>
      <w:r>
        <w:t xml:space="preserve"> </w:t>
      </w:r>
      <w:r>
        <w:rPr>
          <w:rStyle w:val="VerbatimChar"/>
        </w:rPr>
        <w:t xml:space="preserve">HLR-%03d</w:t>
      </w:r>
      <w:r>
        <w:t xml:space="preserve"> </w:t>
      </w:r>
      <w:r>
        <w:t xml:space="preserve">produces</w:t>
      </w:r>
      <w:r>
        <w:t xml:space="preserve"> </w:t>
      </w:r>
      <w:r>
        <w:t xml:space="preserve">“</w:t>
      </w:r>
      <w:r>
        <w:t xml:space="preserve">HLR-001</w:t>
      </w:r>
      <w:r>
        <w:t xml:space="preserve">”</w:t>
      </w:r>
      <w:r>
        <w:t xml:space="preserve">), starting from the next available sequence number.</w:t>
      </w:r>
    </w:p>
    <w:bookmarkEnd w:id="39"/>
    <w:bookmarkStart w:id="40" w:name="SPEC-sec3.3.5"/>
    <w:p>
      <w:pPr>
        <w:pStyle w:val="Heading3"/>
        <w:numPr>
          <w:ilvl w:val="2"/>
          <w:numId w:val="100"/>
        </w:numPr>
      </w:pPr>
      <w:r>
        <w:t xml:space="preserve">Examples</w:t>
      </w:r>
    </w:p>
    <w:p>
      <w:pPr>
        <w:pStyle w:val="FirstParagraph"/>
      </w:pPr>
      <w:r>
        <w:t xml:space="preserve">An object with explicit type and PID:</w:t>
      </w:r>
    </w:p>
    <w:p>
      <w:pPr>
        <w:pStyle w:val="SourceCode"/>
      </w:pPr>
      <w:r>
        <w:rPr>
          <w:rStyle w:val="VerbatimChar"/>
        </w:rPr>
        <w:t xml:space="preserve">## HLR: Authenticate Users @HLR-001</w:t>
      </w:r>
      <w:r>
        <w:br/>
      </w:r>
      <w:r>
        <w:br/>
      </w:r>
      <w:r>
        <w:rPr>
          <w:rStyle w:val="VerbatimChar"/>
        </w:rPr>
        <w:t xml:space="preserve">The system shall authenticate users via OAuth 2.0.</w:t>
      </w:r>
      <w:r>
        <w:br/>
      </w:r>
      <w:r>
        <w:br/>
      </w:r>
      <w:r>
        <w:rPr>
          <w:rStyle w:val="VerbatimChar"/>
        </w:rPr>
        <w:t xml:space="preserve">&gt; status: Draft</w:t>
      </w:r>
      <w:r>
        <w:br/>
      </w:r>
      <w:r>
        <w:br/>
      </w:r>
      <w:r>
        <w:rPr>
          <w:rStyle w:val="VerbatimChar"/>
        </w:rPr>
        <w:t xml:space="preserve">&gt; rationale: Industry standard for web authentication.</w:t>
      </w:r>
    </w:p>
    <w:p>
      <w:pPr>
        <w:pStyle w:val="FirstParagraph"/>
      </w:pPr>
      <w:r>
        <w:t xml:space="preserve">An object with type inferred from context:</w:t>
      </w:r>
    </w:p>
    <w:p>
      <w:pPr>
        <w:pStyle w:val="SourceCode"/>
      </w:pPr>
      <w:r>
        <w:rPr>
          <w:rStyle w:val="VerbatimChar"/>
        </w:rPr>
        <w:t xml:space="preserve">## Introduction</w:t>
      </w:r>
      <w:r>
        <w:br/>
      </w:r>
      <w:r>
        <w:br/>
      </w:r>
      <w:r>
        <w:rPr>
          <w:rStyle w:val="VerbatimChar"/>
        </w:rPr>
        <w:t xml:space="preserve">This section introduces the system.</w:t>
      </w:r>
    </w:p>
    <w:p>
      <w:pPr>
        <w:pStyle w:val="FirstParagraph"/>
      </w:pPr>
      <w:r>
        <w:t xml:space="preserve">Nested objects:</w:t>
      </w:r>
    </w:p>
    <w:p>
      <w:pPr>
        <w:pStyle w:val="SourceCode"/>
      </w:pPr>
      <w:r>
        <w:rPr>
          <w:rStyle w:val="VerbatimChar"/>
        </w:rPr>
        <w:t xml:space="preserve">## HLR: Security @HLR-010</w:t>
      </w:r>
      <w:r>
        <w:br/>
      </w:r>
      <w:r>
        <w:br/>
      </w:r>
      <w:r>
        <w:rPr>
          <w:rStyle w:val="VerbatimChar"/>
        </w:rPr>
        <w:t xml:space="preserve">### LLR: Password Policy @LLR-020</w:t>
      </w:r>
      <w:r>
        <w:br/>
      </w:r>
      <w:r>
        <w:br/>
      </w:r>
      <w:r>
        <w:rPr>
          <w:rStyle w:val="VerbatimChar"/>
        </w:rPr>
        <w:t xml:space="preserve">Passwords shall be at least 12 characters.</w:t>
      </w:r>
    </w:p>
    <w:bookmarkEnd w:id="40"/>
    <w:bookmarkStart w:id="41" w:name="SPEC-sec3.3.6"/>
    <w:p>
      <w:pPr>
        <w:pStyle w:val="Heading3"/>
        <w:numPr>
          <w:ilvl w:val="2"/>
          <w:numId w:val="100"/>
        </w:numPr>
      </w:pPr>
      <w:r>
        <w:t xml:space="preserve">Scope and Section Close</w:t>
      </w:r>
    </w:p>
    <w:p>
      <w:pPr>
        <w:pStyle w:val="FirstParagraph"/>
      </w:pPr>
      <w:r>
        <w:t xml:space="preserve">A spec object’s</w:t>
      </w:r>
      <w:r>
        <w:t xml:space="preserve"> </w:t>
      </w:r>
      <w:r>
        <w:rPr>
          <w:bCs/>
          <w:b/>
        </w:rPr>
        <w:t xml:space="preserve">scope</w:t>
      </w:r>
      <w:r>
        <w:t xml:space="preserve"> </w:t>
      </w:r>
      <w:r>
        <w:t xml:space="preserve">— the body content and floats it contains — runs from its header until the section is closed. A section closes in one of two ways:</w:t>
      </w:r>
    </w:p>
    <w:p>
      <w:pPr>
        <w:numPr>
          <w:ilvl w:val="0"/>
          <w:numId w:val="1006"/>
        </w:numPr>
        <w:pStyle w:val="Compact"/>
      </w:pPr>
      <w:r>
        <w:rPr>
          <w:bCs/>
          <w:b/>
        </w:rPr>
        <w:t xml:space="preserve">Automatically</w:t>
      </w:r>
      <w:r>
        <w:t xml:space="preserve">, at the next header of equal or shallower level (the usual case). A child object must be exactly one heading level deeper than its parent; skipping a level (for example</w:t>
      </w:r>
      <w:r>
        <w:t xml:space="preserve"> </w:t>
      </w:r>
      <w:r>
        <w:rPr>
          <w:rStyle w:val="VerbatimChar"/>
        </w:rPr>
        <w:t xml:space="preserve">##</w:t>
      </w:r>
      <w:r>
        <w:t xml:space="preserve"> </w:t>
      </w:r>
      <w:r>
        <w:t xml:space="preserve">directly to</w:t>
      </w:r>
      <w:r>
        <w:t xml:space="preserve"> </w:t>
      </w:r>
      <w:r>
        <w:rPr>
          <w:rStyle w:val="VerbatimChar"/>
        </w:rPr>
        <w:t xml:space="preserve">####</w:t>
      </w:r>
      <w:r>
        <w:t xml:space="preserve">) is rejected as a broken hierarchy.</w:t>
      </w:r>
    </w:p>
    <w:p>
      <w:pPr>
        <w:numPr>
          <w:ilvl w:val="0"/>
          <w:numId w:val="1006"/>
        </w:numPr>
        <w:pStyle w:val="Compact"/>
      </w:pPr>
      <w:r>
        <w:rPr>
          <w:bCs/>
          <w:b/>
        </w:rPr>
        <w:t xml:space="preserve">Manually</w:t>
      </w:r>
      <w:r>
        <w:t xml:space="preserve">, at a</w:t>
      </w:r>
      <w:r>
        <w:t xml:space="preserve"> </w:t>
      </w:r>
      <w:r>
        <w:rPr>
          <w:rStyle w:val="VerbatimChar"/>
        </w:rPr>
        <w:t xml:space="preserve">----</w:t>
      </w:r>
      <w:r>
        <w:t xml:space="preserve"> </w:t>
      </w:r>
      <w:r>
        <w:t xml:space="preserve">thematic break. The marker closes the current section so that following content belongs to the parent scope, and it is</w:t>
      </w:r>
      <w:r>
        <w:t xml:space="preserve"> </w:t>
      </w:r>
      <w:r>
        <w:rPr>
          <w:bCs/>
          <w:b/>
        </w:rPr>
        <w:t xml:space="preserve">consumed</w:t>
      </w:r>
      <w:r>
        <w:t xml:space="preserve"> </w:t>
      </w:r>
      <w:r>
        <w:t xml:space="preserve">— it produces no horizontal rule in the output.</w:t>
      </w:r>
    </w:p>
    <w:p>
      <w:pPr>
        <w:pStyle w:val="FirstParagraph"/>
      </w:pPr>
      <w:r>
        <w:t xml:space="preserve">Use</w:t>
      </w:r>
      <w:r>
        <w:t xml:space="preserve"> </w:t>
      </w:r>
      <w:r>
        <w:rPr>
          <w:rStyle w:val="VerbatimChar"/>
        </w:rPr>
        <w:t xml:space="preserve">----</w:t>
      </w:r>
      <w:r>
        <w:t xml:space="preserve"> </w:t>
      </w:r>
      <w:r>
        <w:t xml:space="preserve">to end a section without opening another heading. CommonSpec rejects an</w:t>
      </w:r>
      <w:r>
        <w:t xml:space="preserve"> </w:t>
      </w:r>
      <w:r>
        <w:rPr>
          <w:bCs/>
          <w:b/>
        </w:rPr>
        <w:t xml:space="preserve">empty heading</w:t>
      </w:r>
      <w:r>
        <w:t xml:space="preserve"> </w:t>
      </w:r>
      <w:r>
        <w:t xml:space="preserve">because it produces an invalid numbered section.</w:t>
      </w:r>
    </w:p>
    <w:p>
      <w:pPr>
        <w:pStyle w:val="SourceCode"/>
      </w:pPr>
      <w:r>
        <w:rPr>
          <w:rStyle w:val="VerbatimChar"/>
        </w:rPr>
        <w:t xml:space="preserve">## Pesquisa-Ação @SEC-PA</w:t>
      </w:r>
      <w:r>
        <w:br/>
      </w:r>
      <w:r>
        <w:br/>
      </w:r>
      <w:r>
        <w:rPr>
          <w:rStyle w:val="VerbatimChar"/>
        </w:rPr>
        <w:t xml:space="preserve">### Considerações Iniciais</w:t>
      </w:r>
      <w:r>
        <w:br/>
      </w:r>
      <w:r>
        <w:br/>
      </w:r>
      <w:r>
        <w:rPr>
          <w:rStyle w:val="VerbatimChar"/>
        </w:rPr>
        <w:t xml:space="preserve">Intro body that belongs to "Considerações Iniciais".</w:t>
      </w:r>
      <w:r>
        <w:br/>
      </w:r>
      <w:r>
        <w:br/>
      </w:r>
      <w:r>
        <w:rPr>
          <w:rStyle w:val="VerbatimChar"/>
        </w:rPr>
        <w:t xml:space="preserve">----</w:t>
      </w:r>
      <w:r>
        <w:br/>
      </w:r>
      <w:r>
        <w:br/>
      </w:r>
      <w:r>
        <w:rPr>
          <w:rStyle w:val="VerbatimChar"/>
        </w:rPr>
        <w:t xml:space="preserve">This trailing paragraph belongs to the chapter, not to the section above.</w:t>
      </w:r>
    </w:p>
    <w:bookmarkEnd w:id="41"/>
    <w:bookmarkEnd w:id="42"/>
    <w:bookmarkStart w:id="50" w:name="SPEC-sec3.4"/>
    <w:p>
      <w:pPr>
        <w:pStyle w:val="Heading2"/>
        <w:numPr>
          <w:ilvl w:val="1"/>
          <w:numId w:val="100"/>
        </w:numPr>
      </w:pPr>
      <w:r>
        <w:t xml:space="preserve">Spec Float</w:t>
      </w:r>
    </w:p>
    <w:p>
      <w:pPr>
        <w:pStyle w:val="FirstParagraph"/>
      </w:pPr>
      <w:r>
        <w:t xml:space="preserve">A</w:t>
      </w:r>
      <w:r>
        <w:t xml:space="preserve"> </w:t>
      </w:r>
      <w:r>
        <w:rPr>
          <w:bCs/>
          <w:b/>
        </w:rPr>
        <w:t xml:space="preserve">Spec Float</w:t>
      </w:r>
      <w:r>
        <w:t xml:space="preserve"> </w:t>
      </w:r>
      <w:r>
        <w:t xml:space="preserve">is a numbered floating element — a figure, table, diagram, code listing, or math expression. Floats are created from fenced code blocks with a</w:t>
      </w:r>
      <w:r>
        <w:t xml:space="preserve"> </w:t>
      </w:r>
      <w:r>
        <w:rPr>
          <w:rStyle w:val="VerbatimChar"/>
        </w:rPr>
        <w:t xml:space="preserve">TypeRef:Label</w:t>
      </w:r>
      <w:r>
        <w:t xml:space="preserve"> </w:t>
      </w:r>
      <w:r>
        <w:t xml:space="preserve">info string. They are automatically numbered within their counter group and can be cross-referenced by label.</w:t>
      </w:r>
    </w:p>
    <w:bookmarkStart w:id="43" w:name="SPEC-sec3.4.1"/>
    <w:p>
      <w:pPr>
        <w:pStyle w:val="Heading3"/>
        <w:numPr>
          <w:ilvl w:val="2"/>
          <w:numId w:val="100"/>
        </w:numPr>
      </w:pPr>
      <w:r>
        <w:t xml:space="preserve">Formal Definition</w:t>
      </w:r>
    </w:p>
    <w:p>
      <w:pPr>
        <w:pStyle w:val="FirstParagraph"/>
      </w:pPr>
      <w:r>
        <w:t xml:space="preserve">A Spec Float is a tuple</w:t>
      </w:r>
      <w:r>
        <w:t xml:space="preserve"> </w:t>
      </w:r>
      <m:oMath>
        <m:r>
          <m:t>F</m:t>
        </m:r>
        <m:r>
          <m:rPr>
            <m:sty m:val="p"/>
          </m:rPr>
          <m:t>=</m:t>
        </m:r>
        <m:d>
          <m:dPr>
            <m:begChr m:val="("/>
            <m:endChr m:val=")"/>
            <m:sepChr m:val=""/>
            <m:grow/>
          </m:dPr>
          <m:e>
            <m:r>
              <m:t>τ</m:t>
            </m:r>
            <m:r>
              <m:rPr>
                <m:sty m:val="p"/>
              </m:rPr>
              <m:t>,</m:t>
            </m:r>
            <m:r>
              <m:rPr>
                <m:nor/>
                <m:sty m:val="p"/>
              </m:rPr>
              <m:t>label</m:t>
            </m:r>
            <m:r>
              <m:rPr>
                <m:sty m:val="p"/>
              </m:rPr>
              <m:t>,</m:t>
            </m:r>
            <m:r>
              <m:rPr>
                <m:nor/>
                <m:sty m:val="p"/>
              </m:rPr>
              <m:t>kv</m:t>
            </m:r>
            <m:r>
              <m:rPr>
                <m:sty m:val="p"/>
              </m:rPr>
              <m:t>,</m:t>
            </m:r>
            <m:r>
              <m:rPr>
                <m:nor/>
                <m:sty m:val="p"/>
              </m:rPr>
              <m:t>content</m:t>
            </m:r>
          </m:e>
        </m:d>
      </m:oMath>
      <w:r>
        <w:t xml:space="preserve"> </w:t>
      </w:r>
      <w:r>
        <w:t xml:space="preserve">where:</w:t>
      </w:r>
    </w:p>
    <w:p>
      <w:pPr>
        <w:numPr>
          <w:ilvl w:val="0"/>
          <w:numId w:val="1007"/>
        </w:numPr>
        <w:pStyle w:val="Compact"/>
      </w:pPr>
      <m:oMath>
        <m:r>
          <m:t>τ</m:t>
        </m:r>
        <m:r>
          <m:rPr>
            <m:sty m:val="p"/>
          </m:rPr>
          <m:t>∈</m:t>
        </m:r>
        <m:r>
          <m:t>Γ</m:t>
        </m:r>
        <m:r>
          <m:rPr>
            <m:sty m:val="p"/>
          </m:rPr>
          <m:t>.</m:t>
        </m:r>
        <m:sSub>
          <m:e>
            <m:r>
              <m:rPr>
                <m:sty m:val="p"/>
              </m:rPr>
              <m:t>⊤</m:t>
            </m:r>
          </m:e>
          <m:sub>
            <m:r>
              <m:t>F</m:t>
            </m:r>
          </m:sub>
        </m:sSub>
      </m:oMath>
      <w:r>
        <w:t xml:space="preserve"> </w:t>
      </w:r>
      <w:r>
        <w:t xml:space="preserve">is the float type (e.g. FIGURE, TABLE, PLANTUML, MATH, CODE).</w:t>
      </w:r>
    </w:p>
    <w:p>
      <w:pPr>
        <w:numPr>
          <w:ilvl w:val="0"/>
          <w:numId w:val="1007"/>
        </w:numPr>
        <w:pStyle w:val="Compact"/>
      </w:pPr>
      <m:oMath>
        <m:r>
          <m:rPr>
            <m:nor/>
            <m:sty m:val="p"/>
          </m:rPr>
          <m:t>label</m:t>
        </m:r>
        <m:r>
          <m:rPr>
            <m:sty m:val="p"/>
          </m:rPr>
          <m:t>∈</m:t>
        </m:r>
        <m:r>
          <m:rPr>
            <m:nor/>
            <m:sty m:val="p"/>
          </m:rPr>
          <m:t>String</m:t>
        </m:r>
      </m:oMath>
      <w:r>
        <w:t xml:space="preserve"> </w:t>
      </w:r>
      <w:r>
        <w:t xml:space="preserve">is the cross-reference label, normalized to</w:t>
      </w:r>
      <w:r>
        <w:t xml:space="preserve"> </w:t>
      </w:r>
      <w:r>
        <w:rPr>
          <w:rStyle w:val="VerbatimChar"/>
        </w:rPr>
        <w:t xml:space="preserve">{type_prefix}:{user_label}</w:t>
      </w:r>
      <w:r>
        <w:t xml:space="preserve">.</w:t>
      </w:r>
    </w:p>
    <w:p>
      <w:pPr>
        <w:numPr>
          <w:ilvl w:val="0"/>
          <w:numId w:val="1007"/>
        </w:numPr>
        <w:pStyle w:val="Compact"/>
      </w:pPr>
      <m:oMath>
        <m:r>
          <m:rPr>
            <m:nor/>
            <m:sty m:val="p"/>
          </m:rPr>
          <m:t>kv</m:t>
        </m:r>
        <m:r>
          <m:rPr>
            <m:sty m:val="p"/>
          </m:rPr>
          <m:t>⊆</m:t>
        </m:r>
        <m:r>
          <m:rPr>
            <m:nor/>
            <m:sty m:val="p"/>
          </m:rPr>
          <m:t>FloatAttribute</m:t>
        </m:r>
      </m:oMath>
      <w:r>
        <w:t xml:space="preserve"> </w:t>
      </w:r>
      <w:r>
        <w:t xml:space="preserve">is the set of untyped metadata (key-value pairs).</w:t>
      </w:r>
    </w:p>
    <w:p>
      <w:pPr>
        <w:numPr>
          <w:ilvl w:val="0"/>
          <w:numId w:val="1007"/>
        </w:numPr>
        <w:pStyle w:val="Compact"/>
      </w:pPr>
      <m:oMath>
        <m:r>
          <m:rPr>
            <m:nor/>
            <m:sty m:val="p"/>
          </m:rPr>
          <m:t>content</m:t>
        </m:r>
      </m:oMath>
      <w:r>
        <w:t xml:space="preserve"> </w:t>
      </w:r>
      <w:r>
        <w:t xml:space="preserve">is the raw payload of the fenced code block.</w:t>
      </w:r>
    </w:p>
    <w:bookmarkEnd w:id="43"/>
    <w:bookmarkStart w:id="47" w:name="SPEC-sec3.4.2"/>
    <w:p>
      <w:pPr>
        <w:pStyle w:val="Heading3"/>
        <w:numPr>
          <w:ilvl w:val="2"/>
          <w:numId w:val="100"/>
        </w:numPr>
      </w:pPr>
      <w:r>
        <w:t xml:space="preserve">Grammar</w:t>
      </w:r>
    </w:p>
    <w:p>
      <w:pPr>
        <w:spacing w:lineRule="exact" w:after="0" w:before="0" w:line="20"/>
        <w:rPr>
          <w:sz w:val="2"/>
        </w:rPr>
      </w:pPr>
      <w:bookmarkStart w:id="89146" w:name="puml-grammar-spec-float"/>
      <w:bookmarkEnd w:id="89146"/>
    </w:p>
    <w:p>
      <w:pPr>
        <w:pStyle w:val="Caption"/>
        <w:keepNext/>
      </w:pPr>
      <w:r>
        <w:t xml:space="preserve">Figure </w:t>
      </w:r>
      <w:r>
        <w:fldChar w:fldCharType="begin"/>
      </w:r>
      <w:r>
        <w:instrText xml:space="preserve"> SEQ FIGURE \* ARABIC </w:instrText>
      </w:r>
      <w:r>
        <w:fldChar w:fldCharType="separate"/>
      </w:r>
      <w:r>
        <w:t>3</w:t>
      </w:r>
      <w:r>
        <w:fldChar w:fldCharType="end"/>
      </w:r>
      <w:r>
        <w:t xml:space="preserve"> – Spec Float production</w:t>
      </w:r>
    </w:p>
    <w:p>
      <w:pPr>
        <w:pStyle w:val="FirstParagraph"/>
        <w:jc w:val="center"/>
      </w:pPr>
      <w:r>
        <w:drawing>
          <wp:inline>
            <wp:extent cx="5334000" cy="856247"/>
            <wp:effectExtent b="0" l="0" r="0" t="0"/>
            <wp:docPr descr="" title="" id="45" name="Picture"/>
            <a:graphic>
              <a:graphicData uri="http://schemas.openxmlformats.org/drawingml/2006/picture">
                <pic:pic>
                  <pic:nvPicPr>
                    <pic:cNvPr descr="diagrams/cbabee19ae66429ec6eda82dec8ea5357efaceb9.png" id="46" name="Picture"/>
                    <pic:cNvPicPr>
                      <a:picLocks noChangeArrowheads="1" noChangeAspect="1"/>
                    </pic:cNvPicPr>
                  </pic:nvPicPr>
                  <pic:blipFill>
                    <a:blip r:embed="rId44"/>
                    <a:stretch>
                      <a:fillRect/>
                    </a:stretch>
                  </pic:blipFill>
                  <pic:spPr bwMode="auto">
                    <a:xfrm>
                      <a:off x="0" y="0"/>
                      <a:ext cx="5334000" cy="856247"/>
                    </a:xfrm>
                    <a:prstGeom prst="rect">
                      <a:avLst/>
                    </a:prstGeom>
                    <a:noFill/>
                    <a:ln w="9525">
                      <a:noFill/>
                      <a:headEnd/>
                      <a:tailEnd/>
                    </a:ln>
                  </pic:spPr>
                </pic:pic>
              </a:graphicData>
            </a:graphic>
          </wp:inline>
        </w:drawing>
      </w:r>
    </w:p>
    <w:bookmarkEnd w:id="47"/>
    <w:bookmarkStart w:id="48" w:name="SPEC-sec3.4.3"/>
    <w:p>
      <w:pPr>
        <w:pStyle w:val="Heading3"/>
        <w:numPr>
          <w:ilvl w:val="2"/>
          <w:numId w:val="100"/>
        </w:numPr>
      </w:pPr>
      <w:r>
        <w:t xml:space="preserve">Float Types and Aliases</w:t>
      </w:r>
    </w:p>
    <w:p>
      <w:pPr>
        <w:pStyle w:val="FirstParagraph"/>
      </w:pPr>
      <w:r>
        <w:t xml:space="preserve">The model defines which float types are available. Typical default-model types:</w:t>
      </w:r>
    </w:p>
    <w:p>
      <w:pPr>
        <w:numPr>
          <w:ilvl w:val="0"/>
          <w:numId w:val="1008"/>
        </w:numPr>
        <w:pStyle w:val="Compact"/>
      </w:pPr>
      <w:r>
        <w:rPr>
          <w:bCs/>
          <w:b/>
        </w:rPr>
        <w:t xml:space="preserve">FIGURE</w:t>
      </w:r>
      <w:r>
        <w:t xml:space="preserve"> </w:t>
      </w:r>
      <w:r>
        <w:t xml:space="preserve">(aliases:</w:t>
      </w:r>
      <w:r>
        <w:t xml:space="preserve"> </w:t>
      </w:r>
      <w:r>
        <w:rPr>
          <w:rStyle w:val="VerbatimChar"/>
        </w:rPr>
        <w:t xml:space="preserve">fig</w:t>
      </w:r>
      <w:r>
        <w:t xml:space="preserve">) — image references.</w:t>
      </w:r>
    </w:p>
    <w:p>
      <w:pPr>
        <w:numPr>
          <w:ilvl w:val="0"/>
          <w:numId w:val="1008"/>
        </w:numPr>
        <w:pStyle w:val="Compact"/>
      </w:pPr>
      <w:r>
        <w:rPr>
          <w:bCs/>
          <w:b/>
        </w:rPr>
        <w:t xml:space="preserve">TABLE</w:t>
      </w:r>
      <w:r>
        <w:t xml:space="preserve"> </w:t>
      </w:r>
      <w:r>
        <w:t xml:space="preserve">(aliases:</w:t>
      </w:r>
      <w:r>
        <w:t xml:space="preserve"> </w:t>
      </w:r>
      <w:r>
        <w:rPr>
          <w:rStyle w:val="VerbatimChar"/>
        </w:rPr>
        <w:t xml:space="preserve">csv</w:t>
      </w:r>
      <w:r>
        <w:t xml:space="preserve">,</w:t>
      </w:r>
      <w:r>
        <w:t xml:space="preserve"> </w:t>
      </w:r>
      <w:r>
        <w:rPr>
          <w:rStyle w:val="VerbatimChar"/>
        </w:rPr>
        <w:t xml:space="preserve">tsv</w:t>
      </w:r>
      <w:r>
        <w:t xml:space="preserve">,</w:t>
      </w:r>
      <w:r>
        <w:t xml:space="preserve"> </w:t>
      </w:r>
      <w:r>
        <w:rPr>
          <w:rStyle w:val="VerbatimChar"/>
        </w:rPr>
        <w:t xml:space="preserve">list-table</w:t>
      </w:r>
      <w:r>
        <w:t xml:space="preserve">) — structured data tables.</w:t>
      </w:r>
    </w:p>
    <w:p>
      <w:pPr>
        <w:numPr>
          <w:ilvl w:val="0"/>
          <w:numId w:val="1008"/>
        </w:numPr>
        <w:pStyle w:val="Compact"/>
      </w:pPr>
      <w:r>
        <w:rPr>
          <w:bCs/>
          <w:b/>
        </w:rPr>
        <w:t xml:space="preserve">CODE</w:t>
      </w:r>
      <w:r>
        <w:t xml:space="preserve"> </w:t>
      </w:r>
      <w:r>
        <w:t xml:space="preserve">(aliases:</w:t>
      </w:r>
      <w:r>
        <w:t xml:space="preserve"> </w:t>
      </w:r>
      <w:r>
        <w:rPr>
          <w:rStyle w:val="VerbatimChar"/>
        </w:rPr>
        <w:t xml:space="preserve">listing</w:t>
      </w:r>
      <w:r>
        <w:t xml:space="preserve">,</w:t>
      </w:r>
      <w:r>
        <w:t xml:space="preserve"> </w:t>
      </w:r>
      <w:r>
        <w:rPr>
          <w:rStyle w:val="VerbatimChar"/>
        </w:rPr>
        <w:t xml:space="preserve">src</w:t>
      </w:r>
      <w:r>
        <w:t xml:space="preserve">) — code listings.</w:t>
      </w:r>
    </w:p>
    <w:p>
      <w:pPr>
        <w:numPr>
          <w:ilvl w:val="0"/>
          <w:numId w:val="1008"/>
        </w:numPr>
        <w:pStyle w:val="Compact"/>
      </w:pPr>
      <w:r>
        <w:rPr>
          <w:bCs/>
          <w:b/>
        </w:rPr>
        <w:t xml:space="preserve">MATH</w:t>
      </w:r>
      <w:r>
        <w:t xml:space="preserve"> </w:t>
      </w:r>
      <w:r>
        <w:t xml:space="preserve">(aliases:</w:t>
      </w:r>
      <w:r>
        <w:t xml:space="preserve"> </w:t>
      </w:r>
      <w:r>
        <w:rPr>
          <w:rStyle w:val="VerbatimChar"/>
        </w:rPr>
        <w:t xml:space="preserve">math</w:t>
      </w:r>
      <w:r>
        <w:t xml:space="preserve">) — mathematical expressions.</w:t>
      </w:r>
    </w:p>
    <w:p>
      <w:pPr>
        <w:numPr>
          <w:ilvl w:val="0"/>
          <w:numId w:val="1008"/>
        </w:numPr>
        <w:pStyle w:val="Compact"/>
      </w:pPr>
      <w:r>
        <w:rPr>
          <w:bCs/>
          <w:b/>
        </w:rPr>
        <w:t xml:space="preserve">PLANTUML</w:t>
      </w:r>
      <w:r>
        <w:t xml:space="preserve"> </w:t>
      </w:r>
      <w:r>
        <w:t xml:space="preserve">(aliases:</w:t>
      </w:r>
      <w:r>
        <w:t xml:space="preserve"> </w:t>
      </w:r>
      <w:r>
        <w:rPr>
          <w:rStyle w:val="VerbatimChar"/>
        </w:rPr>
        <w:t xml:space="preserve">plantuml</w:t>
      </w:r>
      <w:r>
        <w:t xml:space="preserve">,</w:t>
      </w:r>
      <w:r>
        <w:t xml:space="preserve"> </w:t>
      </w:r>
      <w:r>
        <w:rPr>
          <w:rStyle w:val="VerbatimChar"/>
        </w:rPr>
        <w:t xml:space="preserve">puml</w:t>
      </w:r>
      <w:r>
        <w:t xml:space="preserve">) — UML and other PlantUML diagrams.</w:t>
      </w:r>
    </w:p>
    <w:p>
      <w:pPr>
        <w:numPr>
          <w:ilvl w:val="0"/>
          <w:numId w:val="1008"/>
        </w:numPr>
        <w:pStyle w:val="Compact"/>
      </w:pPr>
      <w:r>
        <w:rPr>
          <w:bCs/>
          <w:b/>
        </w:rPr>
        <w:t xml:space="preserve">MERMAID</w:t>
      </w:r>
      <w:r>
        <w:t xml:space="preserve"> </w:t>
      </w:r>
      <w:r>
        <w:t xml:space="preserve">(aliases:</w:t>
      </w:r>
      <w:r>
        <w:t xml:space="preserve"> </w:t>
      </w:r>
      <w:r>
        <w:rPr>
          <w:rStyle w:val="VerbatimChar"/>
        </w:rPr>
        <w:t xml:space="preserve">mermaid</w:t>
      </w:r>
      <w:r>
        <w:t xml:space="preserve">,</w:t>
      </w:r>
      <w:r>
        <w:t xml:space="preserve"> </w:t>
      </w:r>
      <w:r>
        <w:rPr>
          <w:rStyle w:val="VerbatimChar"/>
        </w:rPr>
        <w:t xml:space="preserve">mmd</w:t>
      </w:r>
      <w:r>
        <w:t xml:space="preserve">) — Mermaid diagrams.</w:t>
      </w:r>
    </w:p>
    <w:p>
      <w:pPr>
        <w:numPr>
          <w:ilvl w:val="0"/>
          <w:numId w:val="1008"/>
        </w:numPr>
        <w:pStyle w:val="Compact"/>
      </w:pPr>
      <w:r>
        <w:rPr>
          <w:bCs/>
          <w:b/>
        </w:rPr>
        <w:t xml:space="preserve">CHART</w:t>
      </w:r>
      <w:r>
        <w:t xml:space="preserve"> </w:t>
      </w:r>
      <w:r>
        <w:t xml:space="preserve">(aliases:</w:t>
      </w:r>
      <w:r>
        <w:t xml:space="preserve"> </w:t>
      </w:r>
      <w:r>
        <w:rPr>
          <w:rStyle w:val="VerbatimChar"/>
        </w:rPr>
        <w:t xml:space="preserve">chart</w:t>
      </w:r>
      <w:r>
        <w:t xml:space="preserve">) — data-driven charts.</w:t>
      </w:r>
    </w:p>
    <w:p>
      <w:pPr>
        <w:numPr>
          <w:ilvl w:val="0"/>
          <w:numId w:val="1008"/>
        </w:numPr>
        <w:pStyle w:val="Compact"/>
      </w:pPr>
      <w:r>
        <w:rPr>
          <w:bCs/>
          <w:b/>
        </w:rPr>
        <w:t xml:space="preserve">DIAGRAM</w:t>
      </w:r>
      <w:r>
        <w:t xml:space="preserve"> </w:t>
      </w:r>
      <w:r>
        <w:t xml:space="preserve">(aliases:</w:t>
      </w:r>
      <w:r>
        <w:t xml:space="preserve"> </w:t>
      </w:r>
      <w:r>
        <w:rPr>
          <w:rStyle w:val="VerbatimChar"/>
        </w:rPr>
        <w:t xml:space="preserve">diagram</w:t>
      </w:r>
      <w:r>
        <w:t xml:space="preserve">) — drawing diagrams.</w:t>
      </w:r>
    </w:p>
    <w:p>
      <w:pPr>
        <w:pStyle w:val="FirstParagraph"/>
      </w:pPr>
      <w:r>
        <w:t xml:space="preserve">Float types sharing a</w:t>
      </w:r>
      <w:r>
        <w:t xml:space="preserve"> </w:t>
      </w:r>
      <w:r>
        <w:rPr>
          <w:rStyle w:val="VerbatimChar"/>
        </w:rPr>
        <w:t xml:space="preserve">counter_group</w:t>
      </w:r>
      <w:r>
        <w:t xml:space="preserve"> </w:t>
      </w:r>
      <w:r>
        <w:t xml:space="preserve">share a numbering sequence. For example, FIGURE, PLANTUML, CHART, and DIAGRAM may all share counter group FIGURE, producing Figure 1, Figure 2, Figure 3 regardless of specific type.</w:t>
      </w:r>
    </w:p>
    <w:bookmarkEnd w:id="48"/>
    <w:bookmarkStart w:id="49" w:name="SPEC-sec3.4.4"/>
    <w:p>
      <w:pPr>
        <w:pStyle w:val="Heading3"/>
        <w:numPr>
          <w:ilvl w:val="2"/>
          <w:numId w:val="100"/>
        </w:numPr>
      </w:pPr>
      <w:r>
        <w:t xml:space="preserve">Examples</w:t>
      </w:r>
    </w:p>
    <w:p>
      <w:pPr>
        <w:pStyle w:val="FirstParagraph"/>
      </w:pPr>
      <w:r>
        <w:t xml:space="preserve">A CSV table:</w:t>
      </w:r>
    </w:p>
    <w:p>
      <w:pPr>
        <w:pStyle w:val="SourceCode"/>
      </w:pPr>
      <w:r>
        <w:rPr>
          <w:rStyle w:val="VerbatimChar"/>
        </w:rPr>
        <w:t xml:space="preserve">```csv:sales-data{caption="Quarterly Sales"}</w:t>
      </w:r>
      <w:r>
        <w:br/>
      </w:r>
      <w:r>
        <w:rPr>
          <w:rStyle w:val="VerbatimChar"/>
        </w:rPr>
        <w:t xml:space="preserve">Region,Q1,Q2,Q3</w:t>
      </w:r>
      <w:r>
        <w:br/>
      </w:r>
      <w:r>
        <w:rPr>
          <w:rStyle w:val="VerbatimChar"/>
        </w:rPr>
        <w:t xml:space="preserve">North,100,120,150</w:t>
      </w:r>
      <w:r>
        <w:br/>
      </w:r>
      <w:r>
        <w:rPr>
          <w:rStyle w:val="VerbatimChar"/>
        </w:rPr>
        <w:t xml:space="preserve">South,80,90,110</w:t>
      </w:r>
      <w:r>
        <w:br/>
      </w:r>
      <w:r>
        <w:rPr>
          <w:rStyle w:val="VerbatimChar"/>
        </w:rPr>
        <w:t xml:space="preserve">```</w:t>
      </w:r>
    </w:p>
    <w:p>
      <w:pPr>
        <w:pStyle w:val="FirstParagraph"/>
      </w:pPr>
      <w:r>
        <w:t xml:space="preserve">A figure:</w:t>
      </w:r>
    </w:p>
    <w:p>
      <w:pPr>
        <w:pStyle w:val="SourceCode"/>
      </w:pPr>
      <w:r>
        <w:rPr>
          <w:rStyle w:val="VerbatimChar"/>
        </w:rPr>
        <w:t xml:space="preserve">```fig:arch-diagram{caption="System Architecture" source="architecture.png"}</w:t>
      </w:r>
      <w:r>
        <w:br/>
      </w:r>
      <w:r>
        <w:rPr>
          <w:rStyle w:val="VerbatimChar"/>
        </w:rPr>
        <w:t xml:space="preserve">placeholder.png</w:t>
      </w:r>
      <w:r>
        <w:br/>
      </w:r>
      <w:r>
        <w:rPr>
          <w:rStyle w:val="VerbatimChar"/>
        </w:rPr>
        <w:t xml:space="preserve">```</w:t>
      </w:r>
    </w:p>
    <w:p>
      <w:pPr>
        <w:pStyle w:val="FirstParagraph"/>
      </w:pPr>
      <w:r>
        <w:t xml:space="preserve">A PlantUML diagram:</w:t>
      </w:r>
    </w:p>
    <w:p>
      <w:pPr>
        <w:pStyle w:val="SourceCode"/>
      </w:pPr>
      <w:r>
        <w:rPr>
          <w:rStyle w:val="VerbatimChar"/>
        </w:rPr>
        <w:t xml:space="preserve">```plantuml:login-sequence{caption="Login Sequence Diagram"}</w:t>
      </w:r>
      <w:r>
        <w:br/>
      </w:r>
      <w:r>
        <w:rPr>
          <w:rStyle w:val="VerbatimChar"/>
        </w:rPr>
        <w:t xml:space="preserve">@startuml</w:t>
      </w:r>
      <w:r>
        <w:br/>
      </w:r>
      <w:r>
        <w:rPr>
          <w:rStyle w:val="VerbatimChar"/>
        </w:rPr>
        <w:t xml:space="preserve">User -&gt; System: Login Request</w:t>
      </w:r>
      <w:r>
        <w:br/>
      </w:r>
      <w:r>
        <w:rPr>
          <w:rStyle w:val="VerbatimChar"/>
        </w:rPr>
        <w:t xml:space="preserve">System -&gt; Auth: Validate Credentials</w:t>
      </w:r>
      <w:r>
        <w:br/>
      </w:r>
      <w:r>
        <w:rPr>
          <w:rStyle w:val="VerbatimChar"/>
        </w:rPr>
        <w:t xml:space="preserve">Auth --&gt; System: Token</w:t>
      </w:r>
      <w:r>
        <w:br/>
      </w:r>
      <w:r>
        <w:rPr>
          <w:rStyle w:val="VerbatimChar"/>
        </w:rPr>
        <w:t xml:space="preserve">System --&gt; User: Success</w:t>
      </w:r>
      <w:r>
        <w:br/>
      </w:r>
      <w:r>
        <w:rPr>
          <w:rStyle w:val="VerbatimChar"/>
        </w:rPr>
        <w:t xml:space="preserve">@enduml</w:t>
      </w:r>
      <w:r>
        <w:br/>
      </w:r>
      <w:r>
        <w:rPr>
          <w:rStyle w:val="VerbatimChar"/>
        </w:rPr>
        <w:t xml:space="preserve">```</w:t>
      </w:r>
    </w:p>
    <w:bookmarkEnd w:id="49"/>
    <w:bookmarkEnd w:id="50"/>
    <w:bookmarkStart w:id="60" w:name="SPEC-sec3.5"/>
    <w:p>
      <w:pPr>
        <w:pStyle w:val="Heading2"/>
        <w:numPr>
          <w:ilvl w:val="1"/>
          <w:numId w:val="100"/>
        </w:numPr>
      </w:pPr>
      <w:r>
        <w:t xml:space="preserve">Attribute</w:t>
      </w:r>
    </w:p>
    <w:p>
      <w:pPr>
        <w:pStyle w:val="FirstParagraph"/>
      </w:pPr>
      <w:r>
        <w:t xml:space="preserve">An</w:t>
      </w:r>
      <w:r>
        <w:t xml:space="preserve"> </w:t>
      </w:r>
      <w:r>
        <w:rPr>
          <w:bCs/>
          <w:b/>
        </w:rPr>
        <w:t xml:space="preserve">Attribute</w:t>
      </w:r>
      <w:r>
        <w:t xml:space="preserve"> </w:t>
      </w:r>
      <w:r>
        <w:t xml:space="preserve">stores metadata for specifications and spec objects using an Entity-Attribute-Value (EAV) pattern. Attributes are declared in blockquotes following headers and support seven datatypes.</w:t>
      </w:r>
    </w:p>
    <w:bookmarkStart w:id="51" w:name="SPEC-sec3.5.1"/>
    <w:p>
      <w:pPr>
        <w:pStyle w:val="Heading3"/>
        <w:numPr>
          <w:ilvl w:val="2"/>
          <w:numId w:val="100"/>
        </w:numPr>
      </w:pPr>
      <w:r>
        <w:t xml:space="preserve">Formal Definition</w:t>
      </w:r>
    </w:p>
    <w:p>
      <w:pPr>
        <w:pStyle w:val="FirstParagraph"/>
      </w:pPr>
      <w:r>
        <w:t xml:space="preserve">A Spec Attribute is a triple</w:t>
      </w:r>
      <w:r>
        <w:t xml:space="preserve"> </w:t>
      </w:r>
      <m:oMath>
        <m:r>
          <m:t>A</m:t>
        </m:r>
        <m:r>
          <m:rPr>
            <m:sty m:val="p"/>
          </m:rPr>
          <m:t>=</m:t>
        </m:r>
        <m:d>
          <m:dPr>
            <m:begChr m:val="("/>
            <m:endChr m:val=")"/>
            <m:sepChr m:val=""/>
            <m:grow/>
          </m:dPr>
          <m:e>
            <m:r>
              <m:t>τ</m:t>
            </m:r>
            <m:r>
              <m:rPr>
                <m:sty m:val="p"/>
              </m:rPr>
              <m:t>,</m:t>
            </m:r>
            <m:r>
              <m:t>β</m:t>
            </m:r>
            <m:r>
              <m:rPr>
                <m:sty m:val="p"/>
              </m:rPr>
              <m:t>,</m:t>
            </m:r>
            <m:r>
              <m:rPr>
                <m:sty m:val="p"/>
                <m:scr m:val="script"/>
              </m:rPr>
              <m:t>R</m:t>
            </m:r>
          </m:e>
        </m:d>
      </m:oMath>
      <w:r>
        <w:t xml:space="preserve"> </w:t>
      </w:r>
      <w:r>
        <w:t xml:space="preserve">where:</w:t>
      </w:r>
    </w:p>
    <w:p>
      <w:pPr>
        <w:numPr>
          <w:ilvl w:val="0"/>
          <w:numId w:val="1009"/>
        </w:numPr>
        <w:pStyle w:val="Compact"/>
      </w:pPr>
      <m:oMath>
        <m:r>
          <m:t>τ</m:t>
        </m:r>
        <m:r>
          <m:rPr>
            <m:sty m:val="p"/>
          </m:rPr>
          <m:t>∈</m:t>
        </m:r>
        <m:r>
          <m:t>Γ</m:t>
        </m:r>
        <m:r>
          <m:rPr>
            <m:sty m:val="p"/>
          </m:rPr>
          <m:t>.</m:t>
        </m:r>
        <m:sSub>
          <m:e>
            <m:r>
              <m:rPr>
                <m:sty m:val="p"/>
              </m:rPr>
              <m:t>⊤</m:t>
            </m:r>
          </m:e>
          <m:sub>
            <m:r>
              <m:t>A</m:t>
            </m:r>
          </m:sub>
        </m:sSub>
      </m:oMath>
      <w:r>
        <w:t xml:space="preserve"> </w:t>
      </w:r>
      <w:r>
        <w:t xml:space="preserve">is the attribute type (e.g.</w:t>
      </w:r>
      <w:r>
        <w:t xml:space="preserve"> </w:t>
      </w:r>
      <w:r>
        <w:t xml:space="preserve">“</w:t>
      </w:r>
      <w:r>
        <w:t xml:space="preserve">status</w:t>
      </w:r>
      <w:r>
        <w:t xml:space="preserve">”</w:t>
      </w:r>
      <w:r>
        <w:t xml:space="preserve">,</w:t>
      </w:r>
      <w:r>
        <w:t xml:space="preserve"> </w:t>
      </w:r>
      <w:r>
        <w:t xml:space="preserve">“</w:t>
      </w:r>
      <w:r>
        <w:t xml:space="preserve">priority</w:t>
      </w:r>
      <w:r>
        <w:t xml:space="preserve">”</w:t>
      </w:r>
      <w:r>
        <w:t xml:space="preserve">,</w:t>
      </w:r>
      <w:r>
        <w:t xml:space="preserve"> </w:t>
      </w:r>
      <w:r>
        <w:t xml:space="preserve">“</w:t>
      </w:r>
      <w:r>
        <w:t xml:space="preserve">rationale</w:t>
      </w:r>
      <w:r>
        <w:t xml:space="preserve">”</w:t>
      </w:r>
      <w:r>
        <w:t xml:space="preserve">).</w:t>
      </w:r>
    </w:p>
    <w:p>
      <w:pPr>
        <w:numPr>
          <w:ilvl w:val="0"/>
          <w:numId w:val="1009"/>
        </w:numPr>
        <w:pStyle w:val="Compact"/>
      </w:pPr>
      <m:oMath>
        <m:r>
          <m:t>β</m:t>
        </m:r>
      </m:oMath>
      <w:r>
        <w:t xml:space="preserve"> </w:t>
      </w:r>
      <w:r>
        <w:t xml:space="preserve">is the nested blockquote content (block and inline elements).</w:t>
      </w:r>
    </w:p>
    <w:p>
      <w:pPr>
        <w:numPr>
          <w:ilvl w:val="0"/>
          <w:numId w:val="1009"/>
        </w:numPr>
        <w:pStyle w:val="Compact"/>
      </w:pPr>
      <m:oMath>
        <m:r>
          <m:rPr>
            <m:sty m:val="p"/>
            <m:scr m:val="script"/>
          </m:rPr>
          <m:t>R</m:t>
        </m:r>
        <m:r>
          <m:rPr>
            <m:sty m:val="p"/>
          </m:rPr>
          <m:t>⊆</m:t>
        </m:r>
        <m:r>
          <m:rPr>
            <m:nor/>
            <m:sty m:val="p"/>
          </m:rPr>
          <m:t>SpecRelation</m:t>
        </m:r>
      </m:oMath>
      <w:r>
        <w:t xml:space="preserve"> </w:t>
      </w:r>
      <w:r>
        <w:t xml:space="preserve">is the set of child relations extracted from</w:t>
      </w:r>
      <w:r>
        <w:t xml:space="preserve"> </w:t>
      </w:r>
      <m:oMath>
        <m:r>
          <m:t>β</m:t>
        </m:r>
      </m:oMath>
      <w:r>
        <w:t xml:space="preserve">.</w:t>
      </w:r>
    </w:p>
    <w:bookmarkEnd w:id="51"/>
    <w:bookmarkStart w:id="55" w:name="SPEC-sec3.5.2"/>
    <w:p>
      <w:pPr>
        <w:pStyle w:val="Heading3"/>
        <w:numPr>
          <w:ilvl w:val="2"/>
          <w:numId w:val="100"/>
        </w:numPr>
      </w:pPr>
      <w:r>
        <w:t xml:space="preserve">Grammar</w:t>
      </w:r>
    </w:p>
    <w:p>
      <w:pPr>
        <w:spacing w:lineRule="exact" w:after="0" w:before="0" w:line="20"/>
        <w:rPr>
          <w:sz w:val="2"/>
        </w:rPr>
      </w:pPr>
      <w:bookmarkStart w:id="27150" w:name="puml-grammar-attribute"/>
      <w:bookmarkEnd w:id="27150"/>
    </w:p>
    <w:p>
      <w:pPr>
        <w:pStyle w:val="Caption"/>
        <w:keepNext/>
      </w:pPr>
      <w:r>
        <w:t xml:space="preserve">Figure </w:t>
      </w:r>
      <w:r>
        <w:fldChar w:fldCharType="begin"/>
      </w:r>
      <w:r>
        <w:instrText xml:space="preserve"> SEQ FIGURE \* ARABIC </w:instrText>
      </w:r>
      <w:r>
        <w:fldChar w:fldCharType="separate"/>
      </w:r>
      <w:r>
        <w:t>4</w:t>
      </w:r>
      <w:r>
        <w:fldChar w:fldCharType="end"/>
      </w:r>
      <w:r>
        <w:t xml:space="preserve"> – Attribute production</w:t>
      </w:r>
    </w:p>
    <w:p>
      <w:pPr>
        <w:pStyle w:val="FirstParagraph"/>
        <w:jc w:val="center"/>
      </w:pPr>
      <w:r>
        <w:drawing>
          <wp:inline>
            <wp:extent cx="5334000" cy="1554676"/>
            <wp:effectExtent b="0" l="0" r="0" t="0"/>
            <wp:docPr descr="" title="" id="53" name="Picture"/>
            <a:graphic>
              <a:graphicData uri="http://schemas.openxmlformats.org/drawingml/2006/picture">
                <pic:pic>
                  <pic:nvPicPr>
                    <pic:cNvPr descr="diagrams/a87faeacf04f59cdc7bd06bbdac3768412b277cd.png" id="54" name="Picture"/>
                    <pic:cNvPicPr>
                      <a:picLocks noChangeArrowheads="1" noChangeAspect="1"/>
                    </pic:cNvPicPr>
                  </pic:nvPicPr>
                  <pic:blipFill>
                    <a:blip r:embed="rId52"/>
                    <a:stretch>
                      <a:fillRect/>
                    </a:stretch>
                  </pic:blipFill>
                  <pic:spPr bwMode="auto">
                    <a:xfrm>
                      <a:off x="0" y="0"/>
                      <a:ext cx="5334000" cy="1554676"/>
                    </a:xfrm>
                    <a:prstGeom prst="rect">
                      <a:avLst/>
                    </a:prstGeom>
                    <a:noFill/>
                    <a:ln w="9525">
                      <a:noFill/>
                      <a:headEnd/>
                      <a:tailEnd/>
                    </a:ln>
                  </pic:spPr>
                </pic:pic>
              </a:graphicData>
            </a:graphic>
          </wp:inline>
        </w:drawing>
      </w:r>
    </w:p>
    <w:p>
      <w:pPr>
        <w:pStyle w:val="BodyText"/>
      </w:pPr>
      <w:r>
        <w:t xml:space="preserve">Each</w:t>
      </w:r>
      <w:r>
        <w:t xml:space="preserve"> </w:t>
      </w:r>
      <w:r>
        <w:rPr>
          <w:rStyle w:val="VerbatimChar"/>
        </w:rPr>
        <w:t xml:space="preserve">spec_attribute</w:t>
      </w:r>
      <w:r>
        <w:t xml:space="preserve"> </w:t>
      </w:r>
      <w:r>
        <w:t xml:space="preserve">corresponds to a single Markdown blockquote. Distinct attributes must be separated by a blank line. A multi-line attribute (e.g., XHTML type) uses consecutive</w:t>
      </w:r>
      <w:r>
        <w:t xml:space="preserve"> </w:t>
      </w:r>
      <w:r>
        <w:rPr>
          <w:rStyle w:val="VerbatimChar"/>
        </w:rPr>
        <w:t xml:space="preserve">&gt;</w:t>
      </w:r>
      <w:r>
        <w:t xml:space="preserve"> </w:t>
      </w:r>
      <w:r>
        <w:t xml:space="preserve">lines within the same blockquote.</w:t>
      </w:r>
    </w:p>
    <w:bookmarkEnd w:id="55"/>
    <w:bookmarkStart w:id="56" w:name="SPEC-sec3.5.3"/>
    <w:p>
      <w:pPr>
        <w:pStyle w:val="Heading3"/>
        <w:numPr>
          <w:ilvl w:val="2"/>
          <w:numId w:val="100"/>
        </w:numPr>
      </w:pPr>
      <w:r>
        <w:t xml:space="preserve">Datatypes</w:t>
      </w:r>
    </w:p>
    <w:p>
      <w:pPr>
        <w:pStyle w:val="FirstParagraph"/>
      </w:pPr>
      <w:r>
        <w:t xml:space="preserve">Attributes are typed according to the model’s attribute definitions. Seven primitive datatypes are supported:</w:t>
      </w:r>
    </w:p>
    <w:p>
      <w:pPr>
        <w:numPr>
          <w:ilvl w:val="0"/>
          <w:numId w:val="1010"/>
        </w:numPr>
        <w:pStyle w:val="Compact"/>
      </w:pPr>
      <w:r>
        <w:rPr>
          <w:bCs/>
          <w:b/>
        </w:rPr>
        <w:t xml:space="preserve">STRING</w:t>
      </w:r>
      <w:r>
        <w:t xml:space="preserve"> </w:t>
      </w:r>
      <w:r>
        <w:t xml:space="preserve">— plain text.</w:t>
      </w:r>
    </w:p>
    <w:p>
      <w:pPr>
        <w:numPr>
          <w:ilvl w:val="0"/>
          <w:numId w:val="1010"/>
        </w:numPr>
        <w:pStyle w:val="Compact"/>
      </w:pPr>
      <w:r>
        <w:rPr>
          <w:bCs/>
          <w:b/>
        </w:rPr>
        <w:t xml:space="preserve">INTEGER</w:t>
      </w:r>
      <w:r>
        <w:t xml:space="preserve"> </w:t>
      </w:r>
      <w:r>
        <w:t xml:space="preserve">— whole numbers. Supports</w:t>
      </w:r>
      <w:r>
        <w:t xml:space="preserve"> </w:t>
      </w:r>
      <w:r>
        <w:rPr>
          <w:rStyle w:val="VerbatimChar"/>
        </w:rPr>
        <w:t xml:space="preserve">min_value</w:t>
      </w:r>
      <w:r>
        <w:t xml:space="preserve">/</w:t>
      </w:r>
      <w:r>
        <w:rPr>
          <w:rStyle w:val="VerbatimChar"/>
        </w:rPr>
        <w:t xml:space="preserve">max_value</w:t>
      </w:r>
      <w:r>
        <w:t xml:space="preserve"> </w:t>
      </w:r>
      <w:r>
        <w:t xml:space="preserve">bounds.</w:t>
      </w:r>
    </w:p>
    <w:p>
      <w:pPr>
        <w:numPr>
          <w:ilvl w:val="0"/>
          <w:numId w:val="1010"/>
        </w:numPr>
        <w:pStyle w:val="Compact"/>
      </w:pPr>
      <w:r>
        <w:rPr>
          <w:bCs/>
          <w:b/>
        </w:rPr>
        <w:t xml:space="preserve">REAL</w:t>
      </w:r>
      <w:r>
        <w:t xml:space="preserve"> </w:t>
      </w:r>
      <w:r>
        <w:t xml:space="preserve">— floating-point numbers. Supports</w:t>
      </w:r>
      <w:r>
        <w:t xml:space="preserve"> </w:t>
      </w:r>
      <w:r>
        <w:rPr>
          <w:rStyle w:val="VerbatimChar"/>
        </w:rPr>
        <w:t xml:space="preserve">min_value</w:t>
      </w:r>
      <w:r>
        <w:t xml:space="preserve">/</w:t>
      </w:r>
      <w:r>
        <w:rPr>
          <w:rStyle w:val="VerbatimChar"/>
        </w:rPr>
        <w:t xml:space="preserve">max_value</w:t>
      </w:r>
      <w:r>
        <w:t xml:space="preserve"> </w:t>
      </w:r>
      <w:r>
        <w:t xml:space="preserve">bounds.</w:t>
      </w:r>
    </w:p>
    <w:p>
      <w:pPr>
        <w:numPr>
          <w:ilvl w:val="0"/>
          <w:numId w:val="1010"/>
        </w:numPr>
        <w:pStyle w:val="Compact"/>
      </w:pPr>
      <w:r>
        <w:rPr>
          <w:bCs/>
          <w:b/>
        </w:rPr>
        <w:t xml:space="preserve">BOOLEAN</w:t>
      </w:r>
      <w:r>
        <w:t xml:space="preserve"> </w:t>
      </w:r>
      <w:r>
        <w:t xml:space="preserve">—</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p>
      <w:pPr>
        <w:numPr>
          <w:ilvl w:val="0"/>
          <w:numId w:val="1010"/>
        </w:numPr>
        <w:pStyle w:val="Compact"/>
      </w:pPr>
      <w:r>
        <w:rPr>
          <w:bCs/>
          <w:b/>
        </w:rPr>
        <w:t xml:space="preserve">DATE</w:t>
      </w:r>
      <w:r>
        <w:t xml:space="preserve"> </w:t>
      </w:r>
      <w:r>
        <w:t xml:space="preserve">— ISO 8601 date (</w:t>
      </w:r>
      <w:r>
        <w:rPr>
          <w:rStyle w:val="VerbatimChar"/>
        </w:rPr>
        <w:t xml:space="preserve">YYYY-MM-DD</w:t>
      </w:r>
      <w:r>
        <w:t xml:space="preserve">).</w:t>
      </w:r>
    </w:p>
    <w:p>
      <w:pPr>
        <w:numPr>
          <w:ilvl w:val="0"/>
          <w:numId w:val="1010"/>
        </w:numPr>
        <w:pStyle w:val="Compact"/>
      </w:pPr>
      <w:r>
        <w:rPr>
          <w:bCs/>
          <w:b/>
        </w:rPr>
        <w:t xml:space="preserve">ENUM</w:t>
      </w:r>
      <w:r>
        <w:t xml:space="preserve"> </w:t>
      </w:r>
      <w:r>
        <w:t xml:space="preserve">— restricted set of values. Valid values defined in the model.</w:t>
      </w:r>
    </w:p>
    <w:p>
      <w:pPr>
        <w:numPr>
          <w:ilvl w:val="0"/>
          <w:numId w:val="1010"/>
        </w:numPr>
        <w:pStyle w:val="Compact"/>
      </w:pPr>
      <w:r>
        <w:rPr>
          <w:bCs/>
          <w:b/>
        </w:rPr>
        <w:t xml:space="preserve">XHTML</w:t>
      </w:r>
      <w:r>
        <w:t xml:space="preserve"> </w:t>
      </w:r>
      <w:r>
        <w:t xml:space="preserve">— rich text. Supports full Markdown formatting including links, bold, italic, and lists.</w:t>
      </w:r>
    </w:p>
    <w:bookmarkEnd w:id="56"/>
    <w:bookmarkStart w:id="57" w:name="SPEC-sec3.5.4"/>
    <w:p>
      <w:pPr>
        <w:pStyle w:val="Heading3"/>
        <w:numPr>
          <w:ilvl w:val="2"/>
          <w:numId w:val="100"/>
        </w:numPr>
      </w:pPr>
      <w:r>
        <w:t xml:space="preserve">Attribute Constraints</w:t>
      </w:r>
    </w:p>
    <w:p>
      <w:pPr>
        <w:pStyle w:val="FirstParagraph"/>
      </w:pPr>
      <w:r>
        <w:t xml:space="preserve">Models declare attribute schemas with the following constraints:</w:t>
      </w:r>
    </w:p>
    <w:p>
      <w:pPr>
        <w:numPr>
          <w:ilvl w:val="0"/>
          <w:numId w:val="1011"/>
        </w:numPr>
        <w:pStyle w:val="Compact"/>
      </w:pPr>
      <w:r>
        <w:rPr>
          <w:rStyle w:val="VerbatimChar"/>
        </w:rPr>
        <w:t xml:space="preserve">min_occurs</w:t>
      </w:r>
      <w:r>
        <w:t xml:space="preserve"> </w:t>
      </w:r>
      <w:r>
        <w:t xml:space="preserve">— minimum number of values (0 = optional, 1+ = required).</w:t>
      </w:r>
    </w:p>
    <w:p>
      <w:pPr>
        <w:numPr>
          <w:ilvl w:val="0"/>
          <w:numId w:val="1011"/>
        </w:numPr>
        <w:pStyle w:val="Compact"/>
      </w:pPr>
      <w:r>
        <w:rPr>
          <w:rStyle w:val="VerbatimChar"/>
        </w:rPr>
        <w:t xml:space="preserve">max_occurs</w:t>
      </w:r>
      <w:r>
        <w:t xml:space="preserve"> </w:t>
      </w:r>
      <w:r>
        <w:t xml:space="preserve">— maximum number of values (1 = single value, &gt;1 = multi-value).</w:t>
      </w:r>
    </w:p>
    <w:p>
      <w:pPr>
        <w:numPr>
          <w:ilvl w:val="0"/>
          <w:numId w:val="1011"/>
        </w:numPr>
        <w:pStyle w:val="Compact"/>
      </w:pPr>
      <w:r>
        <w:rPr>
          <w:rStyle w:val="VerbatimChar"/>
        </w:rPr>
        <w:t xml:space="preserve">min_value</w:t>
      </w:r>
      <w:r>
        <w:t xml:space="preserve">/</w:t>
      </w:r>
      <w:r>
        <w:rPr>
          <w:rStyle w:val="VerbatimChar"/>
        </w:rPr>
        <w:t xml:space="preserve">max_value</w:t>
      </w:r>
      <w:r>
        <w:t xml:space="preserve"> </w:t>
      </w:r>
      <w:r>
        <w:t xml:space="preserve">— bounds for INTEGER and REAL types.</w:t>
      </w:r>
    </w:p>
    <w:p>
      <w:pPr>
        <w:pStyle w:val="FirstParagraph"/>
      </w:pPr>
      <w:r>
        <w:t xml:space="preserve">These constraints are enforced by the type system during verification.</w:t>
      </w:r>
    </w:p>
    <w:bookmarkEnd w:id="57"/>
    <w:bookmarkStart w:id="58" w:name="SPEC-sec3.5.5"/>
    <w:p>
      <w:pPr>
        <w:pStyle w:val="Heading3"/>
        <w:numPr>
          <w:ilvl w:val="2"/>
          <w:numId w:val="100"/>
        </w:numPr>
      </w:pPr>
      <w:r>
        <w:t xml:space="preserve">Multi-Value Attributes</w:t>
      </w:r>
    </w:p>
    <w:p>
      <w:pPr>
        <w:pStyle w:val="FirstParagraph"/>
      </w:pPr>
      <w:r>
        <w:t xml:space="preserve">When</w:t>
      </w:r>
      <w:r>
        <w:t xml:space="preserve"> </w:t>
      </w:r>
      <w:r>
        <w:rPr>
          <w:rStyle w:val="VerbatimChar"/>
        </w:rPr>
        <w:t xml:space="preserve">max_occurs &gt; 1</w:t>
      </w:r>
      <w:r>
        <w:t xml:space="preserve">, multiple values for the same attribute are written as repeated blockquote lines:</w:t>
      </w:r>
    </w:p>
    <w:p>
      <w:pPr>
        <w:pStyle w:val="SourceCode"/>
      </w:pPr>
      <w:r>
        <w:rPr>
          <w:rStyle w:val="VerbatimChar"/>
        </w:rPr>
        <w:t xml:space="preserve">&gt; applicable_standard: DO-178C</w:t>
      </w:r>
      <w:r>
        <w:br/>
      </w:r>
      <w:r>
        <w:br/>
      </w:r>
      <w:r>
        <w:rPr>
          <w:rStyle w:val="VerbatimChar"/>
        </w:rPr>
        <w:t xml:space="preserve">&gt; applicable_standard: DO-254</w:t>
      </w:r>
    </w:p>
    <w:bookmarkEnd w:id="58"/>
    <w:bookmarkStart w:id="59" w:name="SPEC-sec3.5.6"/>
    <w:p>
      <w:pPr>
        <w:pStyle w:val="Heading3"/>
        <w:numPr>
          <w:ilvl w:val="2"/>
          <w:numId w:val="100"/>
        </w:numPr>
      </w:pPr>
      <w:r>
        <w:t xml:space="preserve">Examples</w:t>
      </w:r>
    </w:p>
    <w:p>
      <w:pPr>
        <w:pStyle w:val="FirstParagraph"/>
      </w:pPr>
      <w:r>
        <w:t xml:space="preserve">Simple scalar attributes:</w:t>
      </w:r>
    </w:p>
    <w:p>
      <w:pPr>
        <w:pStyle w:val="SourceCode"/>
      </w:pPr>
      <w:r>
        <w:rPr>
          <w:rStyle w:val="VerbatimChar"/>
        </w:rPr>
        <w:t xml:space="preserve">&gt; status: Draft</w:t>
      </w:r>
      <w:r>
        <w:br/>
      </w:r>
      <w:r>
        <w:br/>
      </w:r>
      <w:r>
        <w:rPr>
          <w:rStyle w:val="VerbatimChar"/>
        </w:rPr>
        <w:t xml:space="preserve">&gt; priority: High</w:t>
      </w:r>
      <w:r>
        <w:br/>
      </w:r>
      <w:r>
        <w:br/>
      </w:r>
      <w:r>
        <w:rPr>
          <w:rStyle w:val="VerbatimChar"/>
        </w:rPr>
        <w:t xml:space="preserve">&gt; version: 2.1</w:t>
      </w:r>
    </w:p>
    <w:p>
      <w:pPr>
        <w:pStyle w:val="FirstParagraph"/>
      </w:pPr>
      <w:r>
        <w:t xml:space="preserve">Rich text (XHTML) attribute:</w:t>
      </w:r>
    </w:p>
    <w:p>
      <w:pPr>
        <w:pStyle w:val="SourceCode"/>
      </w:pPr>
      <w:r>
        <w:rPr>
          <w:rStyle w:val="VerbatimChar"/>
        </w:rPr>
        <w:t xml:space="preserve">&gt; rationale:</w:t>
      </w:r>
      <w:r>
        <w:br/>
      </w:r>
      <w:r>
        <w:rPr>
          <w:rStyle w:val="VerbatimChar"/>
        </w:rPr>
        <w:t xml:space="preserve">&gt; This component handles **critical** authentication logic.</w:t>
      </w:r>
      <w:r>
        <w:br/>
      </w:r>
      <w:r>
        <w:rPr>
          <w:rStyle w:val="VerbatimChar"/>
        </w:rPr>
        <w:t xml:space="preserve">&gt; See [HLR-001](@) for the parent requirement.</w:t>
      </w:r>
    </w:p>
    <w:p>
      <w:pPr>
        <w:pStyle w:val="FirstParagraph"/>
      </w:pPr>
      <w:r>
        <w:t xml:space="preserve">Attribute with relation links:</w:t>
      </w:r>
    </w:p>
    <w:p>
      <w:pPr>
        <w:pStyle w:val="SourceCode"/>
      </w:pPr>
      <w:r>
        <w:rPr>
          <w:rStyle w:val="VerbatimChar"/>
        </w:rPr>
        <w:t xml:space="preserve">&gt; traceability: [HLR-001](@) [HLR-002](@)</w:t>
      </w:r>
    </w:p>
    <w:bookmarkEnd w:id="59"/>
    <w:bookmarkEnd w:id="60"/>
    <w:bookmarkStart w:id="70" w:name="SPEC-sec3.6"/>
    <w:p>
      <w:pPr>
        <w:pStyle w:val="Heading2"/>
        <w:numPr>
          <w:ilvl w:val="1"/>
          <w:numId w:val="100"/>
        </w:numPr>
      </w:pPr>
      <w:r>
        <w:t xml:space="preserve">Spec Relation</w:t>
      </w:r>
    </w:p>
    <w:p>
      <w:pPr>
        <w:pStyle w:val="FirstParagraph"/>
      </w:pPr>
      <w:r>
        <w:t xml:space="preserve">A</w:t>
      </w:r>
      <w:r>
        <w:t xml:space="preserve"> </w:t>
      </w:r>
      <w:r>
        <w:rPr>
          <w:bCs/>
          <w:b/>
        </w:rPr>
        <w:t xml:space="preserve">Spec Relation</w:t>
      </w:r>
      <w:r>
        <w:t xml:space="preserve"> </w:t>
      </w:r>
      <w:r>
        <w:t xml:space="preserve">is a traceability link between specification elements. Relations are created from Markdown links where the URL acts as a</w:t>
      </w:r>
      <w:r>
        <w:t xml:space="preserve"> </w:t>
      </w:r>
      <w:r>
        <w:rPr>
          <w:bCs/>
          <w:b/>
        </w:rPr>
        <w:t xml:space="preserve">selector</w:t>
      </w:r>
      <w:r>
        <w:t xml:space="preserve"> </w:t>
      </w:r>
      <w:r>
        <w:t xml:space="preserve">that drives type inference. The relation type is not authored explicitly — it is inferred from the selector, the source context, and the resolved target.</w:t>
      </w:r>
    </w:p>
    <w:bookmarkStart w:id="61" w:name="SPEC-sec3.6.1"/>
    <w:p>
      <w:pPr>
        <w:pStyle w:val="Heading3"/>
        <w:numPr>
          <w:ilvl w:val="2"/>
          <w:numId w:val="100"/>
        </w:numPr>
      </w:pPr>
      <w:r>
        <w:t xml:space="preserve">Formal Definition</w:t>
      </w:r>
    </w:p>
    <w:p>
      <w:pPr>
        <w:pStyle w:val="FirstParagraph"/>
      </w:pPr>
      <w:r>
        <w:t xml:space="preserve">A Spec Relation is a 4-tuple</w:t>
      </w:r>
      <w:r>
        <w:t xml:space="preserve"> </w:t>
      </w:r>
      <m:oMath>
        <m:r>
          <m:t>R</m:t>
        </m:r>
        <m:r>
          <m:rPr>
            <m:sty m:val="p"/>
          </m:rPr>
          <m:t>=</m:t>
        </m:r>
        <m:d>
          <m:dPr>
            <m:begChr m:val="("/>
            <m:endChr m:val=")"/>
            <m:sepChr m:val=""/>
            <m:grow/>
          </m:dPr>
          <m:e>
            <m:r>
              <m:t>s</m:t>
            </m:r>
            <m:r>
              <m:rPr>
                <m:sty m:val="p"/>
              </m:rPr>
              <m:t>,</m:t>
            </m:r>
            <m:r>
              <m:t>t</m:t>
            </m:r>
            <m:r>
              <m:rPr>
                <m:sty m:val="p"/>
              </m:rPr>
              <m:t>,</m:t>
            </m:r>
            <m:r>
              <m:t>σ</m:t>
            </m:r>
            <m:r>
              <m:rPr>
                <m:sty m:val="p"/>
              </m:rPr>
              <m:t>,</m:t>
            </m:r>
            <m:r>
              <m:t>α</m:t>
            </m:r>
          </m:e>
        </m:d>
      </m:oMath>
      <w:r>
        <w:t xml:space="preserve"> </w:t>
      </w:r>
      <w:r>
        <w:t xml:space="preserve">where:</w:t>
      </w:r>
    </w:p>
    <w:p>
      <w:pPr>
        <w:numPr>
          <w:ilvl w:val="0"/>
          <w:numId w:val="1012"/>
        </w:numPr>
        <w:pStyle w:val="Compact"/>
      </w:pPr>
      <m:oMath>
        <m:r>
          <m:t>s</m:t>
        </m:r>
        <m:r>
          <m:rPr>
            <m:sty m:val="p"/>
          </m:rPr>
          <m:t>∈</m:t>
        </m:r>
        <m:r>
          <m:rPr>
            <m:sty m:val="p"/>
            <m:scr m:val="script"/>
          </m:rPr>
          <m:t>O</m:t>
        </m:r>
      </m:oMath>
      <w:r>
        <w:t xml:space="preserve"> </w:t>
      </w:r>
      <w:r>
        <w:t xml:space="preserve">is the source object.</w:t>
      </w:r>
    </w:p>
    <w:p>
      <w:pPr>
        <w:numPr>
          <w:ilvl w:val="0"/>
          <w:numId w:val="1012"/>
        </w:numPr>
        <w:pStyle w:val="Compact"/>
      </w:pPr>
      <m:oMath>
        <m:r>
          <m:t>t</m:t>
        </m:r>
        <m:r>
          <m:rPr>
            <m:sty m:val="p"/>
          </m:rPr>
          <m:t>∈</m:t>
        </m:r>
        <m:d>
          <m:dPr>
            <m:begChr m:val="("/>
            <m:endChr m:val=")"/>
            <m:sepChr m:val=""/>
            <m:grow/>
          </m:dPr>
          <m:e>
            <m:r>
              <m:rPr>
                <m:sty m:val="p"/>
                <m:scr m:val="script"/>
              </m:rPr>
              <m:t>O</m:t>
            </m:r>
            <m:r>
              <m:rPr>
                <m:sty m:val="p"/>
              </m:rPr>
              <m:t>∪</m:t>
            </m:r>
            <m:r>
              <m:rPr>
                <m:sty m:val="p"/>
                <m:scr m:val="script"/>
              </m:rPr>
              <m:t>F</m:t>
            </m:r>
          </m:e>
        </m:d>
      </m:oMath>
      <w:r>
        <w:t xml:space="preserve"> </w:t>
      </w:r>
      <w:r>
        <w:t xml:space="preserve">is the target element (object or float).</w:t>
      </w:r>
    </w:p>
    <w:p>
      <w:pPr>
        <w:numPr>
          <w:ilvl w:val="0"/>
          <w:numId w:val="1012"/>
        </w:numPr>
        <w:pStyle w:val="Compact"/>
      </w:pPr>
      <m:oMath>
        <m:r>
          <m:t>σ</m:t>
        </m:r>
        <m:r>
          <m:rPr>
            <m:sty m:val="p"/>
          </m:rPr>
          <m:t>∈</m:t>
        </m:r>
        <m:r>
          <m:rPr>
            <m:nor/>
            <m:sty m:val="p"/>
          </m:rPr>
          <m:t>String</m:t>
        </m:r>
      </m:oMath>
      <w:r>
        <w:t xml:space="preserve"> </w:t>
      </w:r>
      <w:r>
        <w:t xml:space="preserve">is the link selector (the URL portion of the Markdown link).</w:t>
      </w:r>
    </w:p>
    <w:p>
      <w:pPr>
        <w:numPr>
          <w:ilvl w:val="0"/>
          <w:numId w:val="1012"/>
        </w:numPr>
        <w:pStyle w:val="Compact"/>
      </w:pPr>
      <m:oMath>
        <m:r>
          <m:t>α</m:t>
        </m:r>
        <m:r>
          <m:rPr>
            <m:sty m:val="p"/>
          </m:rPr>
          <m:t>∈</m:t>
        </m:r>
        <m:r>
          <m:rPr>
            <m:nor/>
            <m:sty m:val="p"/>
          </m:rPr>
          <m:t>String</m:t>
        </m:r>
        <m:r>
          <m:rPr>
            <m:sty m:val="p"/>
          </m:rPr>
          <m:t>∪</m:t>
        </m:r>
        <m:d>
          <m:dPr>
            <m:begChr m:val="{"/>
            <m:endChr m:val="}"/>
            <m:sepChr m:val=""/>
            <m:grow/>
          </m:dPr>
          <m:e>
            <m:r>
              <m:rPr>
                <m:sty m:val="p"/>
              </m:rPr>
              <m:t>⊥</m:t>
            </m:r>
          </m:e>
        </m:d>
      </m:oMath>
      <w:r>
        <w:t xml:space="preserve"> </w:t>
      </w:r>
      <w:r>
        <w:t xml:space="preserve">is the source attribute containing the link, or</w:t>
      </w:r>
      <w:r>
        <w:t xml:space="preserve"> </w:t>
      </w:r>
      <m:oMath>
        <m:r>
          <m:rPr>
            <m:sty m:val="p"/>
          </m:rPr>
          <m:t>⊥</m:t>
        </m:r>
      </m:oMath>
      <w:r>
        <w:t xml:space="preserve"> </w:t>
      </w:r>
      <w:r>
        <w:t xml:space="preserve">when the link appears in body text.</w:t>
      </w:r>
    </w:p>
    <w:p>
      <w:pPr>
        <w:pStyle w:val="FirstParagraph"/>
      </w:pPr>
      <w:r>
        <w:t xml:space="preserve">The relation type</w:t>
      </w:r>
      <w:r>
        <w:t xml:space="preserve"> </w:t>
      </w:r>
      <m:oMath>
        <m:r>
          <m:t>ρ</m:t>
        </m:r>
        <m:r>
          <m:rPr>
            <m:sty m:val="p"/>
          </m:rPr>
          <m:t>∈</m:t>
        </m:r>
        <m:r>
          <m:t>Γ</m:t>
        </m:r>
        <m:r>
          <m:rPr>
            <m:sty m:val="p"/>
          </m:rPr>
          <m:t>.</m:t>
        </m:r>
        <m:sSub>
          <m:e>
            <m:r>
              <m:rPr>
                <m:sty m:val="p"/>
              </m:rPr>
              <m:t>⊤</m:t>
            </m:r>
          </m:e>
          <m:sub>
            <m:r>
              <m:t>R</m:t>
            </m:r>
          </m:sub>
        </m:sSub>
      </m:oMath>
      <w:r>
        <w:t xml:space="preserve"> </w:t>
      </w:r>
      <w:r>
        <w:t xml:space="preserve">is</w:t>
      </w:r>
      <w:r>
        <w:t xml:space="preserve"> </w:t>
      </w:r>
      <w:r>
        <w:rPr>
          <w:bCs/>
          <w:b/>
        </w:rPr>
        <w:t xml:space="preserve">inferred</w:t>
      </w:r>
      <w:r>
        <w:t xml:space="preserve">:</w:t>
      </w:r>
      <w:r>
        <w:t xml:space="preserve"> </w:t>
      </w:r>
      <m:oMath>
        <m:r>
          <m:t>ρ</m:t>
        </m:r>
        <m:r>
          <m:rPr>
            <m:sty m:val="p"/>
          </m:rPr>
          <m:t>=</m:t>
        </m:r>
        <m:r>
          <m:rPr>
            <m:nor/>
            <m:sty m:val="p"/>
          </m:rPr>
          <m:t>infer</m:t>
        </m:r>
        <m:d>
          <m:dPr>
            <m:begChr m:val="("/>
            <m:endChr m:val=")"/>
            <m:sepChr m:val=""/>
            <m:grow/>
          </m:dPr>
          <m:e>
            <m:r>
              <m:t>σ</m:t>
            </m:r>
            <m:r>
              <m:rPr>
                <m:sty m:val="p"/>
              </m:rPr>
              <m:t>,</m:t>
            </m:r>
            <m:r>
              <m:t>α</m:t>
            </m:r>
            <m:r>
              <m:rPr>
                <m:sty m:val="p"/>
              </m:rPr>
              <m:t>,</m:t>
            </m:r>
            <m:sSub>
              <m:e>
                <m:r>
                  <m:t>τ</m:t>
                </m:r>
              </m:e>
              <m:sub>
                <m:r>
                  <m:t>s</m:t>
                </m:r>
              </m:sub>
            </m:sSub>
            <m:r>
              <m:rPr>
                <m:sty m:val="p"/>
              </m:rPr>
              <m:t>,</m:t>
            </m:r>
            <m:sSub>
              <m:e>
                <m:r>
                  <m:t>τ</m:t>
                </m:r>
              </m:e>
              <m:sub>
                <m:r>
                  <m:t>t</m:t>
                </m:r>
              </m:sub>
            </m:sSub>
          </m:e>
        </m:d>
      </m:oMath>
      <w:r>
        <w:t xml:space="preserve">.</w:t>
      </w:r>
    </w:p>
    <w:bookmarkEnd w:id="61"/>
    <w:bookmarkStart w:id="65" w:name="SPEC-sec3.6.2"/>
    <w:p>
      <w:pPr>
        <w:pStyle w:val="Heading3"/>
        <w:numPr>
          <w:ilvl w:val="2"/>
          <w:numId w:val="100"/>
        </w:numPr>
      </w:pPr>
      <w:r>
        <w:t xml:space="preserve">Grammar</w:t>
      </w:r>
    </w:p>
    <w:p>
      <w:pPr>
        <w:spacing w:lineRule="exact" w:after="0" w:before="0" w:line="20"/>
        <w:rPr>
          <w:sz w:val="2"/>
        </w:rPr>
      </w:pPr>
      <w:bookmarkStart w:id="79264" w:name="puml-grammar-spec-relation"/>
      <w:bookmarkEnd w:id="79264"/>
    </w:p>
    <w:p>
      <w:pPr>
        <w:pStyle w:val="Caption"/>
        <w:keepNext/>
      </w:pPr>
      <w:r>
        <w:t xml:space="preserve">Figure </w:t>
      </w:r>
      <w:r>
        <w:fldChar w:fldCharType="begin"/>
      </w:r>
      <w:r>
        <w:instrText xml:space="preserve"> SEQ FIGURE \* ARABIC </w:instrText>
      </w:r>
      <w:r>
        <w:fldChar w:fldCharType="separate"/>
      </w:r>
      <w:r>
        <w:t>5</w:t>
      </w:r>
      <w:r>
        <w:fldChar w:fldCharType="end"/>
      </w:r>
      <w:r>
        <w:t xml:space="preserve"> – Spec Relation production</w:t>
      </w:r>
    </w:p>
    <w:p>
      <w:pPr>
        <w:pStyle w:val="FirstParagraph"/>
        <w:jc w:val="center"/>
      </w:pPr>
      <w:r>
        <w:drawing>
          <wp:inline>
            <wp:extent cx="4737100" cy="1676400"/>
            <wp:effectExtent b="0" l="0" r="0" t="0"/>
            <wp:docPr descr="" title="" id="63" name="Picture"/>
            <a:graphic>
              <a:graphicData uri="http://schemas.openxmlformats.org/drawingml/2006/picture">
                <pic:pic>
                  <pic:nvPicPr>
                    <pic:cNvPr descr="diagrams/e81fdc30ba9988a4c689ff034107d1c6b1b73337.png" id="64" name="Picture"/>
                    <pic:cNvPicPr>
                      <a:picLocks noChangeArrowheads="1" noChangeAspect="1"/>
                    </pic:cNvPicPr>
                  </pic:nvPicPr>
                  <pic:blipFill>
                    <a:blip r:embed="rId62"/>
                    <a:stretch>
                      <a:fillRect/>
                    </a:stretch>
                  </pic:blipFill>
                  <pic:spPr bwMode="auto">
                    <a:xfrm>
                      <a:off x="0" y="0"/>
                      <a:ext cx="4737100" cy="1676400"/>
                    </a:xfrm>
                    <a:prstGeom prst="rect">
                      <a:avLst/>
                    </a:prstGeom>
                    <a:noFill/>
                    <a:ln w="9525">
                      <a:noFill/>
                      <a:headEnd/>
                      <a:tailEnd/>
                    </a:ln>
                  </pic:spPr>
                </pic:pic>
              </a:graphicData>
            </a:graphic>
          </wp:inline>
        </w:drawing>
      </w:r>
    </w:p>
    <w:bookmarkEnd w:id="65"/>
    <w:bookmarkStart w:id="66" w:name="SPEC-sec3.6.3"/>
    <w:p>
      <w:pPr>
        <w:pStyle w:val="Heading3"/>
        <w:numPr>
          <w:ilvl w:val="2"/>
          <w:numId w:val="100"/>
        </w:numPr>
      </w:pPr>
      <w:r>
        <w:t xml:space="preserve">Link Selectors</w:t>
      </w:r>
    </w:p>
    <w:p>
      <w:pPr>
        <w:pStyle w:val="FirstParagraph"/>
      </w:pPr>
      <w:r>
        <w:t xml:space="preserve">Any Markdown link whose URL starts with</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is recognized as a spec relation. The full URL string becomes the</w:t>
      </w:r>
      <w:r>
        <w:t xml:space="preserve"> </w:t>
      </w:r>
      <w:r>
        <w:rPr>
          <w:bCs/>
          <w:b/>
        </w:rPr>
        <w:t xml:space="preserve">selector</w:t>
      </w:r>
      <w:r>
        <w:t xml:space="preserve"> </w:t>
      </w:r>
      <w:r>
        <w:t xml:space="preserve">— selectors are not hardcoded but defined by relation types in the model. A base relation type registers a selector value and a resolver; concrete types inherit both via</w:t>
      </w:r>
      <w:r>
        <w:t xml:space="preserve"> </w:t>
      </w:r>
      <w:r>
        <w:rPr>
          <w:rStyle w:val="VerbatimChar"/>
        </w:rPr>
        <w:t xml:space="preserve">extends</w:t>
      </w:r>
      <w:r>
        <w:t xml:space="preserve">.</w:t>
      </w:r>
    </w:p>
    <w:p>
      <w:pPr>
        <w:pStyle w:val="BodyText"/>
      </w:pPr>
      <w:r>
        <w:t xml:space="preserve">The default model defines these base relation types (and therefore these selectors):</w:t>
      </w:r>
    </w:p>
    <w:p>
      <w:pPr>
        <w:numPr>
          <w:ilvl w:val="0"/>
          <w:numId w:val="1013"/>
        </w:numPr>
        <w:pStyle w:val="Compact"/>
      </w:pPr>
      <w:r>
        <w:rPr>
          <w:rStyle w:val="VerbatimChar"/>
          <w:bCs/>
          <w:b/>
        </w:rPr>
        <w:t xml:space="preserve">PID_REF</w:t>
      </w:r>
      <w:r>
        <w:t xml:space="preserve"> </w:t>
      </w:r>
      <w:r>
        <w:t xml:space="preserve">(selector</w:t>
      </w:r>
      <w:r>
        <w:t xml:space="preserve"> </w:t>
      </w:r>
      <w:r>
        <w:rPr>
          <w:rStyle w:val="VerbatimChar"/>
        </w:rPr>
        <w:t xml:space="preserve">@</w:t>
      </w:r>
      <w:r>
        <w:t xml:space="preserve">) — resolves the link text as a PID against the set of declared PIDs. Example:</w:t>
      </w:r>
      <w:r>
        <w:t xml:space="preserve"> </w:t>
      </w:r>
      <w:r>
        <w:rPr>
          <w:rStyle w:val="VerbatimChar"/>
        </w:rPr>
        <w:t xml:space="preserve">[HLR-001](@)</w:t>
      </w:r>
      <w:r>
        <w:t xml:space="preserve">.</w:t>
      </w:r>
    </w:p>
    <w:p>
      <w:pPr>
        <w:numPr>
          <w:ilvl w:val="0"/>
          <w:numId w:val="1013"/>
        </w:numPr>
        <w:pStyle w:val="Compact"/>
      </w:pPr>
      <w:r>
        <w:rPr>
          <w:rStyle w:val="VerbatimChar"/>
          <w:bCs/>
          <w:b/>
        </w:rPr>
        <w:t xml:space="preserve">LABEL_REF</w:t>
      </w:r>
      <w:r>
        <w:t xml:space="preserve"> </w:t>
      </w:r>
      <w:r>
        <w:t xml:space="preserve">(selector</w:t>
      </w:r>
      <w:r>
        <w:t xml:space="preserve"> </w:t>
      </w:r>
      <w:r>
        <w:rPr>
          <w:rStyle w:val="VerbatimChar"/>
        </w:rPr>
        <w:t xml:space="preserve">#</w:t>
      </w:r>
      <w:r>
        <w:t xml:space="preserve">) — resolves the link text as a label against the set of declared object and float labels. Example:</w:t>
      </w:r>
      <w:r>
        <w:t xml:space="preserve"> </w:t>
      </w:r>
      <w:r>
        <w:rPr>
          <w:rStyle w:val="VerbatimChar"/>
        </w:rPr>
        <w:t xml:space="preserve">[fig:architecture](#)</w:t>
      </w:r>
      <w:r>
        <w:t xml:space="preserve">.</w:t>
      </w:r>
    </w:p>
    <w:p>
      <w:pPr>
        <w:numPr>
          <w:ilvl w:val="0"/>
          <w:numId w:val="1013"/>
        </w:numPr>
        <w:pStyle w:val="Compact"/>
      </w:pPr>
      <w:r>
        <w:rPr>
          <w:rStyle w:val="VerbatimChar"/>
          <w:bCs/>
          <w:b/>
        </w:rPr>
        <w:t xml:space="preserve">XREF_CITATION</w:t>
      </w:r>
      <w:r>
        <w:t xml:space="preserve"> </w:t>
      </w:r>
      <w:r>
        <w:t xml:space="preserve">(selector</w:t>
      </w:r>
      <w:r>
        <w:t xml:space="preserve"> </w:t>
      </w:r>
      <w:r>
        <w:rPr>
          <w:rStyle w:val="VerbatimChar"/>
        </w:rPr>
        <w:t xml:space="preserve">@cite</w:t>
      </w:r>
      <w:r>
        <w:t xml:space="preserve">,</w:t>
      </w:r>
      <w:r>
        <w:t xml:space="preserve"> </w:t>
      </w:r>
      <w:r>
        <w:rPr>
          <w:rStyle w:val="VerbatimChar"/>
        </w:rPr>
        <w:t xml:space="preserve">@citep</w:t>
      </w:r>
      <w:r>
        <w:t xml:space="preserve">) — rewrites to a citation element for bibliography integration. Example:</w:t>
      </w:r>
      <w:r>
        <w:t xml:space="preserve"> </w:t>
      </w:r>
      <w:r>
        <w:rPr>
          <w:rStyle w:val="VerbatimChar"/>
        </w:rPr>
        <w:t xml:space="preserve">[smith2024](@cite)</w:t>
      </w:r>
      <w:r>
        <w:t xml:space="preserve">.</w:t>
      </w:r>
    </w:p>
    <w:p>
      <w:pPr>
        <w:pStyle w:val="FirstParagraph"/>
      </w:pPr>
      <w:r>
        <w:t xml:space="preserve">Concrete types extend these bases to add semantic constraints without reimplementing resolution. For example,</w:t>
      </w:r>
      <w:r>
        <w:t xml:space="preserve"> </w:t>
      </w:r>
      <w:r>
        <w:rPr>
          <w:rStyle w:val="VerbatimChar"/>
        </w:rPr>
        <w:t xml:space="preserve">VERIFIES</w:t>
      </w:r>
      <w:r>
        <w:t xml:space="preserve"> </w:t>
      </w:r>
      <w:r>
        <w:t xml:space="preserve">extends</w:t>
      </w:r>
      <w:r>
        <w:t xml:space="preserve"> </w:t>
      </w:r>
      <w:r>
        <w:rPr>
          <w:rStyle w:val="VerbatimChar"/>
        </w:rPr>
        <w:t xml:space="preserve">PID_REF</w:t>
      </w:r>
      <w:r>
        <w:t xml:space="preserve"> </w:t>
      </w:r>
      <w:r>
        <w:t xml:space="preserve">— it inherits the</w:t>
      </w:r>
      <w:r>
        <w:t xml:space="preserve"> </w:t>
      </w:r>
      <w:r>
        <w:rPr>
          <w:rStyle w:val="VerbatimChar"/>
        </w:rPr>
        <w:t xml:space="preserve">@</w:t>
      </w:r>
      <w:r>
        <w:t xml:space="preserve"> </w:t>
      </w:r>
      <w:r>
        <w:t xml:space="preserve">selector and PID resolver, then adds constraints (</w:t>
      </w:r>
      <w:r>
        <w:rPr>
          <w:rStyle w:val="VerbatimChar"/>
        </w:rPr>
        <w:t xml:space="preserve">source_type_ref = 'VC'</w:t>
      </w:r>
      <w:r>
        <w:t xml:space="preserve">,</w:t>
      </w:r>
      <w:r>
        <w:t xml:space="preserve"> </w:t>
      </w:r>
      <w:r>
        <w:rPr>
          <w:rStyle w:val="VerbatimChar"/>
        </w:rPr>
        <w:t xml:space="preserve">source_attribute = 'traceability'</w:t>
      </w:r>
      <w:r>
        <w:t xml:space="preserve">,</w:t>
      </w:r>
      <w:r>
        <w:t xml:space="preserve"> </w:t>
      </w:r>
      <w:r>
        <w:rPr>
          <w:rStyle w:val="VerbatimChar"/>
        </w:rPr>
        <w:t xml:space="preserve">target_type_ref = 'HLR,LLR'</w:t>
      </w:r>
      <w:r>
        <w:t xml:space="preserve">) so that a</w:t>
      </w:r>
      <w:r>
        <w:t xml:space="preserve"> </w:t>
      </w:r>
      <w:r>
        <w:rPr>
          <w:rStyle w:val="VerbatimChar"/>
        </w:rPr>
        <w:t xml:space="preserve">@</w:t>
      </w:r>
      <w:r>
        <w:t xml:space="preserve"> </w:t>
      </w:r>
      <w:r>
        <w:t xml:space="preserve">link from a VC’s traceability attribute to an HLR is inferred as a VERIFIES relation.</w:t>
      </w:r>
    </w:p>
    <w:p>
      <w:pPr>
        <w:pStyle w:val="BodyText"/>
      </w:pPr>
      <w:r>
        <w:t xml:space="preserve">Models can define additional selectors (any string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 by creating new relation types with their own</w:t>
      </w:r>
      <w:r>
        <w:t xml:space="preserve"> </w:t>
      </w:r>
      <w:r>
        <w:rPr>
          <w:rStyle w:val="VerbatimChar"/>
        </w:rPr>
        <w:t xml:space="preserve">link_selector</w:t>
      </w:r>
      <w:r>
        <w:t xml:space="preserve"> </w:t>
      </w:r>
      <w:r>
        <w:t xml:space="preserve">and optional resolver.</w:t>
      </w:r>
    </w:p>
    <w:bookmarkEnd w:id="66"/>
    <w:bookmarkStart w:id="67" w:name="SPEC-sec3.6.4"/>
    <w:p>
      <w:pPr>
        <w:pStyle w:val="Heading3"/>
        <w:numPr>
          <w:ilvl w:val="2"/>
          <w:numId w:val="100"/>
        </w:numPr>
      </w:pPr>
      <w:r>
        <w:t xml:space="preserve">Type Inference</w:t>
      </w:r>
    </w:p>
    <w:p>
      <w:pPr>
        <w:pStyle w:val="FirstParagraph"/>
      </w:pPr>
      <w:r>
        <w:t xml:space="preserve">Relation types are inferred by</w:t>
      </w:r>
      <w:r>
        <w:t xml:space="preserve"> </w:t>
      </w:r>
      <w:r>
        <w:rPr>
          <w:bCs/>
          <w:b/>
        </w:rPr>
        <w:t xml:space="preserve">constraint matching</w:t>
      </w:r>
      <w:r>
        <w:t xml:space="preserve"> </w:t>
      </w:r>
      <w:r>
        <w:t xml:space="preserve">with most-specific-wins. Each relation type defines up to 4 optional constraints:</w:t>
      </w:r>
      <w:r>
        <w:t xml:space="preserve"> </w:t>
      </w:r>
      <w:r>
        <w:rPr>
          <w:rStyle w:val="VerbatimChar"/>
        </w:rPr>
        <w:t xml:space="preserve">link_selector</w:t>
      </w:r>
      <w:r>
        <w:t xml:space="preserve">,</w:t>
      </w:r>
      <w:r>
        <w:t xml:space="preserve"> </w:t>
      </w:r>
      <w:r>
        <w:rPr>
          <w:rStyle w:val="VerbatimChar"/>
        </w:rPr>
        <w:t xml:space="preserve">source_attribute</w:t>
      </w:r>
      <w:r>
        <w:t xml:space="preserve">,</w:t>
      </w:r>
      <w:r>
        <w:t xml:space="preserve"> </w:t>
      </w:r>
      <w:r>
        <w:rPr>
          <w:rStyle w:val="VerbatimChar"/>
        </w:rPr>
        <w:t xml:space="preserve">source_type_ref</w:t>
      </w:r>
      <w:r>
        <w:t xml:space="preserve">,</w:t>
      </w:r>
      <w:r>
        <w:t xml:space="preserve"> </w:t>
      </w:r>
      <w:r>
        <w:rPr>
          <w:rStyle w:val="VerbatimChar"/>
        </w:rPr>
        <w:t xml:space="preserve">target_type_ref</w:t>
      </w:r>
      <w:r>
        <w:t xml:space="preserve">. A</w:t>
      </w:r>
      <w:r>
        <w:t xml:space="preserve"> </w:t>
      </w:r>
      <w:r>
        <w:rPr>
          <w:rStyle w:val="VerbatimChar"/>
        </w:rPr>
        <w:t xml:space="preserve">NULL</w:t>
      </w:r>
      <w:r>
        <w:t xml:space="preserve"> </w:t>
      </w:r>
      <w:r>
        <w:t xml:space="preserve">constraint is a wildcard — it matches anything but does not add specificity.</w:t>
      </w:r>
    </w:p>
    <w:p>
      <w:pPr>
        <w:pStyle w:val="BodyText"/>
      </w:pPr>
      <w:r>
        <w:t xml:space="preserve">The algorithm:</w:t>
      </w:r>
    </w:p>
    <w:p>
      <w:pPr>
        <w:numPr>
          <w:ilvl w:val="0"/>
          <w:numId w:val="1014"/>
        </w:numPr>
        <w:pStyle w:val="Compact"/>
      </w:pPr>
      <w:r>
        <w:rPr>
          <w:bCs/>
          <w:b/>
        </w:rPr>
        <w:t xml:space="preserve">Filter</w:t>
      </w:r>
      <w:r>
        <w:t xml:space="preserve">: find all relation types whose non-</w:t>
      </w:r>
      <w:r>
        <w:rPr>
          <w:rStyle w:val="VerbatimChar"/>
        </w:rPr>
        <w:t xml:space="preserve">NULL</w:t>
      </w:r>
      <w:r>
        <w:t xml:space="preserve"> </w:t>
      </w:r>
      <w:r>
        <w:t xml:space="preserve">constraints are compatible with the current link’s values (selector, source attribute, source object type).</w:t>
      </w:r>
    </w:p>
    <w:p>
      <w:pPr>
        <w:numPr>
          <w:ilvl w:val="0"/>
          <w:numId w:val="1014"/>
        </w:numPr>
        <w:pStyle w:val="Compact"/>
      </w:pPr>
      <w:r>
        <w:rPr>
          <w:bCs/>
          <w:b/>
        </w:rPr>
        <w:t xml:space="preserve">Resolve</w:t>
      </w:r>
      <w:r>
        <w:t xml:space="preserve">: call the resolver (determined by the type’s</w:t>
      </w:r>
      <w:r>
        <w:t xml:space="preserve"> </w:t>
      </w:r>
      <w:r>
        <w:rPr>
          <w:rStyle w:val="VerbatimChar"/>
        </w:rPr>
        <w:t xml:space="preserve">extends</w:t>
      </w:r>
      <w:r>
        <w:t xml:space="preserve"> </w:t>
      </w:r>
      <w:r>
        <w:t xml:space="preserve">chain) to find the target element.</w:t>
      </w:r>
    </w:p>
    <w:p>
      <w:pPr>
        <w:numPr>
          <w:ilvl w:val="0"/>
          <w:numId w:val="1014"/>
        </w:numPr>
        <w:pStyle w:val="Compact"/>
      </w:pPr>
      <w:r>
        <w:rPr>
          <w:bCs/>
          <w:b/>
        </w:rPr>
        <w:t xml:space="preserve">Score</w:t>
      </w:r>
      <w:r>
        <w:t xml:space="preserve">: for each candidate, count the number of non-</w:t>
      </w:r>
      <w:r>
        <w:rPr>
          <w:rStyle w:val="VerbatimChar"/>
        </w:rPr>
        <w:t xml:space="preserve">NULL</w:t>
      </w:r>
      <w:r>
        <w:t xml:space="preserve"> </w:t>
      </w:r>
      <w:r>
        <w:t xml:space="preserve">constraints that matched across all 4 dimensions (adding</w:t>
      </w:r>
      <w:r>
        <w:t xml:space="preserve"> </w:t>
      </w:r>
      <w:r>
        <w:rPr>
          <w:rStyle w:val="VerbatimChar"/>
        </w:rPr>
        <w:t xml:space="preserve">target_type</w:t>
      </w:r>
      <w:r>
        <w:t xml:space="preserve"> </w:t>
      </w:r>
      <w:r>
        <w:t xml:space="preserve">now that the target is known). Candidates whose</w:t>
      </w:r>
      <w:r>
        <w:t xml:space="preserve"> </w:t>
      </w:r>
      <w:r>
        <w:rPr>
          <w:rStyle w:val="VerbatimChar"/>
        </w:rPr>
        <w:t xml:space="preserve">target_type_ref</w:t>
      </w:r>
      <w:r>
        <w:t xml:space="preserve"> </w:t>
      </w:r>
      <w:r>
        <w:t xml:space="preserve">constraint doesn’t match are eliminated.</w:t>
      </w:r>
    </w:p>
    <w:p>
      <w:pPr>
        <w:numPr>
          <w:ilvl w:val="0"/>
          <w:numId w:val="1014"/>
        </w:numPr>
        <w:pStyle w:val="Compact"/>
      </w:pPr>
      <w:r>
        <w:rPr>
          <w:bCs/>
          <w:b/>
        </w:rPr>
        <w:t xml:space="preserve">Pick</w:t>
      </w:r>
      <w:r>
        <w:t xml:space="preserve">: the highest-specificity candidate wins. If two candidates tie, the relation is marked ambiguous.</w:t>
      </w:r>
    </w:p>
    <w:p>
      <w:pPr>
        <w:pStyle w:val="FirstParagraph"/>
      </w:pPr>
      <w:r>
        <w:t xml:space="preserve">For example, a link</w:t>
      </w:r>
      <w:r>
        <w:t xml:space="preserve"> </w:t>
      </w:r>
      <w:r>
        <w:rPr>
          <w:rStyle w:val="VerbatimChar"/>
        </w:rPr>
        <w:t xml:space="preserve">[HLR-001](@)</w:t>
      </w:r>
      <w:r>
        <w:t xml:space="preserve"> </w:t>
      </w:r>
      <w:r>
        <w:t xml:space="preserve">in a VC object’s</w:t>
      </w:r>
      <w:r>
        <w:t xml:space="preserve"> </w:t>
      </w:r>
      <w:r>
        <w:rPr>
          <w:rStyle w:val="VerbatimChar"/>
        </w:rPr>
        <w:t xml:space="preserve">traceability</w:t>
      </w:r>
      <w:r>
        <w:t xml:space="preserve"> </w:t>
      </w:r>
      <w:r>
        <w:t xml:space="preserve">attribute produces these candidates:</w:t>
      </w:r>
    </w:p>
    <w:tbl>
      <w:tblPr>
        <w:tblStyle w:val="Table"/>
        <w:tblW w:type="auto" w:w="0"/>
        <w:tblLook w:firstRow="1" w:lastRow="0" w:firstColumn="0" w:lastColumn="0" w:noHBand="0" w:noVBand="0" w:val="0020"/>
        <w:jc w:val="start"/>
        <w:tblBorders>
          <w:top w:val="single" w:space="0" w:color="000000" w:sz="6"/>
          <w:left w:val="single" w:space="0" w:color="000000" w:sz="6"/>
          <w:bottom w:val="single" w:space="0" w:color="000000" w:sz="6"/>
          <w:right w:val="single" w:space="0" w:color="000000" w:sz="6"/>
          <w:insideH w:val="single" w:space="0" w:color="000000" w:sz="6"/>
          <w:insideV w:val="single" w:space="0" w:color="000000" w:sz="6"/>
        </w:tblBorders>
        <w:tblCellMar>
          <w:top w:type="dxa" w:w="57"/>
          <w:left w:type="dxa" w:w="108"/>
          <w:bottom w:type="dxa" w:w="57"/>
          <w:right w:type="dxa" w:w="108"/>
        </w:tblCellMar>
      </w:tblPr>
      <w:tblGrid>
        <w:gridCol w:w="1320"/>
        <w:gridCol w:w="1320"/>
        <w:gridCol w:w="1320"/>
        <w:gridCol w:w="1320"/>
        <w:gridCol w:w="1320"/>
        <w:gridCol w:w="1320"/>
      </w:tblGrid>
      <w:tr>
        <w:trPr>
          <w:tblHeader w:val="true"/>
        </w:trPr>
        <w:tc>
          <w:tcPr>
            <w:shd w:val="clear" w:fill="E8E8E8" w:color="auto"/>
          </w:tcPr>
          <w:p>
            <w:pPr>
              <w:pStyle w:val="Compact"/>
              <w:jc w:val="left"/>
              <w:ind w:firstLine="0" w:right="0" w:left="0"/>
              <w:spacing w:line="240" w:before="40" w:after="40" w:lineRule="auto"/>
            </w:pPr>
            <w:r>
              <w:rPr>
                <w:b/>
              </w:rPr>
              <w:t xml:space="preserve">Type</w:t>
            </w:r>
          </w:p>
        </w:tc>
        <w:tc>
          <w:tcPr>
            <w:shd w:val="clear" w:fill="E8E8E8" w:color="auto"/>
          </w:tcPr>
          <w:p>
            <w:pPr>
              <w:pStyle w:val="Compact"/>
              <w:jc w:val="left"/>
              <w:ind w:firstLine="0" w:right="0" w:left="0"/>
              <w:spacing w:line="240" w:before="40" w:after="40" w:lineRule="auto"/>
            </w:pPr>
            <w:r>
              <w:rPr>
                <w:b/>
              </w:rPr>
              <w:t xml:space="preserve">selector</w:t>
            </w:r>
          </w:p>
        </w:tc>
        <w:tc>
          <w:tcPr>
            <w:shd w:val="clear" w:fill="E8E8E8" w:color="auto"/>
          </w:tcPr>
          <w:p>
            <w:pPr>
              <w:pStyle w:val="Compact"/>
              <w:jc w:val="left"/>
              <w:ind w:firstLine="0" w:right="0" w:left="0"/>
              <w:spacing w:line="240" w:before="40" w:after="40" w:lineRule="auto"/>
            </w:pPr>
            <w:r>
              <w:rPr>
                <w:b/>
              </w:rPr>
              <w:t xml:space="preserve">source_attr</w:t>
            </w:r>
          </w:p>
        </w:tc>
        <w:tc>
          <w:tcPr>
            <w:shd w:val="clear" w:fill="E8E8E8" w:color="auto"/>
          </w:tcPr>
          <w:p>
            <w:pPr>
              <w:pStyle w:val="Compact"/>
              <w:jc w:val="left"/>
              <w:ind w:firstLine="0" w:right="0" w:left="0"/>
              <w:spacing w:line="240" w:before="40" w:after="40" w:lineRule="auto"/>
            </w:pPr>
            <w:r>
              <w:rPr>
                <w:b/>
              </w:rPr>
              <w:t xml:space="preserve">source_type</w:t>
            </w:r>
          </w:p>
        </w:tc>
        <w:tc>
          <w:tcPr>
            <w:shd w:val="clear" w:fill="E8E8E8" w:color="auto"/>
          </w:tcPr>
          <w:p>
            <w:pPr>
              <w:pStyle w:val="Compact"/>
              <w:jc w:val="left"/>
              <w:ind w:firstLine="0" w:right="0" w:left="0"/>
              <w:spacing w:line="240" w:before="40" w:after="40" w:lineRule="auto"/>
            </w:pPr>
            <w:r>
              <w:rPr>
                <w:b/>
              </w:rPr>
              <w:t xml:space="preserve">target_type</w:t>
            </w:r>
          </w:p>
        </w:tc>
        <w:tc>
          <w:tcPr>
            <w:shd w:val="clear" w:fill="E8E8E8" w:color="auto"/>
          </w:tcPr>
          <w:p>
            <w:pPr>
              <w:pStyle w:val="Compact"/>
              <w:jc w:val="left"/>
              <w:ind w:firstLine="0" w:right="0" w:left="0"/>
              <w:spacing w:line="240" w:before="40" w:after="40" w:lineRule="auto"/>
            </w:pPr>
            <w:r>
              <w:rPr>
                <w:b/>
              </w:rPr>
              <w:t xml:space="preserve">Score</w:t>
            </w:r>
          </w:p>
        </w:tc>
      </w:tr>
      <w:tr>
        <w:tc>
          <w:tcPr/>
          <w:p>
            <w:pPr>
              <w:pStyle w:val="Compact"/>
              <w:jc w:val="left"/>
              <w:ind w:firstLine="0" w:right="0" w:left="0"/>
              <w:spacing w:line="240" w:before="40" w:after="40" w:lineRule="auto"/>
            </w:pPr>
            <w:r>
              <w:t xml:space="preserve">VERIFIES</w:t>
            </w:r>
          </w:p>
        </w:tc>
        <w:tc>
          <w:tcPr/>
          <w:p>
            <w:pPr>
              <w:pStyle w:val="Compact"/>
              <w:jc w:val="left"/>
              <w:ind w:firstLine="0" w:right="0" w:left="0"/>
              <w:spacing w:line="240" w:before="40" w:after="40" w:lineRule="auto"/>
            </w:pPr>
            <w:r>
              <w:rPr>
                <w:rStyle w:val="VerbatimChar"/>
              </w:rPr>
              <w:t xml:space="preserve">@</w:t>
            </w:r>
          </w:p>
        </w:tc>
        <w:tc>
          <w:tcPr/>
          <w:p>
            <w:pPr>
              <w:pStyle w:val="Compact"/>
              <w:jc w:val="left"/>
              <w:ind w:firstLine="0" w:right="0" w:left="0"/>
              <w:spacing w:line="240" w:before="40" w:after="40" w:lineRule="auto"/>
            </w:pPr>
            <w:r>
              <w:rPr>
                <w:rStyle w:val="VerbatimChar"/>
              </w:rPr>
              <w:t xml:space="preserve">traceability</w:t>
            </w:r>
          </w:p>
        </w:tc>
        <w:tc>
          <w:tcPr/>
          <w:p>
            <w:pPr>
              <w:pStyle w:val="Compact"/>
              <w:jc w:val="left"/>
              <w:ind w:firstLine="0" w:right="0" w:left="0"/>
              <w:spacing w:line="240" w:before="40" w:after="40" w:lineRule="auto"/>
            </w:pPr>
            <w:r>
              <w:rPr>
                <w:rStyle w:val="VerbatimChar"/>
              </w:rPr>
              <w:t xml:space="preserve">VC</w:t>
            </w:r>
          </w:p>
        </w:tc>
        <w:tc>
          <w:tcPr/>
          <w:p>
            <w:pPr>
              <w:pStyle w:val="Compact"/>
              <w:jc w:val="left"/>
              <w:ind w:firstLine="0" w:right="0" w:left="0"/>
              <w:spacing w:line="240" w:before="40" w:after="40" w:lineRule="auto"/>
            </w:pPr>
            <w:r>
              <w:rPr>
                <w:rStyle w:val="VerbatimChar"/>
              </w:rPr>
              <w:t xml:space="preserve">HLR</w:t>
            </w:r>
          </w:p>
        </w:tc>
        <w:tc>
          <w:tcPr/>
          <w:p>
            <w:pPr>
              <w:pStyle w:val="Compact"/>
              <w:jc w:val="left"/>
              <w:ind w:firstLine="0" w:right="0" w:left="0"/>
              <w:spacing w:line="240" w:before="40" w:after="40" w:lineRule="auto"/>
            </w:pPr>
            <w:r>
              <w:rPr>
                <w:bCs/>
                <w:b/>
              </w:rPr>
              <w:t xml:space="preserve">4</w:t>
            </w:r>
          </w:p>
        </w:tc>
      </w:tr>
      <w:tr>
        <w:tc>
          <w:tcPr/>
          <w:p>
            <w:pPr>
              <w:pStyle w:val="Compact"/>
              <w:jc w:val="left"/>
              <w:ind w:firstLine="0" w:right="0" w:left="0"/>
              <w:spacing w:line="240" w:before="40" w:after="40" w:lineRule="auto"/>
            </w:pPr>
            <w:r>
              <w:t xml:space="preserve">TRACES_TO</w:t>
            </w:r>
          </w:p>
        </w:tc>
        <w:tc>
          <w:tcPr/>
          <w:p>
            <w:pPr>
              <w:pStyle w:val="Compact"/>
              <w:jc w:val="left"/>
              <w:ind w:firstLine="0" w:right="0" w:left="0"/>
              <w:spacing w:line="240" w:before="40" w:after="40" w:lineRule="auto"/>
            </w:pPr>
            <w:r>
              <w:rPr>
                <w:rStyle w:val="VerbatimChar"/>
              </w:rPr>
              <w:t xml:space="preserve">@</w:t>
            </w:r>
          </w:p>
        </w:tc>
        <w:tc>
          <w:tcPr/>
          <w:p>
            <w:pPr>
              <w:pStyle w:val="Compact"/>
              <w:jc w:val="left"/>
              <w:ind w:firstLine="0" w:right="0" w:left="0"/>
              <w:spacing w:line="240" w:before="40" w:after="40" w:lineRule="auto"/>
            </w:pPr>
            <w:r>
              <w:t xml:space="preserve">—</w:t>
            </w:r>
          </w:p>
        </w:tc>
        <w:tc>
          <w:tcPr/>
          <w:p>
            <w:pPr>
              <w:pStyle w:val="Compact"/>
              <w:jc w:val="left"/>
              <w:ind w:firstLine="0" w:right="0" w:left="0"/>
              <w:spacing w:line="240" w:before="40" w:after="40" w:lineRule="auto"/>
            </w:pPr>
            <w:r>
              <w:t xml:space="preserve">—</w:t>
            </w:r>
          </w:p>
        </w:tc>
        <w:tc>
          <w:tcPr/>
          <w:p>
            <w:pPr>
              <w:pStyle w:val="Compact"/>
              <w:jc w:val="left"/>
              <w:ind w:firstLine="0" w:right="0" w:left="0"/>
              <w:spacing w:line="240" w:before="40" w:after="40" w:lineRule="auto"/>
            </w:pPr>
            <w:r>
              <w:t xml:space="preserve">—</w:t>
            </w:r>
          </w:p>
        </w:tc>
        <w:tc>
          <w:tcPr/>
          <w:p>
            <w:pPr>
              <w:pStyle w:val="Compact"/>
              <w:jc w:val="left"/>
              <w:ind w:firstLine="0" w:right="0" w:left="0"/>
              <w:spacing w:line="240" w:before="40" w:after="40" w:lineRule="auto"/>
            </w:pPr>
            <w:r>
              <w:t xml:space="preserve">1</w:t>
            </w:r>
          </w:p>
        </w:tc>
      </w:tr>
      <w:tr>
        <w:tc>
          <w:tcPr/>
          <w:p>
            <w:pPr>
              <w:pStyle w:val="Compact"/>
              <w:jc w:val="left"/>
              <w:ind w:firstLine="0" w:right="0" w:left="0"/>
              <w:spacing w:line="240" w:before="40" w:after="40" w:lineRule="auto"/>
            </w:pPr>
            <w:r>
              <w:t xml:space="preserve">XREF_SEC</w:t>
            </w:r>
          </w:p>
        </w:tc>
        <w:tc>
          <w:tcPr/>
          <w:p>
            <w:pPr>
              <w:pStyle w:val="Compact"/>
              <w:jc w:val="left"/>
              <w:ind w:firstLine="0" w:right="0" w:left="0"/>
              <w:spacing w:line="240" w:before="40" w:after="40" w:lineRule="auto"/>
            </w:pPr>
            <w:r>
              <w:rPr>
                <w:rStyle w:val="VerbatimChar"/>
              </w:rPr>
              <w:t xml:space="preserve">@</w:t>
            </w:r>
          </w:p>
        </w:tc>
        <w:tc>
          <w:tcPr/>
          <w:p>
            <w:pPr>
              <w:pStyle w:val="Compact"/>
              <w:jc w:val="left"/>
              <w:ind w:firstLine="0" w:right="0" w:left="0"/>
              <w:spacing w:line="240" w:before="40" w:after="40" w:lineRule="auto"/>
            </w:pPr>
            <w:r>
              <w:t xml:space="preserve">—</w:t>
            </w:r>
          </w:p>
        </w:tc>
        <w:tc>
          <w:tcPr/>
          <w:p>
            <w:pPr>
              <w:pStyle w:val="Compact"/>
              <w:jc w:val="left"/>
              <w:ind w:firstLine="0" w:right="0" w:left="0"/>
              <w:spacing w:line="240" w:before="40" w:after="40" w:lineRule="auto"/>
            </w:pPr>
            <w:r>
              <w:t xml:space="preserve">—</w:t>
            </w:r>
          </w:p>
        </w:tc>
        <w:tc>
          <w:tcPr/>
          <w:p>
            <w:pPr>
              <w:pStyle w:val="Compact"/>
              <w:jc w:val="left"/>
              <w:ind w:firstLine="0" w:right="0" w:left="0"/>
              <w:spacing w:line="240" w:before="40" w:after="40" w:lineRule="auto"/>
            </w:pPr>
            <w:r>
              <w:rPr>
                <w:rStyle w:val="VerbatimChar"/>
                <w:strike/>
              </w:rPr>
              <w:t xml:space="preserve">SECTION</w:t>
            </w:r>
          </w:p>
        </w:tc>
        <w:tc>
          <w:tcPr/>
          <w:p>
            <w:pPr>
              <w:pStyle w:val="Compact"/>
              <w:jc w:val="left"/>
              <w:ind w:firstLine="0" w:right="0" w:left="0"/>
              <w:spacing w:line="240" w:before="40" w:after="40" w:lineRule="auto"/>
            </w:pPr>
            <w:r>
              <w:t xml:space="preserve">eliminated</w:t>
            </w:r>
          </w:p>
        </w:tc>
      </w:tr>
    </w:tbl>
    <w:p>
      <w:pPr>
        <w:pStyle w:val="BodyText"/>
      </w:pPr>
      <w:r>
        <w:t xml:space="preserve">VERIFIES wins with the highest specificity (4 non-NULL constraints matched).</w:t>
      </w:r>
    </w:p>
    <w:bookmarkEnd w:id="67"/>
    <w:bookmarkStart w:id="68" w:name="SPEC-sec3.6.5"/>
    <w:p>
      <w:pPr>
        <w:pStyle w:val="Heading3"/>
        <w:numPr>
          <w:ilvl w:val="2"/>
          <w:numId w:val="100"/>
        </w:numPr>
      </w:pPr>
      <w:r>
        <w:t xml:space="preserve">Links in Diagram Source</w:t>
      </w:r>
    </w:p>
    <w:p>
      <w:pPr>
        <w:pStyle w:val="FirstParagraph"/>
      </w:pPr>
      <w:r>
        <w:t xml:space="preserve">A spec relation may also be written inside the content of a diagram float. This applies only to float types that declare a</w:t>
      </w:r>
      <w:r>
        <w:t xml:space="preserve"> </w:t>
      </w:r>
      <w:r>
        <w:rPr>
          <w:rStyle w:val="VerbatimChar"/>
        </w:rPr>
        <w:t xml:space="preserve">format_link</w:t>
      </w:r>
      <w:r>
        <w:t xml:space="preserve"> </w:t>
      </w:r>
      <w:r>
        <w:t xml:space="preserve">hook. In the default model, that is</w:t>
      </w:r>
      <w:r>
        <w:t xml:space="preserve"> </w:t>
      </w:r>
      <w:r>
        <w:rPr>
          <w:bCs/>
          <w:b/>
        </w:rPr>
        <w:t xml:space="preserve">PLANTUML</w:t>
      </w:r>
      <w:r>
        <w:t xml:space="preserve">. Other floats, such as listings, keep their content verbatim.</w:t>
      </w:r>
    </w:p>
    <w:p>
      <w:pPr>
        <w:pStyle w:val="SourceCode"/>
      </w:pPr>
      <w:r>
        <w:rPr>
          <w:rStyle w:val="VerbatimChar"/>
        </w:rPr>
        <w:t xml:space="preserve">```puml:arch{caption="Architecture"}</w:t>
      </w:r>
      <w:r>
        <w:br/>
      </w:r>
      <w:r>
        <w:rPr>
          <w:rStyle w:val="VerbatimChar"/>
        </w:rPr>
        <w:t xml:space="preserve">@startuml</w:t>
      </w:r>
      <w:r>
        <w:br/>
      </w:r>
      <w:r>
        <w:rPr>
          <w:rStyle w:val="VerbatimChar"/>
        </w:rPr>
        <w:t xml:space="preserve">Foo --&gt; Bar : see [SEC-2](@)</w:t>
      </w:r>
      <w:r>
        <w:br/>
      </w:r>
      <w:r>
        <w:rPr>
          <w:rStyle w:val="VerbatimChar"/>
        </w:rPr>
        <w:t xml:space="preserve">note right of Bar : [fig:overview](#) and [SRS-001](@)</w:t>
      </w:r>
      <w:r>
        <w:br/>
      </w:r>
      <w:r>
        <w:rPr>
          <w:rStyle w:val="VerbatimChar"/>
        </w:rPr>
        <w:t xml:space="preserve">@enduml</w:t>
      </w:r>
      <w:r>
        <w:br/>
      </w:r>
      <w:r>
        <w:rPr>
          <w:rStyle w:val="VerbatimChar"/>
        </w:rPr>
        <w:t xml:space="preserve">```</w:t>
      </w:r>
    </w:p>
    <w:p>
      <w:pPr>
        <w:pStyle w:val="FirstParagraph"/>
      </w:pPr>
      <w:r>
        <w:t xml:space="preserve">A diagram link forms the same 4-tuple as a body link:</w:t>
      </w:r>
    </w:p>
    <w:p>
      <w:pPr>
        <w:numPr>
          <w:ilvl w:val="0"/>
          <w:numId w:val="1015"/>
        </w:numPr>
        <w:pStyle w:val="Compact"/>
      </w:pPr>
      <m:oMath>
        <m:r>
          <m:t>s</m:t>
        </m:r>
      </m:oMath>
      <w:r>
        <w:t xml:space="preserve"> </w:t>
      </w:r>
      <w:r>
        <w:t xml:space="preserve">is the spec object that encloses the float (the float’s parent object). A float outside any spec object contributes no relations.</w:t>
      </w:r>
    </w:p>
    <w:p>
      <w:pPr>
        <w:numPr>
          <w:ilvl w:val="0"/>
          <w:numId w:val="1015"/>
        </w:numPr>
        <w:pStyle w:val="Compact"/>
      </w:pPr>
      <m:oMath>
        <m:r>
          <m:t>α</m:t>
        </m:r>
        <m:r>
          <m:rPr>
            <m:sty m:val="p"/>
          </m:rPr>
          <m:t>=</m:t>
        </m:r>
        <m:r>
          <m:rPr>
            <m:sty m:val="p"/>
          </m:rPr>
          <m:t>⊥</m:t>
        </m:r>
      </m:oMath>
      <w:r>
        <w:t xml:space="preserve">, because the link is not inside an attribute.</w:t>
      </w:r>
    </w:p>
    <w:p>
      <w:pPr>
        <w:numPr>
          <w:ilvl w:val="0"/>
          <w:numId w:val="1015"/>
        </w:numPr>
        <w:pStyle w:val="Compact"/>
      </w:pPr>
      <m:oMath>
        <m:r>
          <m:t>σ</m:t>
        </m:r>
      </m:oMath>
      <w:r>
        <w:t xml:space="preserve"> </w:t>
      </w:r>
      <w:r>
        <w:t xml:space="preserve">and the target are read from the link exactly as in body text.</w:t>
      </w:r>
    </w:p>
    <w:p>
      <w:pPr>
        <w:pStyle w:val="FirstParagraph"/>
      </w:pPr>
      <w:r>
        <w:t xml:space="preserve">Resolution, type inference, display text, and diagnostics are therefore identical to body links. An unresolved</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link is reported at its line in the source file. The processor rewrites each resolved link into the diagram tool’s hyperlink syntax before rendering, so the diagram shows the resolved display text (for example</w:t>
      </w:r>
      <w:r>
        <w:t xml:space="preserve"> </w:t>
      </w:r>
      <w:r>
        <w:t xml:space="preserve">“</w:t>
      </w:r>
      <w:r>
        <w:t xml:space="preserve">Figure 2</w:t>
      </w:r>
      <w:r>
        <w:t xml:space="preserve">”</w:t>
      </w:r>
      <w:r>
        <w:t xml:space="preserve">). In HTML output the link navigates to its target. Where the diagram tool has no hyperlink syntax at a position, the link is not clickable.</w:t>
      </w:r>
    </w:p>
    <w:p>
      <w:pPr>
        <w:pStyle w:val="BodyText"/>
      </w:pPr>
      <w:r>
        <w:t xml:space="preserve">Citations (</w:t>
      </w:r>
      <w:r>
        <w:rPr>
          <w:rStyle w:val="VerbatimChar"/>
        </w:rPr>
        <w:t xml:space="preserve">@cite</w:t>
      </w:r>
      <w:r>
        <w:t xml:space="preserve">,</w:t>
      </w:r>
      <w:r>
        <w:t xml:space="preserve"> </w:t>
      </w:r>
      <w:r>
        <w:rPr>
          <w:rStyle w:val="VerbatimChar"/>
        </w:rPr>
        <w:t xml:space="preserve">@citep</w:t>
      </w:r>
      <w:r>
        <w:t xml:space="preserve">) inside diagram source are registered but not rendered as citations. Their text stays verbatim in the diagram.</w:t>
      </w:r>
    </w:p>
    <w:p>
      <w:pPr>
        <w:pStyle w:val="BodyText"/>
      </w:pPr>
      <w:r>
        <w:t xml:space="preserve">Two further rules separate links from diagram text. A link preceded by</w:t>
      </w:r>
      <w:r>
        <w:t xml:space="preserve"> </w:t>
      </w:r>
      <w:r>
        <w:rPr>
          <w:rStyle w:val="VerbatimChar"/>
        </w:rPr>
        <w:t xml:space="preserve">~</w:t>
      </w:r>
      <w:r>
        <w:t xml:space="preserve">, the diagram tool’s escape character, is literal text and forms no relation. A float type may also declare a</w:t>
      </w:r>
      <w:r>
        <w:t xml:space="preserve"> </w:t>
      </w:r>
      <w:r>
        <w:rPr>
          <w:rStyle w:val="VerbatimChar"/>
        </w:rPr>
        <w:t xml:space="preserve">mask_comments</w:t>
      </w:r>
      <w:r>
        <w:t xml:space="preserve"> </w:t>
      </w:r>
      <w:r>
        <w:t xml:space="preserve">hook; links inside the comments it blanks out (for PLANTUML,</w:t>
      </w:r>
      <w:r>
        <w:t xml:space="preserve"> </w:t>
      </w:r>
      <w:r>
        <w:rPr>
          <w:rStyle w:val="VerbatimChar"/>
        </w:rPr>
        <w:t xml:space="preserve">' ...</w:t>
      </w:r>
      <w:r>
        <w:t xml:space="preserve"> </w:t>
      </w:r>
      <w:r>
        <w:t xml:space="preserve">and</w:t>
      </w:r>
      <w:r>
        <w:t xml:space="preserve"> </w:t>
      </w:r>
      <w:r>
        <w:rPr>
          <w:rStyle w:val="VerbatimChar"/>
        </w:rPr>
        <w:t xml:space="preserve">/' ... '/</w:t>
      </w:r>
      <w:r>
        <w:t xml:space="preserve">) form no relation, just as links inside HTML comments in body text form none.</w:t>
      </w:r>
    </w:p>
    <w:bookmarkEnd w:id="68"/>
    <w:bookmarkStart w:id="69" w:name="SPEC-sec3.6.6"/>
    <w:p>
      <w:pPr>
        <w:pStyle w:val="Heading3"/>
        <w:numPr>
          <w:ilvl w:val="2"/>
          <w:numId w:val="100"/>
        </w:numPr>
      </w:pPr>
      <w:r>
        <w:t xml:space="preserve">Examples</w:t>
      </w:r>
    </w:p>
    <w:p>
      <w:pPr>
        <w:pStyle w:val="FirstParagraph"/>
      </w:pPr>
      <w:r>
        <w:t xml:space="preserve">PID references in an attribute:</w:t>
      </w:r>
    </w:p>
    <w:p>
      <w:pPr>
        <w:pStyle w:val="SourceCode"/>
      </w:pPr>
      <w:r>
        <w:rPr>
          <w:rStyle w:val="VerbatimChar"/>
        </w:rPr>
        <w:t xml:space="preserve">&gt; traceability: [HLR-001](@) [HLR-002](@)</w:t>
      </w:r>
    </w:p>
    <w:p>
      <w:pPr>
        <w:pStyle w:val="FirstParagraph"/>
      </w:pPr>
      <w:r>
        <w:t xml:space="preserve">Float reference in body text:</w:t>
      </w:r>
    </w:p>
    <w:p>
      <w:pPr>
        <w:pStyle w:val="SourceCode"/>
      </w:pPr>
      <w:r>
        <w:rPr>
          <w:rStyle w:val="VerbatimChar"/>
        </w:rPr>
        <w:t xml:space="preserve">The architecture is shown in [fig:architecture](#).</w:t>
      </w:r>
    </w:p>
    <w:p>
      <w:pPr>
        <w:pStyle w:val="FirstParagraph"/>
      </w:pPr>
      <w:r>
        <w:t xml:space="preserve">Cross-document reference:</w:t>
      </w:r>
    </w:p>
    <w:p>
      <w:pPr>
        <w:pStyle w:val="SourceCode"/>
      </w:pPr>
      <w:r>
        <w:rPr>
          <w:rStyle w:val="VerbatimChar"/>
        </w:rPr>
        <w:t xml:space="preserve">See [SRS-001](@) for the parent specification.</w:t>
      </w:r>
    </w:p>
    <w:bookmarkEnd w:id="69"/>
    <w:bookmarkEnd w:id="70"/>
    <w:bookmarkStart w:id="78" w:name="SPEC-sec3.7"/>
    <w:p>
      <w:pPr>
        <w:pStyle w:val="Heading2"/>
        <w:numPr>
          <w:ilvl w:val="1"/>
          <w:numId w:val="100"/>
        </w:numPr>
      </w:pPr>
      <w:r>
        <w:t xml:space="preserve">Spec View</w:t>
      </w:r>
    </w:p>
    <w:p>
      <w:pPr>
        <w:pStyle w:val="FirstParagraph"/>
      </w:pPr>
      <w:r>
        <w:t xml:space="preserve">A</w:t>
      </w:r>
      <w:r>
        <w:t xml:space="preserve"> </w:t>
      </w:r>
      <w:r>
        <w:rPr>
          <w:bCs/>
          <w:b/>
        </w:rPr>
        <w:t xml:space="preserve">Spec View</w:t>
      </w:r>
      <w:r>
        <w:t xml:space="preserve"> </w:t>
      </w:r>
      <w:r>
        <w:t xml:space="preserve">is a dynamic query or generated content block. Views are materialized at processing time and produce content such as tables of contents, lists of figures, abbreviation expansions, and inline math.</w:t>
      </w:r>
    </w:p>
    <w:bookmarkStart w:id="71" w:name="SPEC-sec3.7.1"/>
    <w:p>
      <w:pPr>
        <w:pStyle w:val="Heading3"/>
        <w:numPr>
          <w:ilvl w:val="2"/>
          <w:numId w:val="100"/>
        </w:numPr>
      </w:pPr>
      <w:r>
        <w:t xml:space="preserve">Formal Definition</w:t>
      </w:r>
    </w:p>
    <w:p>
      <w:pPr>
        <w:pStyle w:val="FirstParagraph"/>
      </w:pPr>
      <w:r>
        <w:t xml:space="preserve">A Spec View is a pair</w:t>
      </w:r>
      <w:r>
        <w:t xml:space="preserve"> </w:t>
      </w:r>
      <m:oMath>
        <m:r>
          <m:t>V</m:t>
        </m:r>
        <m:r>
          <m:rPr>
            <m:sty m:val="p"/>
          </m:rPr>
          <m:t>=</m:t>
        </m:r>
        <m:d>
          <m:dPr>
            <m:begChr m:val="("/>
            <m:endChr m:val=")"/>
            <m:sepChr m:val=""/>
            <m:grow/>
          </m:dPr>
          <m:e>
            <m:r>
              <m:t>τ</m:t>
            </m:r>
            <m:r>
              <m:rPr>
                <m:sty m:val="p"/>
              </m:rPr>
              <m:t>,</m:t>
            </m:r>
            <m:r>
              <m:t>ω</m:t>
            </m:r>
          </m:e>
        </m:d>
      </m:oMath>
      <w:r>
        <w:t xml:space="preserve"> </w:t>
      </w:r>
      <w:r>
        <w:t xml:space="preserve">where:</w:t>
      </w:r>
    </w:p>
    <w:p>
      <w:pPr>
        <w:numPr>
          <w:ilvl w:val="0"/>
          <w:numId w:val="1016"/>
        </w:numPr>
        <w:pStyle w:val="Compact"/>
      </w:pPr>
      <m:oMath>
        <m:r>
          <m:t>τ</m:t>
        </m:r>
        <m:r>
          <m:rPr>
            <m:sty m:val="p"/>
          </m:rPr>
          <m:t>∈</m:t>
        </m:r>
        <m:r>
          <m:t>Γ</m:t>
        </m:r>
        <m:r>
          <m:rPr>
            <m:sty m:val="p"/>
          </m:rPr>
          <m:t>.</m:t>
        </m:r>
        <m:sSub>
          <m:e>
            <m:r>
              <m:rPr>
                <m:sty m:val="p"/>
              </m:rPr>
              <m:t>⊤</m:t>
            </m:r>
          </m:e>
          <m:sub>
            <m:r>
              <m:t>V</m:t>
            </m:r>
          </m:sub>
        </m:sSub>
      </m:oMath>
      <w:r>
        <w:t xml:space="preserve"> </w:t>
      </w:r>
      <w:r>
        <w:t xml:space="preserve">is the view type (e.g. TOC, LOF, TRACEABILITY_MATRIX, ABBREV, MATH_INLINE).</w:t>
      </w:r>
    </w:p>
    <w:p>
      <w:pPr>
        <w:numPr>
          <w:ilvl w:val="0"/>
          <w:numId w:val="1016"/>
        </w:numPr>
        <w:pStyle w:val="Compact"/>
      </w:pPr>
      <m:oMath>
        <m:r>
          <m:t>ω</m:t>
        </m:r>
        <m:r>
          <m:rPr>
            <m:sty m:val="p"/>
          </m:rPr>
          <m:t>∈</m:t>
        </m:r>
        <m:r>
          <m:rPr>
            <m:nor/>
            <m:sty m:val="p"/>
          </m:rPr>
          <m:t>String</m:t>
        </m:r>
      </m:oMath>
      <w:r>
        <w:t xml:space="preserve"> </w:t>
      </w:r>
      <w:r>
        <w:t xml:space="preserve">is the raw parameter string.</w:t>
      </w:r>
    </w:p>
    <w:bookmarkEnd w:id="71"/>
    <w:bookmarkStart w:id="75" w:name="SPEC-sec3.7.2"/>
    <w:p>
      <w:pPr>
        <w:pStyle w:val="Heading3"/>
        <w:numPr>
          <w:ilvl w:val="2"/>
          <w:numId w:val="100"/>
        </w:numPr>
      </w:pPr>
      <w:r>
        <w:t xml:space="preserve">Grammar</w:t>
      </w:r>
    </w:p>
    <w:p>
      <w:pPr>
        <w:spacing w:lineRule="exact" w:after="0" w:before="0" w:line="20"/>
        <w:rPr>
          <w:sz w:val="2"/>
        </w:rPr>
      </w:pPr>
      <w:bookmarkStart w:id="24745" w:name="puml-grammar-spec-view"/>
      <w:bookmarkEnd w:id="24745"/>
    </w:p>
    <w:p>
      <w:pPr>
        <w:pStyle w:val="Caption"/>
        <w:keepNext/>
      </w:pPr>
      <w:r>
        <w:t xml:space="preserve">Figure </w:t>
      </w:r>
      <w:r>
        <w:fldChar w:fldCharType="begin"/>
      </w:r>
      <w:r>
        <w:instrText xml:space="preserve"> SEQ FIGURE \* ARABIC </w:instrText>
      </w:r>
      <w:r>
        <w:fldChar w:fldCharType="separate"/>
      </w:r>
      <w:r>
        <w:t>6</w:t>
      </w:r>
      <w:r>
        <w:fldChar w:fldCharType="end"/>
      </w:r>
      <w:r>
        <w:t xml:space="preserve"> – Spec View production</w:t>
      </w:r>
    </w:p>
    <w:p>
      <w:pPr>
        <w:pStyle w:val="FirstParagraph"/>
        <w:jc w:val="center"/>
      </w:pPr>
      <w:r>
        <w:drawing>
          <wp:inline>
            <wp:extent cx="5232400" cy="1397000"/>
            <wp:effectExtent b="0" l="0" r="0" t="0"/>
            <wp:docPr descr="" title="" id="73" name="Picture"/>
            <a:graphic>
              <a:graphicData uri="http://schemas.openxmlformats.org/drawingml/2006/picture">
                <pic:pic>
                  <pic:nvPicPr>
                    <pic:cNvPr descr="diagrams/66854711fd100da85b86d601327ac920c398ea0e.png" id="74" name="Picture"/>
                    <pic:cNvPicPr>
                      <a:picLocks noChangeArrowheads="1" noChangeAspect="1"/>
                    </pic:cNvPicPr>
                  </pic:nvPicPr>
                  <pic:blipFill>
                    <a:blip r:embed="rId72"/>
                    <a:stretch>
                      <a:fillRect/>
                    </a:stretch>
                  </pic:blipFill>
                  <pic:spPr bwMode="auto">
                    <a:xfrm>
                      <a:off x="0" y="0"/>
                      <a:ext cx="5232400" cy="1397000"/>
                    </a:xfrm>
                    <a:prstGeom prst="rect">
                      <a:avLst/>
                    </a:prstGeom>
                    <a:noFill/>
                    <a:ln w="9525">
                      <a:noFill/>
                      <a:headEnd/>
                      <a:tailEnd/>
                    </a:ln>
                  </pic:spPr>
                </pic:pic>
              </a:graphicData>
            </a:graphic>
          </wp:inline>
        </w:drawing>
      </w:r>
    </w:p>
    <w:bookmarkEnd w:id="75"/>
    <w:bookmarkStart w:id="76" w:name="SPEC-sec3.7.3"/>
    <w:p>
      <w:pPr>
        <w:pStyle w:val="Heading3"/>
        <w:numPr>
          <w:ilvl w:val="2"/>
          <w:numId w:val="100"/>
        </w:numPr>
      </w:pPr>
      <w:r>
        <w:t xml:space="preserve">View Types</w:t>
      </w:r>
    </w:p>
    <w:p>
      <w:pPr>
        <w:pStyle w:val="FirstParagraph"/>
      </w:pPr>
      <w:r>
        <w:t xml:space="preserve">Views are defined by the model. Common view types include:</w:t>
      </w:r>
    </w:p>
    <w:p>
      <w:pPr>
        <w:numPr>
          <w:ilvl w:val="0"/>
          <w:numId w:val="1017"/>
        </w:numPr>
        <w:pStyle w:val="Compact"/>
      </w:pPr>
      <w:r>
        <w:rPr>
          <w:bCs/>
          <w:b/>
        </w:rPr>
        <w:t xml:space="preserve">TOC</w:t>
      </w:r>
      <w:r>
        <w:t xml:space="preserve"> </w:t>
      </w:r>
      <w:r>
        <w:t xml:space="preserve">([TOC]) — table of contents.</w:t>
      </w:r>
    </w:p>
    <w:p>
      <w:pPr>
        <w:numPr>
          <w:ilvl w:val="0"/>
          <w:numId w:val="1017"/>
        </w:numPr>
        <w:pStyle w:val="Compact"/>
      </w:pPr>
      <w:r>
        <w:rPr>
          <w:bCs/>
          <w:b/>
        </w:rPr>
        <w:t xml:space="preserve">LOF</w:t>
      </w:r>
      <w:r>
        <w:t xml:space="preserve"> </w:t>
      </w:r>
      <w:r>
        <w:t xml:space="preserve">([LOF]) — list of figures.</w:t>
      </w:r>
    </w:p>
    <w:p>
      <w:pPr>
        <w:numPr>
          <w:ilvl w:val="0"/>
          <w:numId w:val="1017"/>
        </w:numPr>
        <w:pStyle w:val="Compact"/>
      </w:pPr>
      <w:r>
        <w:rPr>
          <w:bCs/>
          <w:b/>
        </w:rPr>
        <w:t xml:space="preserve">LOT</w:t>
      </w:r>
      <w:r>
        <w:t xml:space="preserve"> </w:t>
      </w:r>
      <w:r>
        <w:t xml:space="preserve">([LOT]) — list of tables.</w:t>
      </w:r>
    </w:p>
    <w:p>
      <w:pPr>
        <w:numPr>
          <w:ilvl w:val="0"/>
          <w:numId w:val="1017"/>
        </w:numPr>
        <w:pStyle w:val="Compact"/>
      </w:pPr>
      <w:r>
        <w:rPr>
          <w:bCs/>
          <w:b/>
        </w:rPr>
        <w:t xml:space="preserve">ABBREV</w:t>
      </w:r>
      <w:r>
        <w:t xml:space="preserve"> </w:t>
      </w:r>
      <w:r>
        <w:t xml:space="preserve">(</w:t>
      </w:r>
      <w:r>
        <w:rPr>
          <w:rStyle w:val="VerbatimChar"/>
        </w:rPr>
        <w:t xml:space="preserve">abbrev:</w:t>
      </w:r>
      <w:r>
        <w:t xml:space="preserve">) — abbreviation expansion (e.g., Project Identifier (PID)).</w:t>
      </w:r>
    </w:p>
    <w:p>
      <w:pPr>
        <w:numPr>
          <w:ilvl w:val="0"/>
          <w:numId w:val="1017"/>
        </w:numPr>
        <w:pStyle w:val="Compact"/>
      </w:pPr>
      <w:r>
        <w:rPr>
          <w:bCs/>
          <w:b/>
        </w:rPr>
        <w:t xml:space="preserve">MATH_INLINE</w:t>
      </w:r>
      <w:r>
        <w:t xml:space="preserve"> </w:t>
      </w:r>
      <w:r>
        <w:t xml:space="preserve">(</w:t>
      </w:r>
      <w:r>
        <w:rPr>
          <w:rStyle w:val="VerbatimChar"/>
        </w:rPr>
        <w:t xml:space="preserve">math_inline:</w:t>
      </w:r>
      <w:r>
        <w:t xml:space="preserve">) — inline math expression.</w:t>
      </w:r>
    </w:p>
    <w:p>
      <w:pPr>
        <w:numPr>
          <w:ilvl w:val="0"/>
          <w:numId w:val="1017"/>
        </w:numPr>
        <w:pStyle w:val="Compact"/>
      </w:pPr>
      <w:r>
        <w:rPr>
          <w:bCs/>
          <w:b/>
        </w:rPr>
        <w:t xml:space="preserve">TRACEABILITY_MATRIX</w:t>
      </w:r>
      <w:r>
        <w:t xml:space="preserve"> </w:t>
      </w:r>
      <w:r>
        <w:t xml:space="preserve">— coverage matrix showing which objects trace to which.</w:t>
      </w:r>
    </w:p>
    <w:p>
      <w:pPr>
        <w:numPr>
          <w:ilvl w:val="0"/>
          <w:numId w:val="1017"/>
        </w:numPr>
        <w:pStyle w:val="Compact"/>
      </w:pPr>
      <w:r>
        <w:rPr>
          <w:bCs/>
          <w:b/>
        </w:rPr>
        <w:t xml:space="preserve">REQUIREMENTS_SUMMARY</w:t>
      </w:r>
      <w:r>
        <w:t xml:space="preserve"> </w:t>
      </w:r>
      <w:r>
        <w:t xml:space="preserve">— summary report of requirements by type and status.</w:t>
      </w:r>
    </w:p>
    <w:bookmarkEnd w:id="76"/>
    <w:bookmarkStart w:id="77" w:name="SPEC-sec3.7.4"/>
    <w:p>
      <w:pPr>
        <w:pStyle w:val="Heading3"/>
        <w:numPr>
          <w:ilvl w:val="2"/>
          <w:numId w:val="100"/>
        </w:numPr>
      </w:pPr>
      <w:r>
        <w:t xml:space="preserve">Examples</w:t>
      </w:r>
    </w:p>
    <w:p>
      <w:pPr>
        <w:pStyle w:val="FirstParagraph"/>
      </w:pPr>
      <w:r>
        <w:t xml:space="preserve">Inline views:</w:t>
      </w:r>
    </w:p>
    <w:p>
      <w:pPr>
        <w:pStyle w:val="SourceCode"/>
      </w:pPr>
      <w:r>
        <w:rPr>
          <w:rStyle w:val="VerbatimChar"/>
        </w:rPr>
        <w:t xml:space="preserve">`toc:`</w:t>
      </w:r>
      <w:r>
        <w:br/>
      </w:r>
      <w:r>
        <w:rPr>
          <w:rStyle w:val="VerbatimChar"/>
        </w:rPr>
        <w:t xml:space="preserve">`lof:`</w:t>
      </w:r>
      <w:r>
        <w:br/>
      </w:r>
      <w:r>
        <w:rPr>
          <w:rStyle w:val="VerbatimChar"/>
        </w:rPr>
        <w:t xml:space="preserve">`abbrev: HLR`</w:t>
      </w:r>
      <w:r>
        <w:br/>
      </w:r>
      <w:r>
        <w:rPr>
          <w:rStyle w:val="VerbatimChar"/>
        </w:rPr>
        <w:t xml:space="preserve">`math_inline: x = \frac{-b}{2a}`</w:t>
      </w:r>
    </w:p>
    <w:bookmarkEnd w:id="77"/>
    <w:bookmarkEnd w:id="78"/>
    <w:bookmarkStart w:id="79" w:name="SPEC-sec3.8"/>
    <w:p>
      <w:pPr>
        <w:pStyle w:val="Heading2"/>
        <w:numPr>
          <w:ilvl w:val="1"/>
          <w:numId w:val="100"/>
        </w:numPr>
      </w:pPr>
      <w:r>
        <w:t xml:space="preserve">Disambiguation Rules</w:t>
      </w:r>
    </w:p>
    <w:p>
      <w:pPr>
        <w:pStyle w:val="FirstParagraph"/>
      </w:pPr>
      <w:r>
        <w:t xml:space="preserve">CommonSpec reuses standard Markdown syntax. The following rules determine when a Markdown element is interpreted as a CommonSpec construct versus plain Markdown:</w:t>
      </w:r>
    </w:p>
    <w:p>
      <w:pPr>
        <w:pStyle w:val="BodyText"/>
      </w:pPr>
      <w:r>
        <w:rPr>
          <w:bCs/>
          <w:b/>
        </w:rPr>
        <w:t xml:space="preserve">Blockquote as Attribute vs. plain blockquote.</w:t>
      </w:r>
      <w:r>
        <w:t xml:space="preserve"> </w:t>
      </w:r>
      <w:r>
        <w:t xml:space="preserve">A blockquote (</w:t>
      </w:r>
      <w:r>
        <w:rPr>
          <w:rStyle w:val="VerbatimChar"/>
        </w:rPr>
        <w:t xml:space="preserve">&gt; ...</w:t>
      </w:r>
      <w:r>
        <w:t xml:space="preserve">) is recognized as an attribute if and only if:</w:t>
      </w:r>
    </w:p>
    <w:p>
      <w:pPr>
        <w:numPr>
          <w:ilvl w:val="0"/>
          <w:numId w:val="1018"/>
        </w:numPr>
        <w:pStyle w:val="Compact"/>
      </w:pPr>
      <w:r>
        <w:t xml:space="preserve">Its first line matches the pattern</w:t>
      </w:r>
      <w:r>
        <w:t xml:space="preserve"> </w:t>
      </w:r>
      <w:r>
        <w:rPr>
          <w:rStyle w:val="VerbatimChar"/>
        </w:rPr>
        <w:t xml:space="preserve">AttrName ":" ...</w:t>
      </w:r>
      <w:r>
        <w:t xml:space="preserve">, where AttrName is a declared attribute name for the enclosing object’s type (own or inherited through the type’s</w:t>
      </w:r>
      <w:r>
        <w:t xml:space="preserve"> </w:t>
      </w:r>
      <w:r>
        <w:rPr>
          <w:rStyle w:val="VerbatimChar"/>
        </w:rPr>
        <w:t xml:space="preserve">extends</w:t>
      </w:r>
      <w:r>
        <w:t xml:space="preserve"> </w:t>
      </w:r>
      <w:r>
        <w:t xml:space="preserve">chain; matching is case-insensitive).</w:t>
      </w:r>
    </w:p>
    <w:p>
      <w:pPr>
        <w:numPr>
          <w:ilvl w:val="0"/>
          <w:numId w:val="1018"/>
        </w:numPr>
        <w:pStyle w:val="Compact"/>
      </w:pPr>
      <w:r>
        <w:t xml:space="preserve">It belongs to the most recently opened Specification or Spec Object header (it need not appear immediately after it). Each attribute is a separate Markdown blockquote, so distinct attributes must be separated by a blank line; every later line or paragraph within the same blockquote — including lines that themselves look like</w:t>
      </w:r>
      <w:r>
        <w:t xml:space="preserve"> </w:t>
      </w:r>
      <w:r>
        <w:rPr>
          <w:rStyle w:val="VerbatimChar"/>
        </w:rPr>
        <w:t xml:space="preserve">key: value</w:t>
      </w:r>
      <w:r>
        <w:t xml:space="preserve"> </w:t>
      </w:r>
      <w:r>
        <w:t xml:space="preserve">— continues the first attribute’s value.</w:t>
      </w:r>
    </w:p>
    <w:p>
      <w:pPr>
        <w:pStyle w:val="FirstParagraph"/>
      </w:pPr>
      <w:r>
        <w:t xml:space="preserve">If the first condition fails, the blockquote is treated as plain body content. For example,</w:t>
      </w:r>
      <w:r>
        <w:t xml:space="preserve"> </w:t>
      </w:r>
      <w:r>
        <w:rPr>
          <w:rStyle w:val="VerbatimChar"/>
        </w:rPr>
        <w:t xml:space="preserve">&gt; Note: this is important</w:t>
      </w:r>
      <w:r>
        <w:t xml:space="preserve"> </w:t>
      </w:r>
      <w:r>
        <w:t xml:space="preserve">is a plain blockquote unless the model declares an attribute named</w:t>
      </w:r>
      <w:r>
        <w:t xml:space="preserve"> </w:t>
      </w:r>
      <w:r>
        <w:t xml:space="preserve">“</w:t>
      </w:r>
      <w:r>
        <w:t xml:space="preserve">Note</w:t>
      </w:r>
      <w:r>
        <w:t xml:space="preserve">”</w:t>
      </w:r>
      <w:r>
        <w:t xml:space="preserve"> </w:t>
      </w:r>
      <w:r>
        <w:t xml:space="preserve">for the enclosing object type; the compiler emits an</w:t>
      </w:r>
      <w:r>
        <w:t xml:space="preserve"> </w:t>
      </w:r>
      <w:r>
        <w:rPr>
          <w:rStyle w:val="VerbatimChar"/>
        </w:rPr>
        <w:t xml:space="preserve">unknown_attribute</w:t>
      </w:r>
      <w:r>
        <w:t xml:space="preserve"> </w:t>
      </w:r>
      <w:r>
        <w:t xml:space="preserve">warning so mistyped attribute names are visible.</w:t>
      </w:r>
    </w:p>
    <w:p>
      <w:pPr>
        <w:pStyle w:val="BodyText"/>
      </w:pPr>
      <w:r>
        <w:rPr>
          <w:iCs/>
          <w:i/>
        </w:rPr>
        <w:t xml:space="preserve">Specification-level exception.</w:t>
      </w:r>
      <w:r>
        <w:t xml:space="preserve"> </w:t>
      </w:r>
      <w:r>
        <w:t xml:space="preserve">Blockquotes belonging to the H1 header (document metadata such as</w:t>
      </w:r>
      <w:r>
        <w:t xml:space="preserve"> </w:t>
      </w:r>
      <w:r>
        <w:rPr>
          <w:rStyle w:val="VerbatimChar"/>
        </w:rPr>
        <w:t xml:space="preserve">title</w:t>
      </w:r>
      <w:r>
        <w:t xml:space="preserve">,</w:t>
      </w:r>
      <w:r>
        <w:t xml:space="preserve"> </w:t>
      </w:r>
      <w:r>
        <w:rPr>
          <w:rStyle w:val="VerbatimChar"/>
        </w:rPr>
        <w:t xml:space="preserve">author</w:t>
      </w:r>
      <w:r>
        <w:t xml:space="preserve">,</w:t>
      </w:r>
      <w:r>
        <w:t xml:space="preserve"> </w:t>
      </w:r>
      <w:r>
        <w:rPr>
          <w:rStyle w:val="VerbatimChar"/>
        </w:rPr>
        <w:t xml:space="preserve">version</w:t>
      </w:r>
      <w:r>
        <w:t xml:space="preserve">) are permissive: any</w:t>
      </w:r>
      <w:r>
        <w:t xml:space="preserve"> </w:t>
      </w:r>
      <w:r>
        <w:rPr>
          <w:rStyle w:val="VerbatimChar"/>
        </w:rPr>
        <w:t xml:space="preserve">key: value</w:t>
      </w:r>
      <w:r>
        <w:t xml:space="preserve"> </w:t>
      </w:r>
      <w:r>
        <w:t xml:space="preserve">blockquote is stored as specification metadata, with an</w:t>
      </w:r>
      <w:r>
        <w:t xml:space="preserve"> </w:t>
      </w:r>
      <w:r>
        <w:rPr>
          <w:rStyle w:val="VerbatimChar"/>
        </w:rPr>
        <w:t xml:space="preserve">unknown_spec_attribute</w:t>
      </w:r>
      <w:r>
        <w:t xml:space="preserve"> </w:t>
      </w:r>
      <w:r>
        <w:t xml:space="preserve">warning when the key is not declared for the specification’s type.</w:t>
      </w:r>
    </w:p>
    <w:p>
      <w:pPr>
        <w:pStyle w:val="BodyText"/>
      </w:pPr>
      <w:r>
        <w:rPr>
          <w:bCs/>
          <w:b/>
        </w:rPr>
        <w:t xml:space="preserve">Fenced code block as Float vs. plain code block.</w:t>
      </w:r>
      <w:r>
        <w:t xml:space="preserve"> </w:t>
      </w:r>
      <w:r>
        <w:t xml:space="preserve">A fenced code block is recognized as a spec float if and only if its info string matches the pattern</w:t>
      </w:r>
      <w:r>
        <w:t xml:space="preserve"> </w:t>
      </w:r>
      <w:r>
        <w:rPr>
          <w:rStyle w:val="VerbatimChar"/>
        </w:rPr>
        <w:t xml:space="preserve">TypeRef ":" Label</w:t>
      </w:r>
      <w:r>
        <w:t xml:space="preserve">, where TypeRef (or one of its aliases) is a declared float type. A code block with an info string like</w:t>
      </w:r>
      <w:r>
        <w:t xml:space="preserve"> </w:t>
      </w:r>
      <w:r>
        <w:rPr>
          <w:rStyle w:val="VerbatimChar"/>
        </w:rPr>
        <w:t xml:space="preserve">```python</w:t>
      </w:r>
      <w:r>
        <w:t xml:space="preserve"> </w:t>
      </w:r>
      <w:r>
        <w:t xml:space="preserve">(no colon and label) is treated as a plain code block.</w:t>
      </w:r>
    </w:p>
    <w:p>
      <w:pPr>
        <w:pStyle w:val="BodyText"/>
      </w:pPr>
      <w:r>
        <w:rPr>
          <w:bCs/>
          <w:b/>
        </w:rPr>
        <w:t xml:space="preserve">Inline code as View vs. plain inline code.</w:t>
      </w:r>
      <w:r>
        <w:t xml:space="preserve"> </w:t>
      </w:r>
      <w:r>
        <w:t xml:space="preserve">An inline code span is recognized as a spec view if and only if its content matches the pattern</w:t>
      </w:r>
      <w:r>
        <w:t xml:space="preserve"> </w:t>
      </w:r>
      <w:r>
        <w:rPr>
          <w:rStyle w:val="VerbatimChar"/>
        </w:rPr>
        <w:t xml:space="preserve">TypeRef ":"</w:t>
      </w:r>
      <w:r>
        <w:t xml:space="preserve">, where TypeRef is a declared view type. For example,</w:t>
      </w:r>
      <w:r>
        <w:t xml:space="preserve"> </w:t>
      </w:r>
      <w:r>
        <w:rPr>
          <w:rStyle w:val="VerbatimChar"/>
        </w:rPr>
        <w:t xml:space="preserve">`toc:`</w:t>
      </w:r>
      <w:r>
        <w:t xml:space="preserve"> </w:t>
      </w:r>
      <w:r>
        <w:t xml:space="preserve">is a view, but</w:t>
      </w:r>
      <w:r>
        <w:t xml:space="preserve"> </w:t>
      </w:r>
      <w:r>
        <w:rPr>
          <w:rStyle w:val="VerbatimChar"/>
        </w:rPr>
        <w:t xml:space="preserve">`x = 5`</w:t>
      </w:r>
      <w:r>
        <w:t xml:space="preserve"> </w:t>
      </w:r>
      <w:r>
        <w:t xml:space="preserve">is plain inline code.</w:t>
      </w:r>
    </w:p>
    <w:p>
      <w:pPr>
        <w:pStyle w:val="BodyText"/>
      </w:pPr>
      <w:r>
        <w:rPr>
          <w:bCs/>
          <w:b/>
        </w:rPr>
        <w:t xml:space="preserve">Link as Spec Relation vs. plain link.</w:t>
      </w:r>
      <w:r>
        <w:t xml:space="preserve"> </w:t>
      </w:r>
      <w:r>
        <w:t xml:space="preserve">A Markdown link</w:t>
      </w:r>
      <w:r>
        <w:t xml:space="preserve"> </w:t>
      </w:r>
      <w:r>
        <w:rPr>
          <w:rStyle w:val="VerbatimChar"/>
        </w:rPr>
        <w:t xml:space="preserve">[text](url)</w:t>
      </w:r>
      <w:r>
        <w:t xml:space="preserve"> </w:t>
      </w:r>
      <w:r>
        <w:t xml:space="preserve">is recognized as a spec relation if and only if the URL starts with</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and matches a declared selector. Links with other URL schemes (e.g.,</w:t>
      </w:r>
      <w:r>
        <w:t xml:space="preserve"> </w:t>
      </w:r>
      <w:r>
        <w:rPr>
          <w:rStyle w:val="VerbatimChar"/>
        </w:rPr>
        <w:t xml:space="preserve">https://</w:t>
      </w:r>
      <w:r>
        <w:t xml:space="preserve">,</w:t>
      </w:r>
      <w:r>
        <w:t xml:space="preserve"> </w:t>
      </w:r>
      <w:r>
        <w:rPr>
          <w:rStyle w:val="VerbatimChar"/>
        </w:rPr>
        <w:t xml:space="preserve">./</w:t>
      </w:r>
      <w:r>
        <w:t xml:space="preserve">) are plain Markdown links.</w:t>
      </w:r>
    </w:p>
    <w:p>
      <w:pPr>
        <w:pStyle w:val="BodyText"/>
      </w:pPr>
      <w:r>
        <w:rPr>
          <w:bCs/>
          <w:b/>
        </w:rPr>
        <w:t xml:space="preserve">Link inside diagram source vs. diagram syntax.</w:t>
      </w:r>
      <w:r>
        <w:t xml:space="preserve"> </w:t>
      </w:r>
      <w:r>
        <w:t xml:space="preserve">Diagram float content is plain text, not Markdown, so links are found by a text scan. A sequence</w:t>
      </w:r>
      <w:r>
        <w:t xml:space="preserve"> </w:t>
      </w:r>
      <w:r>
        <w:rPr>
          <w:rStyle w:val="VerbatimChar"/>
        </w:rPr>
        <w:t xml:space="preserve">[text](selector)</w:t>
      </w:r>
      <w:r>
        <w:t xml:space="preserve"> </w:t>
      </w:r>
      <w:r>
        <w:t xml:space="preserve">is recognized as a spec relation if and only if the float type declares</w:t>
      </w:r>
      <w:r>
        <w:t xml:space="preserve"> </w:t>
      </w:r>
      <w:r>
        <w:rPr>
          <w:rStyle w:val="VerbatimChar"/>
        </w:rPr>
        <w:t xml:space="preserve">format_link</w:t>
      </w:r>
      <w:r>
        <w:t xml:space="preserve">, the text is non-empty and contains no</w:t>
      </w:r>
      <w:r>
        <w:t xml:space="preserve"> </w:t>
      </w:r>
      <w:r>
        <w:rPr>
          <w:rStyle w:val="VerbatimChar"/>
        </w:rPr>
        <w:t xml:space="preserve">[</w:t>
      </w:r>
      <w:r>
        <w:t xml:space="preserve">,</w:t>
      </w:r>
      <w:r>
        <w:t xml:space="preserve"> </w:t>
      </w:r>
      <w:r>
        <w:rPr>
          <w:rStyle w:val="VerbatimChar"/>
        </w:rPr>
        <w:t xml:space="preserve">]</w:t>
      </w:r>
      <w:r>
        <w:t xml:space="preserve">, or newline, and the selector starts with</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and contains no whitespace or</w:t>
      </w:r>
      <w:r>
        <w:t xml:space="preserve"> </w:t>
      </w:r>
      <w:r>
        <w:rPr>
          <w:rStyle w:val="VerbatimChar"/>
        </w:rPr>
        <w:t xml:space="preserve">)</w:t>
      </w:r>
      <w:r>
        <w:t xml:space="preserve">. The diagram tool’s own bracket syntax therefore never matches:</w:t>
      </w:r>
    </w:p>
    <w:p>
      <w:pPr>
        <w:spacing w:lineRule="exact" w:after="0" w:before="0" w:line="20"/>
        <w:rPr>
          <w:sz w:val="2"/>
        </w:rPr>
      </w:pPr>
      <w:bookmarkStart w:id="65281" w:name="csv-tbl-diagram-link-scan"/>
      <w:bookmarkEnd w:id="65281"/>
    </w:p>
    <w:p>
      <w:pPr>
        <w:pStyle w:val="Caption"/>
        <w:keepNext/>
      </w:pPr>
      <w:r>
        <w:t xml:space="preserve">Table </w:t>
      </w:r>
      <w:r>
        <w:fldChar w:fldCharType="begin"/>
      </w:r>
      <w:r>
        <w:instrText xml:space="preserve"> SEQ TABLE \* ARABIC </w:instrText>
      </w:r>
      <w:r>
        <w:fldChar w:fldCharType="separate"/>
      </w:r>
      <w:r>
        <w:t>1</w:t>
      </w:r>
      <w:r>
        <w:fldChar w:fldCharType="end"/>
      </w:r>
      <w:r>
        <w:t xml:space="preserve"> :  Diagram source link recognition</w:t>
      </w:r>
    </w:p>
    <w:tbl>
      <w:tblPr>
        <w:tblStyle w:val="Table"/>
        <w:tblW w:type="auto" w:w="0"/>
        <w:tblLook w:firstRow="1" w:lastRow="0" w:firstColumn="0" w:lastColumn="0" w:noHBand="0" w:noVBand="0" w:val="0020"/>
        <w:jc w:val="start"/>
        <w:tblBorders>
          <w:top w:val="single" w:space="0" w:color="000000" w:sz="6"/>
          <w:left w:val="single" w:space="0" w:color="000000" w:sz="6"/>
          <w:bottom w:val="single" w:space="0" w:color="000000" w:sz="6"/>
          <w:right w:val="single" w:space="0" w:color="000000" w:sz="6"/>
          <w:insideH w:val="single" w:space="0" w:color="000000" w:sz="6"/>
          <w:insideV w:val="single" w:space="0" w:color="000000" w:sz="6"/>
        </w:tblBorders>
        <w:tblCellMar>
          <w:top w:type="dxa" w:w="57"/>
          <w:left w:type="dxa" w:w="108"/>
          <w:bottom w:type="dxa" w:w="57"/>
          <w:right w:type="dxa" w:w="108"/>
        </w:tblCellMar>
      </w:tblPr>
      <w:tblGrid>
        <w:gridCol w:w="2640"/>
        <w:gridCol w:w="2640"/>
        <w:gridCol w:w="2640"/>
      </w:tblGrid>
      <w:tr>
        <w:trPr>
          <w:tblHeader w:val="true"/>
        </w:trPr>
        <w:tc>
          <w:tcPr>
            <w:shd w:val="clear" w:fill="E8E8E8" w:color="auto"/>
          </w:tcPr>
          <w:p>
            <w:pPr>
              <w:pStyle w:val="Compact"/>
              <w:jc w:val="left"/>
              <w:ind w:firstLine="0" w:right="0" w:left="0"/>
              <w:spacing w:line="240" w:before="40" w:after="40" w:lineRule="auto"/>
            </w:pPr>
            <w:r>
              <w:rPr>
                <w:b/>
              </w:rPr>
              <w:t xml:space="preserve">Diagram text</w:t>
            </w:r>
          </w:p>
        </w:tc>
        <w:tc>
          <w:tcPr>
            <w:shd w:val="clear" w:fill="E8E8E8" w:color="auto"/>
          </w:tcPr>
          <w:p>
            <w:pPr>
              <w:pStyle w:val="Compact"/>
              <w:jc w:val="left"/>
              <w:ind w:firstLine="0" w:right="0" w:left="0"/>
              <w:spacing w:line="240" w:before="40" w:after="40" w:lineRule="auto"/>
            </w:pPr>
            <w:r>
              <w:rPr>
                <w:b/>
              </w:rPr>
              <w:t xml:space="preserve">Recognized</w:t>
            </w:r>
          </w:p>
        </w:tc>
        <w:tc>
          <w:tcPr>
            <w:shd w:val="clear" w:fill="E8E8E8" w:color="auto"/>
          </w:tcPr>
          <w:p>
            <w:pPr>
              <w:pStyle w:val="Compact"/>
              <w:jc w:val="left"/>
              <w:ind w:firstLine="0" w:right="0" w:left="0"/>
              <w:spacing w:line="240" w:before="40" w:after="40" w:lineRule="auto"/>
            </w:pPr>
            <w:r>
              <w:rPr>
                <w:b/>
              </w:rPr>
              <w:t xml:space="preserve">Reason</w:t>
            </w:r>
          </w:p>
        </w:tc>
      </w:tr>
      <w:tr>
        <w:tc>
          <w:tcPr/>
          <w:p>
            <w:pPr>
              <w:pStyle w:val="Compact"/>
              <w:jc w:val="left"/>
              <w:ind w:firstLine="0" w:right="0" w:left="0"/>
              <w:spacing w:line="240" w:before="40" w:after="40" w:lineRule="auto"/>
            </w:pPr>
            <w:r>
              <w:rPr>
                <w:rStyle w:val="VerbatimChar"/>
              </w:rPr>
              <w:t xml:space="preserve">[SEC-2](@)</w:t>
            </w:r>
          </w:p>
        </w:tc>
        <w:tc>
          <w:tcPr/>
          <w:p>
            <w:pPr>
              <w:pStyle w:val="Compact"/>
              <w:jc w:val="left"/>
              <w:ind w:firstLine="0" w:right="0" w:left="0"/>
              <w:spacing w:line="240" w:before="40" w:after="40" w:lineRule="auto"/>
            </w:pPr>
            <w:r>
              <w:t xml:space="preserve">Yes</w:t>
            </w:r>
          </w:p>
        </w:tc>
        <w:tc>
          <w:tcPr/>
          <w:p>
            <w:pPr>
              <w:pStyle w:val="Compact"/>
              <w:jc w:val="left"/>
              <w:ind w:firstLine="0" w:right="0" w:left="0"/>
              <w:spacing w:line="240" w:before="40" w:after="40" w:lineRule="auto"/>
            </w:pPr>
            <w:r>
              <w:t xml:space="preserve">Text without brackets, selector</w:t>
            </w:r>
            <w:r>
              <w:t xml:space="preserve"> </w:t>
            </w:r>
            <w:r>
              <w:rPr>
                <w:rStyle w:val="VerbatimChar"/>
              </w:rPr>
              <w:t xml:space="preserve">@</w:t>
            </w:r>
          </w:p>
        </w:tc>
      </w:tr>
      <w:tr>
        <w:tc>
          <w:tcPr/>
          <w:p>
            <w:pPr>
              <w:pStyle w:val="Compact"/>
              <w:jc w:val="left"/>
              <w:ind w:firstLine="0" w:right="0" w:left="0"/>
              <w:spacing w:line="240" w:before="40" w:after="40" w:lineRule="auto"/>
            </w:pPr>
            <w:r>
              <w:rPr>
                <w:rStyle w:val="VerbatimChar"/>
              </w:rPr>
              <w:t xml:space="preserve">[fig:overview](#)</w:t>
            </w:r>
          </w:p>
        </w:tc>
        <w:tc>
          <w:tcPr/>
          <w:p>
            <w:pPr>
              <w:pStyle w:val="Compact"/>
              <w:jc w:val="left"/>
              <w:ind w:firstLine="0" w:right="0" w:left="0"/>
              <w:spacing w:line="240" w:before="40" w:after="40" w:lineRule="auto"/>
            </w:pPr>
            <w:r>
              <w:t xml:space="preserve">Yes</w:t>
            </w:r>
          </w:p>
        </w:tc>
        <w:tc>
          <w:tcPr/>
          <w:p>
            <w:pPr>
              <w:pStyle w:val="Compact"/>
              <w:jc w:val="left"/>
              <w:ind w:firstLine="0" w:right="0" w:left="0"/>
              <w:spacing w:line="240" w:before="40" w:after="40" w:lineRule="auto"/>
            </w:pPr>
            <w:r>
              <w:t xml:space="preserve">Text without brackets, selector</w:t>
            </w:r>
            <w:r>
              <w:t xml:space="preserve"> </w:t>
            </w:r>
            <w:r>
              <w:rPr>
                <w:rStyle w:val="VerbatimChar"/>
              </w:rPr>
              <w:t xml:space="preserve">#</w:t>
            </w:r>
          </w:p>
        </w:tc>
      </w:tr>
      <w:tr>
        <w:tc>
          <w:tcPr/>
          <w:p>
            <w:pPr>
              <w:pStyle w:val="Compact"/>
              <w:jc w:val="left"/>
              <w:ind w:firstLine="0" w:right="0" w:left="0"/>
              <w:spacing w:line="240" w:before="40" w:after="40" w:lineRule="auto"/>
            </w:pPr>
            <w:r>
              <w:rPr>
                <w:rStyle w:val="VerbatimChar"/>
              </w:rPr>
              <w:t xml:space="preserve">[Component]</w:t>
            </w:r>
          </w:p>
        </w:tc>
        <w:tc>
          <w:tcPr/>
          <w:p>
            <w:pPr>
              <w:pStyle w:val="Compact"/>
              <w:jc w:val="left"/>
              <w:ind w:firstLine="0" w:right="0" w:left="0"/>
              <w:spacing w:line="240" w:before="40" w:after="40" w:lineRule="auto"/>
            </w:pPr>
            <w:r>
              <w:t xml:space="preserve">No</w:t>
            </w:r>
          </w:p>
        </w:tc>
        <w:tc>
          <w:tcPr/>
          <w:p>
            <w:pPr>
              <w:pStyle w:val="Compact"/>
              <w:jc w:val="left"/>
              <w:ind w:firstLine="0" w:right="0" w:left="0"/>
              <w:spacing w:line="240" w:before="40" w:after="40" w:lineRule="auto"/>
            </w:pPr>
            <w:r>
              <w:t xml:space="preserve">No</w:t>
            </w:r>
            <w:r>
              <w:t xml:space="preserve"> </w:t>
            </w:r>
            <w:r>
              <w:rPr>
                <w:rStyle w:val="VerbatimChar"/>
              </w:rPr>
              <w:t xml:space="preserve">(selector)</w:t>
            </w:r>
            <w:r>
              <w:t xml:space="preserve"> </w:t>
            </w:r>
            <w:r>
              <w:t xml:space="preserve">follows</w:t>
            </w:r>
          </w:p>
        </w:tc>
      </w:tr>
      <w:tr>
        <w:tc>
          <w:tcPr/>
          <w:p>
            <w:pPr>
              <w:pStyle w:val="Compact"/>
              <w:jc w:val="left"/>
              <w:ind w:firstLine="0" w:right="0" w:left="0"/>
              <w:spacing w:line="240" w:before="40" w:after="40" w:lineRule="auto"/>
            </w:pPr>
            <w:r>
              <w:rPr>
                <w:rStyle w:val="VerbatimChar"/>
              </w:rPr>
              <w:t xml:space="preserve">[[http://example.com label]]</w:t>
            </w:r>
          </w:p>
        </w:tc>
        <w:tc>
          <w:tcPr/>
          <w:p>
            <w:pPr>
              <w:pStyle w:val="Compact"/>
              <w:jc w:val="left"/>
              <w:ind w:firstLine="0" w:right="0" w:left="0"/>
              <w:spacing w:line="240" w:before="40" w:after="40" w:lineRule="auto"/>
            </w:pPr>
            <w:r>
              <w:t xml:space="preserve">No</w:t>
            </w:r>
          </w:p>
        </w:tc>
        <w:tc>
          <w:tcPr/>
          <w:p>
            <w:pPr>
              <w:pStyle w:val="Compact"/>
              <w:jc w:val="left"/>
              <w:ind w:firstLine="0" w:right="0" w:left="0"/>
              <w:spacing w:line="240" w:before="40" w:after="40" w:lineRule="auto"/>
            </w:pPr>
            <w:r>
              <w:t xml:space="preserve">Text contains</w:t>
            </w:r>
            <w:r>
              <w:t xml:space="preserve"> </w:t>
            </w:r>
            <w:r>
              <w:rPr>
                <w:rStyle w:val="VerbatimChar"/>
              </w:rPr>
              <w:t xml:space="preserve">[</w:t>
            </w:r>
            <w:r>
              <w:t xml:space="preserve">, and no</w:t>
            </w:r>
            <w:r>
              <w:t xml:space="preserve"> </w:t>
            </w:r>
            <w:r>
              <w:rPr>
                <w:rStyle w:val="VerbatimChar"/>
              </w:rPr>
              <w:t xml:space="preserve">(selector)</w:t>
            </w:r>
            <w:r>
              <w:t xml:space="preserve"> </w:t>
            </w:r>
            <w:r>
              <w:t xml:space="preserve">follows</w:t>
            </w:r>
          </w:p>
        </w:tc>
      </w:tr>
      <w:tr>
        <w:tc>
          <w:tcPr/>
          <w:p>
            <w:pPr>
              <w:pStyle w:val="Compact"/>
              <w:jc w:val="left"/>
              <w:ind w:firstLine="0" w:right="0" w:left="0"/>
              <w:spacing w:line="240" w:before="40" w:after="40" w:lineRule="auto"/>
            </w:pPr>
            <w:r>
              <w:rPr>
                <w:rStyle w:val="VerbatimChar"/>
              </w:rPr>
              <w:t xml:space="preserve">-[#red]-&gt;</w:t>
            </w:r>
          </w:p>
        </w:tc>
        <w:tc>
          <w:tcPr/>
          <w:p>
            <w:pPr>
              <w:pStyle w:val="Compact"/>
              <w:jc w:val="left"/>
              <w:ind w:firstLine="0" w:right="0" w:left="0"/>
              <w:spacing w:line="240" w:before="40" w:after="40" w:lineRule="auto"/>
            </w:pPr>
            <w:r>
              <w:t xml:space="preserve">No</w:t>
            </w:r>
          </w:p>
        </w:tc>
        <w:tc>
          <w:tcPr/>
          <w:p>
            <w:pPr>
              <w:pStyle w:val="Compact"/>
              <w:jc w:val="left"/>
              <w:ind w:firstLine="0" w:right="0" w:left="0"/>
              <w:spacing w:line="240" w:before="40" w:after="40" w:lineRule="auto"/>
            </w:pPr>
            <w:r>
              <w:rPr>
                <w:rStyle w:val="VerbatimChar"/>
              </w:rPr>
              <w:t xml:space="preserve">#red</w:t>
            </w:r>
            <w:r>
              <w:t xml:space="preserve"> </w:t>
            </w:r>
            <w:r>
              <w:t xml:space="preserve">is inside the brackets, not a selector</w:t>
            </w:r>
          </w:p>
        </w:tc>
      </w:tr>
      <w:tr>
        <w:tc>
          <w:tcPr/>
          <w:p>
            <w:pPr>
              <w:pStyle w:val="Compact"/>
              <w:jc w:val="left"/>
              <w:ind w:firstLine="0" w:right="0" w:left="0"/>
              <w:spacing w:line="240" w:before="40" w:after="40" w:lineRule="auto"/>
            </w:pPr>
            <w:r>
              <w:rPr>
                <w:rStyle w:val="VerbatimChar"/>
              </w:rPr>
              <w:t xml:space="preserve">[a](https://example.com)</w:t>
            </w:r>
          </w:p>
        </w:tc>
        <w:tc>
          <w:tcPr/>
          <w:p>
            <w:pPr>
              <w:pStyle w:val="Compact"/>
              <w:jc w:val="left"/>
              <w:ind w:firstLine="0" w:right="0" w:left="0"/>
              <w:spacing w:line="240" w:before="40" w:after="40" w:lineRule="auto"/>
            </w:pPr>
            <w:r>
              <w:t xml:space="preserve">No</w:t>
            </w:r>
          </w:p>
        </w:tc>
        <w:tc>
          <w:tcPr/>
          <w:p>
            <w:pPr>
              <w:pStyle w:val="Compact"/>
              <w:jc w:val="left"/>
              <w:ind w:firstLine="0" w:right="0" w:left="0"/>
              <w:spacing w:line="240" w:before="40" w:after="40" w:lineRule="auto"/>
            </w:pPr>
            <w:r>
              <w:t xml:space="preserve">Selector does not start with</w:t>
            </w:r>
            <w:r>
              <w:t xml:space="preserve"> </w:t>
            </w:r>
            <w:r>
              <w:rPr>
                <w:rStyle w:val="VerbatimChar"/>
              </w:rPr>
              <w:t xml:space="preserve">@</w:t>
            </w:r>
            <w:r>
              <w:t xml:space="preserve"> </w:t>
            </w:r>
            <w:r>
              <w:t xml:space="preserve">or</w:t>
            </w:r>
            <w:r>
              <w:t xml:space="preserve"> </w:t>
            </w:r>
            <w:r>
              <w:rPr>
                <w:rStyle w:val="VerbatimChar"/>
              </w:rPr>
              <w:t xml:space="preserve">#</w:t>
            </w:r>
          </w:p>
        </w:tc>
      </w:tr>
    </w:tbl>
    <w:p>
      <w:pPr>
        <w:pStyle w:val="BodyText"/>
      </w:pPr>
      <w:r>
        <w:t xml:space="preserve">The characters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w:t>
      </w:r>
      <w:r>
        <w:t xml:space="preserve"> </w:t>
      </w:r>
      <w:r>
        <w:t xml:space="preserve">are removed from the display text inside a diagram, because they would end the PlantUML link early.</w:t>
      </w:r>
    </w:p>
    <w:p>
      <w:pPr>
        <w:pStyle w:val="BodyText"/>
      </w:pPr>
      <w:r>
        <w:rPr>
          <w:bCs/>
          <w:b/>
        </w:rPr>
        <w:t xml:space="preserve">Heading level gaps.</w:t>
      </w:r>
      <w:r>
        <w:t xml:space="preserve"> </w:t>
      </w:r>
      <w:r>
        <w:t xml:space="preserve">If a heading skips levels (e.g., H2 followed by H4 with no intervening H3), the document is malformed. Processors should report an error; the missing intermediate level is not implicitly created.</w:t>
      </w:r>
    </w:p>
    <w:bookmarkEnd w:id="79"/>
    <w:bookmarkEnd w:id="80"/>
    <w:bookmarkStart w:id="86" w:name="SPEC-sec4"/>
    <w:p>
      <w:pPr>
        <w:pStyle w:val="Heading1"/>
        <w:numPr>
          <w:ilvl w:val="0"/>
          <w:numId w:val="100"/>
        </w:numPr>
      </w:pPr>
      <w:r>
        <w:t xml:space="preserve">Type System</w:t>
      </w:r>
    </w:p>
    <w:p>
      <w:pPr>
        <w:pStyle w:val="FirstParagraph"/>
      </w:pPr>
      <w:r>
        <w:t xml:space="preserve">CommonSpec is parameterized by a</w:t>
      </w:r>
      <w:r>
        <w:t xml:space="preserve"> </w:t>
      </w:r>
      <w:r>
        <w:rPr>
          <w:bCs/>
          <w:b/>
        </w:rPr>
        <w:t xml:space="preserve">model</w:t>
      </w:r>
      <w:r>
        <w:t xml:space="preserve"> </w:t>
      </w:r>
      <w:r>
        <w:t xml:space="preserve">— a type environment</w:t>
      </w:r>
      <w:r>
        <w:t xml:space="preserve"> </w:t>
      </w:r>
      <m:oMath>
        <m:r>
          <m:t>Γ</m:t>
        </m:r>
      </m:oMath>
      <w:r>
        <w:t xml:space="preserve"> </w:t>
      </w:r>
      <w:r>
        <w:t xml:space="preserve">that defines what object types, float types, relation types, view types, specification types, datatypes, and attributes exist. The language syntax is fixed; the model determines what types are valid and how they behave.</w:t>
      </w:r>
    </w:p>
    <w:bookmarkStart w:id="81" w:name="SPEC-sec4.1"/>
    <w:p>
      <w:pPr>
        <w:pStyle w:val="Heading2"/>
        <w:numPr>
          <w:ilvl w:val="1"/>
          <w:numId w:val="100"/>
        </w:numPr>
      </w:pPr>
      <w:r>
        <w:t xml:space="preserve">Model Structure</w:t>
      </w:r>
    </w:p>
    <w:p>
      <w:pPr>
        <w:pStyle w:val="FirstParagraph"/>
      </w:pPr>
      <w:r>
        <w:t xml:space="preserve">A model provides type definitions organized by category:</w:t>
      </w:r>
    </w:p>
    <w:p>
      <w:pPr>
        <w:numPr>
          <w:ilvl w:val="0"/>
          <w:numId w:val="1019"/>
        </w:numPr>
        <w:pStyle w:val="Compact"/>
      </w:pPr>
      <w:r>
        <w:rPr>
          <w:bCs/>
          <w:b/>
        </w:rPr>
        <w:t xml:space="preserve">Object types</w:t>
      </w:r>
      <w:r>
        <w:t xml:space="preserve"> </w:t>
      </w:r>
      <w:r>
        <w:t xml:space="preserve">— spec object types (e.g., SECTION, HLR, LLR, VC).</w:t>
      </w:r>
    </w:p>
    <w:p>
      <w:pPr>
        <w:numPr>
          <w:ilvl w:val="0"/>
          <w:numId w:val="1019"/>
        </w:numPr>
        <w:pStyle w:val="Compact"/>
      </w:pPr>
      <w:r>
        <w:rPr>
          <w:bCs/>
          <w:b/>
        </w:rPr>
        <w:t xml:space="preserve">Float types</w:t>
      </w:r>
      <w:r>
        <w:t xml:space="preserve"> </w:t>
      </w:r>
      <w:r>
        <w:t xml:space="preserve">— float types with aliases and counter groups (e.g., FIGURE, TABLE, PLANTUML).</w:t>
      </w:r>
    </w:p>
    <w:p>
      <w:pPr>
        <w:numPr>
          <w:ilvl w:val="0"/>
          <w:numId w:val="1019"/>
        </w:numPr>
        <w:pStyle w:val="Compact"/>
      </w:pPr>
      <w:r>
        <w:rPr>
          <w:bCs/>
          <w:b/>
        </w:rPr>
        <w:t xml:space="preserve">Relation types</w:t>
      </w:r>
      <w:r>
        <w:t xml:space="preserve"> </w:t>
      </w:r>
      <w:r>
        <w:t xml:space="preserve">— relation types with selectors, resolvers, and constraints (e.g., PID_REF, VERIFIES).</w:t>
      </w:r>
    </w:p>
    <w:p>
      <w:pPr>
        <w:numPr>
          <w:ilvl w:val="0"/>
          <w:numId w:val="1019"/>
        </w:numPr>
        <w:pStyle w:val="Compact"/>
      </w:pPr>
      <w:r>
        <w:rPr>
          <w:bCs/>
          <w:b/>
        </w:rPr>
        <w:t xml:space="preserve">View types</w:t>
      </w:r>
      <w:r>
        <w:t xml:space="preserve"> </w:t>
      </w:r>
      <w:r>
        <w:t xml:space="preserve">— view types with parameters and materialization logic (e.g., TOC, LOF, ABBREV).</w:t>
      </w:r>
    </w:p>
    <w:p>
      <w:pPr>
        <w:numPr>
          <w:ilvl w:val="0"/>
          <w:numId w:val="1019"/>
        </w:numPr>
        <w:pStyle w:val="Compact"/>
      </w:pPr>
      <w:r>
        <w:rPr>
          <w:bCs/>
          <w:b/>
        </w:rPr>
        <w:t xml:space="preserve">Specification types</w:t>
      </w:r>
      <w:r>
        <w:t xml:space="preserve"> </w:t>
      </w:r>
      <w:r>
        <w:t xml:space="preserve">— document-level types (e.g., SRS, SDD, SVC).</w:t>
      </w:r>
    </w:p>
    <w:p>
      <w:pPr>
        <w:numPr>
          <w:ilvl w:val="0"/>
          <w:numId w:val="1019"/>
        </w:numPr>
        <w:pStyle w:val="Compact"/>
      </w:pPr>
      <w:r>
        <w:rPr>
          <w:bCs/>
          <w:b/>
        </w:rPr>
        <w:t xml:space="preserve">Verification rules</w:t>
      </w:r>
      <w:r>
        <w:t xml:space="preserve"> </w:t>
      </w:r>
      <w:r>
        <w:t xml:space="preserve">— constraint violation detectors that enforce model invariants (e.g., missing required attributes, invalid enum values, broken traceability).</w:t>
      </w:r>
    </w:p>
    <w:bookmarkEnd w:id="81"/>
    <w:bookmarkStart w:id="82" w:name="SPEC-sec4.2"/>
    <w:p>
      <w:pPr>
        <w:pStyle w:val="Heading2"/>
        <w:numPr>
          <w:ilvl w:val="1"/>
          <w:numId w:val="100"/>
        </w:numPr>
      </w:pPr>
      <w:r>
        <w:t xml:space="preserve">Type Definition Schema</w:t>
      </w:r>
    </w:p>
    <w:p>
      <w:pPr>
        <w:pStyle w:val="FirstParagraph"/>
      </w:pPr>
      <w:r>
        <w:t xml:space="preserve">Each type definition declares a schema with the following fields (using object types as an example):</w:t>
      </w:r>
    </w:p>
    <w:p>
      <w:pPr>
        <w:numPr>
          <w:ilvl w:val="0"/>
          <w:numId w:val="1020"/>
        </w:numPr>
        <w:pStyle w:val="Compact"/>
      </w:pPr>
      <w:r>
        <w:rPr>
          <w:bCs/>
          <w:b/>
        </w:rPr>
        <w:t xml:space="preserve">id</w:t>
      </w:r>
      <w:r>
        <w:t xml:space="preserve"> </w:t>
      </w:r>
      <w:r>
        <w:t xml:space="preserve">— the canonical type identifier (e.g.,</w:t>
      </w:r>
      <w:r>
        <w:t xml:space="preserve"> </w:t>
      </w:r>
      <w:r>
        <w:rPr>
          <w:rStyle w:val="VerbatimChar"/>
        </w:rPr>
        <w:t xml:space="preserve">HLR</w:t>
      </w:r>
      <w:r>
        <w:t xml:space="preserve">).</w:t>
      </w:r>
    </w:p>
    <w:p>
      <w:pPr>
        <w:numPr>
          <w:ilvl w:val="0"/>
          <w:numId w:val="1020"/>
        </w:numPr>
        <w:pStyle w:val="Compact"/>
      </w:pPr>
      <w:r>
        <w:rPr>
          <w:bCs/>
          <w:b/>
        </w:rPr>
        <w:t xml:space="preserve">long_name</w:t>
      </w:r>
      <w:r>
        <w:t xml:space="preserve"> </w:t>
      </w:r>
      <w:r>
        <w:t xml:space="preserve">— human-readable name (e.g.,</w:t>
      </w:r>
      <w:r>
        <w:t xml:space="preserve"> </w:t>
      </w:r>
      <w:r>
        <w:t xml:space="preserve">“</w:t>
      </w:r>
      <w:r>
        <w:t xml:space="preserve">High-Level Requirement</w:t>
      </w:r>
      <w:r>
        <w:t xml:space="preserve">”</w:t>
      </w:r>
      <w:r>
        <w:t xml:space="preserve">).</w:t>
      </w:r>
    </w:p>
    <w:p>
      <w:pPr>
        <w:numPr>
          <w:ilvl w:val="0"/>
          <w:numId w:val="1020"/>
        </w:numPr>
        <w:pStyle w:val="Compact"/>
      </w:pPr>
      <w:r>
        <w:rPr>
          <w:bCs/>
          <w:b/>
        </w:rPr>
        <w:t xml:space="preserve">extends</w:t>
      </w:r>
      <w:r>
        <w:t xml:space="preserve"> </w:t>
      </w:r>
      <w:r>
        <w:t xml:space="preserve">— parent type for single inheritance (e.g.,</w:t>
      </w:r>
      <w:r>
        <w:t xml:space="preserve"> </w:t>
      </w:r>
      <w:r>
        <w:rPr>
          <w:rStyle w:val="VerbatimChar"/>
        </w:rPr>
        <w:t xml:space="preserve">TRACEABLE</w:t>
      </w:r>
      <w:r>
        <w:t xml:space="preserve">).</w:t>
      </w:r>
    </w:p>
    <w:p>
      <w:pPr>
        <w:numPr>
          <w:ilvl w:val="0"/>
          <w:numId w:val="1020"/>
        </w:numPr>
        <w:pStyle w:val="Compact"/>
      </w:pPr>
      <w:r>
        <w:rPr>
          <w:bCs/>
          <w:b/>
        </w:rPr>
        <w:t xml:space="preserve">pid_prefix</w:t>
      </w:r>
      <w:r>
        <w:t xml:space="preserve"> </w:t>
      </w:r>
      <w:r>
        <w:t xml:space="preserve">— prefix for auto-generated PIDs (e.g.,</w:t>
      </w:r>
      <w:r>
        <w:t xml:space="preserve"> </w:t>
      </w:r>
      <w:r>
        <w:rPr>
          <w:rStyle w:val="VerbatimChar"/>
        </w:rPr>
        <w:t xml:space="preserve">HLR</w:t>
      </w:r>
      <w:r>
        <w:t xml:space="preserve">).</w:t>
      </w:r>
    </w:p>
    <w:p>
      <w:pPr>
        <w:numPr>
          <w:ilvl w:val="0"/>
          <w:numId w:val="1020"/>
        </w:numPr>
        <w:pStyle w:val="Compact"/>
      </w:pPr>
      <w:r>
        <w:rPr>
          <w:bCs/>
          <w:b/>
        </w:rPr>
        <w:t xml:space="preserve">pid_format</w:t>
      </w:r>
      <w:r>
        <w:t xml:space="preserve"> </w:t>
      </w:r>
      <w:r>
        <w:t xml:space="preserve">— format string for PID numbering (e.g.,</w:t>
      </w:r>
      <w:r>
        <w:t xml:space="preserve"> </w:t>
      </w:r>
      <w:r>
        <w:rPr>
          <w:rStyle w:val="VerbatimChar"/>
        </w:rPr>
        <w:t xml:space="preserve">%03d</w:t>
      </w:r>
      <w:r>
        <w:t xml:space="preserve">).</w:t>
      </w:r>
    </w:p>
    <w:p>
      <w:pPr>
        <w:numPr>
          <w:ilvl w:val="0"/>
          <w:numId w:val="1020"/>
        </w:numPr>
        <w:pStyle w:val="Compact"/>
      </w:pPr>
      <w:r>
        <w:rPr>
          <w:bCs/>
          <w:b/>
        </w:rPr>
        <w:t xml:space="preserve">attributes</w:t>
      </w:r>
      <w:r>
        <w:t xml:space="preserve"> </w:t>
      </w:r>
      <w:r>
        <w:t xml:space="preserve">— list of attribute declarations, each with</w:t>
      </w:r>
      <w:r>
        <w:t xml:space="preserve"> </w:t>
      </w:r>
      <w:r>
        <w:rPr>
          <w:rStyle w:val="VerbatimChar"/>
        </w:rPr>
        <w:t xml:space="preserve">name</w:t>
      </w:r>
      <w:r>
        <w:t xml:space="preserve">,</w:t>
      </w:r>
      <w:r>
        <w:t xml:space="preserve"> </w:t>
      </w:r>
      <w:r>
        <w:rPr>
          <w:rStyle w:val="VerbatimChar"/>
        </w:rPr>
        <w:t xml:space="preserve">type</w:t>
      </w:r>
      <w:r>
        <w:t xml:space="preserve">, and optional constraints.</w:t>
      </w:r>
    </w:p>
    <w:p>
      <w:pPr>
        <w:pStyle w:val="FirstParagraph"/>
      </w:pPr>
      <w:r>
        <w:t xml:space="preserve">Relation types additionally declare:</w:t>
      </w:r>
    </w:p>
    <w:p>
      <w:pPr>
        <w:numPr>
          <w:ilvl w:val="0"/>
          <w:numId w:val="1021"/>
        </w:numPr>
        <w:pStyle w:val="Compact"/>
      </w:pPr>
      <w:r>
        <w:rPr>
          <w:bCs/>
          <w:b/>
        </w:rPr>
        <w:t xml:space="preserve">link_selector</w:t>
      </w:r>
      <w:r>
        <w:t xml:space="preserve"> </w:t>
      </w:r>
      <w:r>
        <w:t xml:space="preserve">— the selector string that triggers this type (e.g.,</w:t>
      </w:r>
      <w:r>
        <w:t xml:space="preserve"> </w:t>
      </w:r>
      <w:r>
        <w:rPr>
          <w:rStyle w:val="VerbatimChar"/>
        </w:rPr>
        <w:t xml:space="preserve">@</w:t>
      </w:r>
      <w:r>
        <w:t xml:space="preserve">).</w:t>
      </w:r>
    </w:p>
    <w:p>
      <w:pPr>
        <w:numPr>
          <w:ilvl w:val="0"/>
          <w:numId w:val="1021"/>
        </w:numPr>
        <w:pStyle w:val="Compact"/>
      </w:pPr>
      <w:r>
        <w:rPr>
          <w:bCs/>
          <w:b/>
        </w:rPr>
        <w:t xml:space="preserve">source_type_ref</w:t>
      </w:r>
      <w:r>
        <w:t xml:space="preserve"> </w:t>
      </w:r>
      <w:r>
        <w:t xml:space="preserve">/</w:t>
      </w:r>
      <w:r>
        <w:t xml:space="preserve"> </w:t>
      </w:r>
      <w:r>
        <w:rPr>
          <w:bCs/>
          <w:b/>
        </w:rPr>
        <w:t xml:space="preserve">target_type_ref</w:t>
      </w:r>
      <w:r>
        <w:t xml:space="preserve"> </w:t>
      </w:r>
      <w:r>
        <w:t xml:space="preserve">— type constraints for inference.</w:t>
      </w:r>
    </w:p>
    <w:p>
      <w:pPr>
        <w:numPr>
          <w:ilvl w:val="0"/>
          <w:numId w:val="1021"/>
        </w:numPr>
        <w:pStyle w:val="Compact"/>
      </w:pPr>
      <w:r>
        <w:rPr>
          <w:bCs/>
          <w:b/>
        </w:rPr>
        <w:t xml:space="preserve">source_attribute</w:t>
      </w:r>
      <w:r>
        <w:t xml:space="preserve"> </w:t>
      </w:r>
      <w:r>
        <w:t xml:space="preserve">— attribute context constraint for inference.</w:t>
      </w:r>
    </w:p>
    <w:p>
      <w:pPr>
        <w:numPr>
          <w:ilvl w:val="0"/>
          <w:numId w:val="1021"/>
        </w:numPr>
        <w:pStyle w:val="Compact"/>
      </w:pPr>
      <w:r>
        <w:rPr>
          <w:bCs/>
          <w:b/>
        </w:rPr>
        <w:t xml:space="preserve">resolve</w:t>
      </w:r>
      <w:r>
        <w:t xml:space="preserve"> </w:t>
      </w:r>
      <w:r>
        <w:t xml:space="preserve">— the resolution strategy (inherited from the base type via</w:t>
      </w:r>
      <w:r>
        <w:t xml:space="preserve"> </w:t>
      </w:r>
      <w:r>
        <w:rPr>
          <w:rStyle w:val="VerbatimChar"/>
        </w:rPr>
        <w:t xml:space="preserve">extends</w:t>
      </w:r>
      <w:r>
        <w:t xml:space="preserve">).</w:t>
      </w:r>
    </w:p>
    <w:bookmarkEnd w:id="82"/>
    <w:bookmarkStart w:id="83" w:name="SPEC-sec4.3"/>
    <w:p>
      <w:pPr>
        <w:pStyle w:val="Heading2"/>
        <w:numPr>
          <w:ilvl w:val="1"/>
          <w:numId w:val="100"/>
        </w:numPr>
      </w:pPr>
      <w:r>
        <w:t xml:space="preserve">Type Inheritance</w:t>
      </w:r>
    </w:p>
    <w:p>
      <w:pPr>
        <w:pStyle w:val="FirstParagraph"/>
      </w:pPr>
      <w:r>
        <w:t xml:space="preserve">Object types support single inheritance via</w:t>
      </w:r>
      <w:r>
        <w:t xml:space="preserve"> </w:t>
      </w:r>
      <w:r>
        <w:rPr>
          <w:rStyle w:val="VerbatimChar"/>
        </w:rPr>
        <w:t xml:space="preserve">extends</w:t>
      </w:r>
      <w:r>
        <w:t xml:space="preserve">. A child type inherits all attributes from its parent. For example:</w:t>
      </w:r>
    </w:p>
    <w:p>
      <w:pPr>
        <w:numPr>
          <w:ilvl w:val="0"/>
          <w:numId w:val="1022"/>
        </w:numPr>
        <w:pStyle w:val="Compact"/>
      </w:pPr>
      <w:r>
        <w:rPr>
          <w:bCs/>
          <w:b/>
        </w:rPr>
        <w:t xml:space="preserve">SECTION</w:t>
      </w:r>
      <w:r>
        <w:t xml:space="preserve"> </w:t>
      </w:r>
      <w:r>
        <w:t xml:space="preserve">— base structural container, no special attributes.</w:t>
      </w:r>
    </w:p>
    <w:p>
      <w:pPr>
        <w:numPr>
          <w:ilvl w:val="0"/>
          <w:numId w:val="1022"/>
        </w:numPr>
        <w:pStyle w:val="Compact"/>
      </w:pPr>
      <w:r>
        <w:rPr>
          <w:bCs/>
          <w:b/>
        </w:rPr>
        <w:t xml:space="preserve">TRACEABLE</w:t>
      </w:r>
      <w:r>
        <w:t xml:space="preserve"> </w:t>
      </w:r>
      <w:r>
        <w:t xml:space="preserve">extends SECTION — adds</w:t>
      </w:r>
      <w:r>
        <w:t xml:space="preserve"> </w:t>
      </w:r>
      <w:r>
        <w:rPr>
          <w:rStyle w:val="VerbatimChar"/>
        </w:rPr>
        <w:t xml:space="preserve">status</w:t>
      </w:r>
      <w:r>
        <w:t xml:space="preserve"> </w:t>
      </w:r>
      <w:r>
        <w:t xml:space="preserve">attribute (ENUM: Draft, Review, Approved, Implemented).</w:t>
      </w:r>
    </w:p>
    <w:p>
      <w:pPr>
        <w:numPr>
          <w:ilvl w:val="0"/>
          <w:numId w:val="1022"/>
        </w:numPr>
        <w:pStyle w:val="Compact"/>
      </w:pPr>
      <w:r>
        <w:rPr>
          <w:bCs/>
          <w:b/>
        </w:rPr>
        <w:t xml:space="preserve">HLR</w:t>
      </w:r>
      <w:r>
        <w:t xml:space="preserve"> </w:t>
      </w:r>
      <w:r>
        <w:t xml:space="preserve">extends TRACEABLE — adds</w:t>
      </w:r>
      <w:r>
        <w:t xml:space="preserve"> </w:t>
      </w:r>
      <w:r>
        <w:rPr>
          <w:rStyle w:val="VerbatimChar"/>
        </w:rPr>
        <w:t xml:space="preserve">rationale</w:t>
      </w:r>
      <w:r>
        <w:t xml:space="preserve">,</w:t>
      </w:r>
      <w:r>
        <w:t xml:space="preserve"> </w:t>
      </w:r>
      <w:r>
        <w:rPr>
          <w:rStyle w:val="VerbatimChar"/>
        </w:rPr>
        <w:t xml:space="preserve">priority</w:t>
      </w:r>
      <w:r>
        <w:t xml:space="preserve">.</w:t>
      </w:r>
    </w:p>
    <w:p>
      <w:pPr>
        <w:numPr>
          <w:ilvl w:val="0"/>
          <w:numId w:val="1022"/>
        </w:numPr>
        <w:pStyle w:val="Compact"/>
      </w:pPr>
      <w:r>
        <w:rPr>
          <w:bCs/>
          <w:b/>
        </w:rPr>
        <w:t xml:space="preserve">LLR</w:t>
      </w:r>
      <w:r>
        <w:t xml:space="preserve"> </w:t>
      </w:r>
      <w:r>
        <w:t xml:space="preserve">extends TRACEABLE — adds</w:t>
      </w:r>
      <w:r>
        <w:t xml:space="preserve"> </w:t>
      </w:r>
      <w:r>
        <w:rPr>
          <w:rStyle w:val="VerbatimChar"/>
        </w:rPr>
        <w:t xml:space="preserve">rationale</w:t>
      </w:r>
      <w:r>
        <w:t xml:space="preserve">,</w:t>
      </w:r>
      <w:r>
        <w:t xml:space="preserve"> </w:t>
      </w:r>
      <w:r>
        <w:rPr>
          <w:rStyle w:val="VerbatimChar"/>
        </w:rPr>
        <w:t xml:space="preserve">verification_method</w:t>
      </w:r>
      <w:r>
        <w:t xml:space="preserve">,</w:t>
      </w:r>
      <w:r>
        <w:t xml:space="preserve"> </w:t>
      </w:r>
      <w:r>
        <w:rPr>
          <w:rStyle w:val="VerbatimChar"/>
        </w:rPr>
        <w:t xml:space="preserve">traceability</w:t>
      </w:r>
      <w:r>
        <w:t xml:space="preserve">.</w:t>
      </w:r>
    </w:p>
    <w:bookmarkEnd w:id="83"/>
    <w:bookmarkStart w:id="84" w:name="SPEC-sec4.4"/>
    <w:p>
      <w:pPr>
        <w:pStyle w:val="Heading2"/>
        <w:numPr>
          <w:ilvl w:val="1"/>
          <w:numId w:val="100"/>
        </w:numPr>
      </w:pPr>
      <w:r>
        <w:t xml:space="preserve">Default Model</w:t>
      </w:r>
    </w:p>
    <w:p>
      <w:pPr>
        <w:pStyle w:val="FirstParagraph"/>
      </w:pPr>
      <w:r>
        <w:t xml:space="preserve">The default model provides basic types for general technical publishing:</w:t>
      </w:r>
    </w:p>
    <w:p>
      <w:pPr>
        <w:numPr>
          <w:ilvl w:val="0"/>
          <w:numId w:val="1023"/>
        </w:numPr>
        <w:pStyle w:val="Compact"/>
      </w:pPr>
      <w:r>
        <w:rPr>
          <w:bCs/>
          <w:b/>
        </w:rPr>
        <w:t xml:space="preserve">Objects:</w:t>
      </w:r>
      <w:r>
        <w:t xml:space="preserve"> </w:t>
      </w:r>
      <w:r>
        <w:t xml:space="preserve">SECTION (default, composite), COVER, EXEC_SUMMARY, REFERENCES.</w:t>
      </w:r>
    </w:p>
    <w:p>
      <w:pPr>
        <w:numPr>
          <w:ilvl w:val="0"/>
          <w:numId w:val="1023"/>
        </w:numPr>
        <w:pStyle w:val="Compact"/>
      </w:pPr>
      <w:r>
        <w:rPr>
          <w:bCs/>
          <w:b/>
        </w:rPr>
        <w:t xml:space="preserve">Floats:</w:t>
      </w:r>
      <w:r>
        <w:t xml:space="preserve"> </w:t>
      </w:r>
      <w:r>
        <w:t xml:space="preserve">FIGURE, TABLE, CODE, MATH, PLANTUML, CHART, DIAGRAM.</w:t>
      </w:r>
    </w:p>
    <w:p>
      <w:pPr>
        <w:numPr>
          <w:ilvl w:val="0"/>
          <w:numId w:val="1023"/>
        </w:numPr>
        <w:pStyle w:val="Compact"/>
      </w:pPr>
      <w:r>
        <w:rPr>
          <w:bCs/>
          <w:b/>
        </w:rPr>
        <w:t xml:space="preserve">Views:</w:t>
      </w:r>
      <w:r>
        <w:t xml:space="preserve"> </w:t>
      </w:r>
      <w:r>
        <w:t xml:space="preserve">TOC, LOF, LOT, ABBREV, MATH_INLINE.</w:t>
      </w:r>
    </w:p>
    <w:p>
      <w:pPr>
        <w:numPr>
          <w:ilvl w:val="0"/>
          <w:numId w:val="1023"/>
        </w:numPr>
        <w:pStyle w:val="Compact"/>
      </w:pPr>
      <w:r>
        <w:rPr>
          <w:bCs/>
          <w:b/>
        </w:rPr>
        <w:t xml:space="preserve">Specifications:</w:t>
      </w:r>
      <w:r>
        <w:t xml:space="preserve"> </w:t>
      </w:r>
      <w:r>
        <w:t xml:space="preserve">A single default specification type.</w:t>
      </w:r>
    </w:p>
    <w:bookmarkEnd w:id="84"/>
    <w:bookmarkStart w:id="85" w:name="SPEC-sec4.5"/>
    <w:p>
      <w:pPr>
        <w:pStyle w:val="Heading2"/>
        <w:numPr>
          <w:ilvl w:val="1"/>
          <w:numId w:val="100"/>
        </w:numPr>
      </w:pPr>
      <w:r>
        <w:t xml:space="preserve">Domain Models</w:t>
      </w:r>
    </w:p>
    <w:p>
      <w:pPr>
        <w:pStyle w:val="FirstParagraph"/>
      </w:pPr>
      <w:r>
        <w:t xml:space="preserve">Domain-specific models extend the default with specialized types. For example, a software documentation model may add:</w:t>
      </w:r>
    </w:p>
    <w:p>
      <w:pPr>
        <w:numPr>
          <w:ilvl w:val="0"/>
          <w:numId w:val="1024"/>
        </w:numPr>
        <w:pStyle w:val="Compact"/>
      </w:pPr>
      <w:r>
        <w:rPr>
          <w:bCs/>
          <w:b/>
        </w:rPr>
        <w:t xml:space="preserve">Objects:</w:t>
      </w:r>
      <w:r>
        <w:t xml:space="preserve"> </w:t>
      </w:r>
      <w:r>
        <w:t xml:space="preserve">HLR, LLR, VC, NFR, FD, DD, CSC, CSU, TR — for software requirements, design, and verification.</w:t>
      </w:r>
    </w:p>
    <w:p>
      <w:pPr>
        <w:numPr>
          <w:ilvl w:val="0"/>
          <w:numId w:val="1024"/>
        </w:numPr>
        <w:pStyle w:val="Compact"/>
      </w:pPr>
      <w:r>
        <w:rPr>
          <w:bCs/>
          <w:b/>
        </w:rPr>
        <w:t xml:space="preserve">Relations:</w:t>
      </w:r>
      <w:r>
        <w:t xml:space="preserve"> </w:t>
      </w:r>
      <w:r>
        <w:t xml:space="preserve">VERIFIES, TRACES_TO, REALIZES, BELONGS — for traceability between requirements, design, and tests.</w:t>
      </w:r>
    </w:p>
    <w:p>
      <w:pPr>
        <w:numPr>
          <w:ilvl w:val="0"/>
          <w:numId w:val="1024"/>
        </w:numPr>
        <w:pStyle w:val="Compact"/>
      </w:pPr>
      <w:r>
        <w:rPr>
          <w:bCs/>
          <w:b/>
        </w:rPr>
        <w:t xml:space="preserve">Specifications:</w:t>
      </w:r>
      <w:r>
        <w:t xml:space="preserve"> </w:t>
      </w:r>
      <w:r>
        <w:t xml:space="preserve">SRS, SDD, SVC, TRR, SUM — for software documentation lifecycle.</w:t>
      </w:r>
    </w:p>
    <w:p>
      <w:pPr>
        <w:numPr>
          <w:ilvl w:val="0"/>
          <w:numId w:val="1024"/>
        </w:numPr>
        <w:pStyle w:val="Compact"/>
      </w:pPr>
      <w:r>
        <w:rPr>
          <w:bCs/>
          <w:b/>
        </w:rPr>
        <w:t xml:space="preserve">Views:</w:t>
      </w:r>
      <w:r>
        <w:t xml:space="preserve"> </w:t>
      </w:r>
      <w:r>
        <w:t xml:space="preserve">TRACEABILITY_MATRIX, REQUIREMENTS_SUMMARY, COVERAGE_SUMMARY — for analysis and reporting.</w:t>
      </w:r>
    </w:p>
    <w:p>
      <w:pPr>
        <w:numPr>
          <w:ilvl w:val="0"/>
          <w:numId w:val="1024"/>
        </w:numPr>
        <w:pStyle w:val="Compact"/>
      </w:pPr>
      <w:r>
        <w:rPr>
          <w:bCs/>
          <w:b/>
        </w:rPr>
        <w:t xml:space="preserve">Verification views:</w:t>
      </w:r>
      <w:r>
        <w:t xml:space="preserve"> </w:t>
      </w:r>
      <w:r>
        <w:t xml:space="preserve">Missing traceability coverage, invalid attribute values, duplicate PIDs.</w:t>
      </w:r>
    </w:p>
    <w:bookmarkEnd w:id="85"/>
    <w:bookmarkEnd w:id="86"/>
    <w:bookmarkStart w:id="90" w:name="SPEC-sec5"/>
    <w:p>
      <w:pPr>
        <w:pStyle w:val="Heading1"/>
        <w:numPr>
          <w:ilvl w:val="0"/>
          <w:numId w:val="100"/>
        </w:numPr>
      </w:pPr>
      <w:r>
        <w:t xml:space="preserve">Datatypes</w:t>
      </w:r>
    </w:p>
    <w:bookmarkStart w:id="87" w:name="SPEC-sec5.1"/>
    <w:p>
      <w:pPr>
        <w:pStyle w:val="Heading2"/>
        <w:numPr>
          <w:ilvl w:val="1"/>
          <w:numId w:val="100"/>
        </w:numPr>
      </w:pPr>
      <w:r>
        <w:t xml:space="preserve">Primitive Datatypes</w:t>
      </w:r>
    </w:p>
    <w:p>
      <w:pPr>
        <w:pStyle w:val="FirstParagraph"/>
      </w:pPr>
      <w:r>
        <w:t xml:space="preserve">CommonSpec defines seven primitive datatypes used for attribute values:</w:t>
      </w:r>
    </w:p>
    <w:p>
      <w:pPr>
        <w:spacing w:lineRule="exact" w:after="0" w:before="0" w:line="20"/>
        <w:rPr>
          <w:sz w:val="2"/>
        </w:rPr>
      </w:pPr>
      <w:bookmarkStart w:id="46083" w:name="csv-primitive-datatypes"/>
      <w:bookmarkEnd w:id="46083"/>
    </w:p>
    <w:p>
      <w:pPr>
        <w:pStyle w:val="Caption"/>
        <w:keepNext/>
      </w:pPr>
      <w:r>
        <w:t xml:space="preserve">Table </w:t>
      </w:r>
      <w:r>
        <w:fldChar w:fldCharType="begin"/>
      </w:r>
      <w:r>
        <w:instrText xml:space="preserve"> SEQ TABLE \* ARABIC </w:instrText>
      </w:r>
      <w:r>
        <w:fldChar w:fldCharType="separate"/>
      </w:r>
      <w:r>
        <w:t>2</w:t>
      </w:r>
      <w:r>
        <w:fldChar w:fldCharType="end"/>
      </w:r>
      <w:r>
        <w:t xml:space="preserve"> :  Primitive Datatypes</w:t>
      </w:r>
    </w:p>
    <w:tbl>
      <w:tblPr>
        <w:tblStyle w:val="Table"/>
        <w:tblW w:type="auto" w:w="0"/>
        <w:tblLook w:firstRow="1" w:lastRow="0" w:firstColumn="0" w:lastColumn="0" w:noHBand="0" w:noVBand="0" w:val="0020"/>
        <w:jc w:val="start"/>
        <w:tblBorders>
          <w:top w:val="single" w:space="0" w:color="000000" w:sz="6"/>
          <w:left w:val="single" w:space="0" w:color="000000" w:sz="6"/>
          <w:bottom w:val="single" w:space="0" w:color="000000" w:sz="6"/>
          <w:right w:val="single" w:space="0" w:color="000000" w:sz="6"/>
          <w:insideH w:val="single" w:space="0" w:color="000000" w:sz="6"/>
          <w:insideV w:val="single" w:space="0" w:color="000000" w:sz="6"/>
        </w:tblBorders>
        <w:tblCellMar>
          <w:top w:type="dxa" w:w="57"/>
          <w:left w:type="dxa" w:w="108"/>
          <w:bottom w:type="dxa" w:w="57"/>
          <w:right w:type="dxa" w:w="108"/>
        </w:tblCellMar>
      </w:tblPr>
      <w:tblGrid>
        <w:gridCol w:w="2640"/>
        <w:gridCol w:w="2640"/>
        <w:gridCol w:w="2640"/>
      </w:tblGrid>
      <w:tr>
        <w:trPr>
          <w:tblHeader w:val="true"/>
        </w:trPr>
        <w:tc>
          <w:tcPr>
            <w:shd w:val="clear" w:fill="E8E8E8" w:color="auto"/>
          </w:tcPr>
          <w:p>
            <w:pPr>
              <w:pStyle w:val="Compact"/>
              <w:jc w:val="left"/>
              <w:ind w:firstLine="0" w:right="0" w:left="0"/>
              <w:spacing w:line="240" w:before="40" w:after="40" w:lineRule="auto"/>
            </w:pPr>
            <w:r>
              <w:rPr>
                <w:b/>
              </w:rPr>
              <w:t xml:space="preserve">Datatype</w:t>
            </w:r>
          </w:p>
        </w:tc>
        <w:tc>
          <w:tcPr>
            <w:shd w:val="clear" w:fill="E8E8E8" w:color="auto"/>
          </w:tcPr>
          <w:p>
            <w:pPr>
              <w:pStyle w:val="Compact"/>
              <w:jc w:val="left"/>
              <w:ind w:firstLine="0" w:right="0" w:left="0"/>
              <w:spacing w:line="240" w:before="40" w:after="40" w:lineRule="auto"/>
            </w:pPr>
            <w:r>
              <w:rPr>
                <w:b/>
              </w:rPr>
              <w:t xml:space="preserve">Syntax</w:t>
            </w:r>
          </w:p>
        </w:tc>
        <w:tc>
          <w:tcPr>
            <w:shd w:val="clear" w:fill="E8E8E8" w:color="auto"/>
          </w:tcPr>
          <w:p>
            <w:pPr>
              <w:pStyle w:val="Compact"/>
              <w:jc w:val="left"/>
              <w:ind w:firstLine="0" w:right="0" w:left="0"/>
              <w:spacing w:line="240" w:before="40" w:after="40" w:lineRule="auto"/>
            </w:pPr>
            <w:r>
              <w:rPr>
                <w:b/>
              </w:rPr>
              <w:t xml:space="preserve">Description</w:t>
            </w:r>
          </w:p>
        </w:tc>
      </w:tr>
      <w:tr>
        <w:tc>
          <w:tcPr/>
          <w:p>
            <w:pPr>
              <w:pStyle w:val="Compact"/>
              <w:jc w:val="left"/>
              <w:ind w:firstLine="0" w:right="0" w:left="0"/>
              <w:spacing w:line="240" w:before="40" w:after="40" w:lineRule="auto"/>
            </w:pPr>
            <w:r>
              <w:t xml:space="preserve">STRING</w:t>
            </w:r>
          </w:p>
        </w:tc>
        <w:tc>
          <w:tcPr/>
          <w:p>
            <w:pPr>
              <w:pStyle w:val="Compact"/>
              <w:jc w:val="left"/>
              <w:ind w:firstLine="0" w:right="0" w:left="0"/>
              <w:spacing w:line="240" w:before="40" w:after="40" w:lineRule="auto"/>
            </w:pPr>
            <w:r>
              <w:t xml:space="preserve">Plain text</w:t>
            </w:r>
          </w:p>
        </w:tc>
        <w:tc>
          <w:tcPr/>
          <w:p>
            <w:pPr>
              <w:pStyle w:val="Compact"/>
              <w:jc w:val="left"/>
              <w:ind w:firstLine="0" w:right="0" w:left="0"/>
              <w:spacing w:line="240" w:before="40" w:after="40" w:lineRule="auto"/>
            </w:pPr>
            <w:r>
              <w:t xml:space="preserve">Unformatted text value</w:t>
            </w:r>
          </w:p>
        </w:tc>
      </w:tr>
      <w:tr>
        <w:tc>
          <w:tcPr/>
          <w:p>
            <w:pPr>
              <w:pStyle w:val="Compact"/>
              <w:jc w:val="left"/>
              <w:ind w:firstLine="0" w:right="0" w:left="0"/>
              <w:spacing w:line="240" w:before="40" w:after="40" w:lineRule="auto"/>
            </w:pPr>
            <w:r>
              <w:t xml:space="preserve">INTEGER</w:t>
            </w:r>
          </w:p>
        </w:tc>
        <w:tc>
          <w:tcPr/>
          <w:p>
            <w:pPr>
              <w:pStyle w:val="Compact"/>
              <w:jc w:val="left"/>
              <w:ind w:firstLine="0" w:right="0" w:left="0"/>
              <w:spacing w:line="240" w:before="40" w:after="40" w:lineRule="auto"/>
            </w:pPr>
            <w:r>
              <w:t xml:space="preserve">Whole number</w:t>
            </w:r>
          </w:p>
        </w:tc>
        <w:tc>
          <w:tcPr/>
          <w:p>
            <w:pPr>
              <w:pStyle w:val="Compact"/>
              <w:jc w:val="left"/>
              <w:ind w:firstLine="0" w:right="0" w:left="0"/>
              <w:spacing w:line="240" w:before="40" w:after="40" w:lineRule="auto"/>
            </w:pPr>
            <w:r>
              <w:t xml:space="preserve">Numeric value (supports min/max bounds)</w:t>
            </w:r>
          </w:p>
        </w:tc>
      </w:tr>
      <w:tr>
        <w:tc>
          <w:tcPr/>
          <w:p>
            <w:pPr>
              <w:pStyle w:val="Compact"/>
              <w:jc w:val="left"/>
              <w:ind w:firstLine="0" w:right="0" w:left="0"/>
              <w:spacing w:line="240" w:before="40" w:after="40" w:lineRule="auto"/>
            </w:pPr>
            <w:r>
              <w:t xml:space="preserve">REAL</w:t>
            </w:r>
          </w:p>
        </w:tc>
        <w:tc>
          <w:tcPr/>
          <w:p>
            <w:pPr>
              <w:pStyle w:val="Compact"/>
              <w:jc w:val="left"/>
              <w:ind w:firstLine="0" w:right="0" w:left="0"/>
              <w:spacing w:line="240" w:before="40" w:after="40" w:lineRule="auto"/>
            </w:pPr>
            <w:r>
              <w:t xml:space="preserve">Decimal number</w:t>
            </w:r>
          </w:p>
        </w:tc>
        <w:tc>
          <w:tcPr/>
          <w:p>
            <w:pPr>
              <w:pStyle w:val="Compact"/>
              <w:jc w:val="left"/>
              <w:ind w:firstLine="0" w:right="0" w:left="0"/>
              <w:spacing w:line="240" w:before="40" w:after="40" w:lineRule="auto"/>
            </w:pPr>
            <w:r>
              <w:t xml:space="preserve">Floating-point value (supports min/max bounds)</w:t>
            </w:r>
          </w:p>
        </w:tc>
      </w:tr>
      <w:tr>
        <w:tc>
          <w:tcPr/>
          <w:p>
            <w:pPr>
              <w:pStyle w:val="Compact"/>
              <w:jc w:val="left"/>
              <w:ind w:firstLine="0" w:right="0" w:left="0"/>
              <w:spacing w:line="240" w:before="40" w:after="40" w:lineRule="auto"/>
            </w:pPr>
            <w:r>
              <w:t xml:space="preserve">BOOLEAN</w:t>
            </w:r>
          </w:p>
        </w:tc>
        <w:tc>
          <w:tcPr/>
          <w:p>
            <w:pPr>
              <w:pStyle w:val="Compact"/>
              <w:jc w:val="left"/>
              <w:ind w:firstLine="0" w:right="0" w:left="0"/>
              <w:spacing w:line="240" w:before="40" w:after="40" w:lineRule="auto"/>
            </w:pPr>
            <w:r>
              <w:t xml:space="preserve">true / false</w:t>
            </w:r>
          </w:p>
        </w:tc>
        <w:tc>
          <w:tcPr/>
          <w:p>
            <w:pPr>
              <w:pStyle w:val="Compact"/>
              <w:jc w:val="left"/>
              <w:ind w:firstLine="0" w:right="0" w:left="0"/>
              <w:spacing w:line="240" w:before="40" w:after="40" w:lineRule="auto"/>
            </w:pPr>
            <w:r>
              <w:t xml:space="preserve">Boolean flag</w:t>
            </w:r>
          </w:p>
        </w:tc>
      </w:tr>
      <w:tr>
        <w:tc>
          <w:tcPr/>
          <w:p>
            <w:pPr>
              <w:pStyle w:val="Compact"/>
              <w:jc w:val="left"/>
              <w:ind w:firstLine="0" w:right="0" w:left="0"/>
              <w:spacing w:line="240" w:before="40" w:after="40" w:lineRule="auto"/>
            </w:pPr>
            <w:r>
              <w:t xml:space="preserve">DATE</w:t>
            </w:r>
          </w:p>
        </w:tc>
        <w:tc>
          <w:tcPr/>
          <w:p>
            <w:pPr>
              <w:pStyle w:val="Compact"/>
              <w:jc w:val="left"/>
              <w:ind w:firstLine="0" w:right="0" w:left="0"/>
              <w:spacing w:line="240" w:before="40" w:after="40" w:lineRule="auto"/>
            </w:pPr>
            <w:r>
              <w:t xml:space="preserve">YYYY-MM-DD</w:t>
            </w:r>
          </w:p>
        </w:tc>
        <w:tc>
          <w:tcPr/>
          <w:p>
            <w:pPr>
              <w:pStyle w:val="Compact"/>
              <w:jc w:val="left"/>
              <w:ind w:firstLine="0" w:right="0" w:left="0"/>
              <w:spacing w:line="240" w:before="40" w:after="40" w:lineRule="auto"/>
            </w:pPr>
            <w:r>
              <w:t xml:space="preserve">ISO 8601 date</w:t>
            </w:r>
          </w:p>
        </w:tc>
      </w:tr>
      <w:tr>
        <w:tc>
          <w:tcPr/>
          <w:p>
            <w:pPr>
              <w:pStyle w:val="Compact"/>
              <w:jc w:val="left"/>
              <w:ind w:firstLine="0" w:right="0" w:left="0"/>
              <w:spacing w:line="240" w:before="40" w:after="40" w:lineRule="auto"/>
            </w:pPr>
            <w:r>
              <w:t xml:space="preserve">ENUM</w:t>
            </w:r>
          </w:p>
        </w:tc>
        <w:tc>
          <w:tcPr/>
          <w:p>
            <w:pPr>
              <w:pStyle w:val="Compact"/>
              <w:jc w:val="left"/>
              <w:ind w:firstLine="0" w:right="0" w:left="0"/>
              <w:spacing w:line="240" w:before="40" w:after="40" w:lineRule="auto"/>
            </w:pPr>
            <w:r>
              <w:t xml:space="preserve">Named value</w:t>
            </w:r>
          </w:p>
        </w:tc>
        <w:tc>
          <w:tcPr/>
          <w:p>
            <w:pPr>
              <w:pStyle w:val="Compact"/>
              <w:jc w:val="left"/>
              <w:ind w:firstLine="0" w:right="0" w:left="0"/>
              <w:spacing w:line="240" w:before="40" w:after="40" w:lineRule="auto"/>
            </w:pPr>
            <w:r>
              <w:t xml:space="preserve">One of a model-declared set of values</w:t>
            </w:r>
          </w:p>
        </w:tc>
      </w:tr>
      <w:tr>
        <w:tc>
          <w:tcPr/>
          <w:p>
            <w:pPr>
              <w:pStyle w:val="Compact"/>
              <w:jc w:val="left"/>
              <w:ind w:firstLine="0" w:right="0" w:left="0"/>
              <w:spacing w:line="240" w:before="40" w:after="40" w:lineRule="auto"/>
            </w:pPr>
            <w:r>
              <w:t xml:space="preserve">XHTML</w:t>
            </w:r>
          </w:p>
        </w:tc>
        <w:tc>
          <w:tcPr/>
          <w:p>
            <w:pPr>
              <w:pStyle w:val="Compact"/>
              <w:jc w:val="left"/>
              <w:ind w:firstLine="0" w:right="0" w:left="0"/>
              <w:spacing w:line="240" w:before="40" w:after="40" w:lineRule="auto"/>
            </w:pPr>
            <w:r>
              <w:t xml:space="preserve">Markdown text</w:t>
            </w:r>
          </w:p>
        </w:tc>
        <w:tc>
          <w:tcPr/>
          <w:p>
            <w:pPr>
              <w:pStyle w:val="Compact"/>
              <w:jc w:val="left"/>
              <w:ind w:firstLine="0" w:right="0" w:left="0"/>
              <w:spacing w:line="240" w:before="40" w:after="40" w:lineRule="auto"/>
            </w:pPr>
            <w:r>
              <w:t xml:space="preserve">Rich text preserving block and inline formatting</w:t>
            </w:r>
          </w:p>
        </w:tc>
      </w:tr>
    </w:tbl>
    <w:bookmarkEnd w:id="87"/>
    <w:bookmarkStart w:id="88" w:name="SPEC-sec5.2"/>
    <w:p>
      <w:pPr>
        <w:pStyle w:val="Heading2"/>
        <w:numPr>
          <w:ilvl w:val="1"/>
          <w:numId w:val="100"/>
        </w:numPr>
      </w:pPr>
      <w:r>
        <w:t xml:space="preserve">Enum Definitions</w:t>
      </w:r>
    </w:p>
    <w:p>
      <w:pPr>
        <w:pStyle w:val="FirstParagraph"/>
      </w:pPr>
      <w:r>
        <w:t xml:space="preserve">ENUM datatypes declare a fixed set of allowed values. Each value has a</w:t>
      </w:r>
      <w:r>
        <w:t xml:space="preserve"> </w:t>
      </w:r>
      <w:r>
        <w:rPr>
          <w:rStyle w:val="VerbatimChar"/>
        </w:rPr>
        <w:t xml:space="preserve">key</w:t>
      </w:r>
      <w:r>
        <w:t xml:space="preserve"> </w:t>
      </w:r>
      <w:r>
        <w:t xml:space="preserve">(used in CommonSpec source) and a</w:t>
      </w:r>
      <w:r>
        <w:t xml:space="preserve"> </w:t>
      </w:r>
      <w:r>
        <w:rPr>
          <w:rStyle w:val="VerbatimChar"/>
        </w:rPr>
        <w:t xml:space="preserve">sequence</w:t>
      </w:r>
      <w:r>
        <w:t xml:space="preserve"> </w:t>
      </w:r>
      <w:r>
        <w:t xml:space="preserve">(display order). For example, a status attribute might declare:</w:t>
      </w:r>
    </w:p>
    <w:p>
      <w:pPr>
        <w:pStyle w:val="SourceCode"/>
      </w:pPr>
      <w:r>
        <w:rPr>
          <w:rStyle w:val="VerbatimChar"/>
        </w:rPr>
        <w:t xml:space="preserve">values: Draft, Review, Approved, Implemented</w:t>
      </w:r>
    </w:p>
    <w:p>
      <w:pPr>
        <w:pStyle w:val="FirstParagraph"/>
      </w:pPr>
      <w:r>
        <w:t xml:space="preserve">In CommonSpec source, the author writes:</w:t>
      </w:r>
    </w:p>
    <w:p>
      <w:pPr>
        <w:pStyle w:val="SourceCode"/>
      </w:pPr>
      <w:r>
        <w:rPr>
          <w:rStyle w:val="VerbatimChar"/>
        </w:rPr>
        <w:t xml:space="preserve">&gt; status: Draft</w:t>
      </w:r>
    </w:p>
    <w:p>
      <w:pPr>
        <w:pStyle w:val="FirstParagraph"/>
      </w:pPr>
      <w:r>
        <w:t xml:space="preserve">An enum value that does not match one of the declared keys is a constraint violation.</w:t>
      </w:r>
    </w:p>
    <w:bookmarkEnd w:id="88"/>
    <w:bookmarkStart w:id="89" w:name="SPEC-sec5.3"/>
    <w:p>
      <w:pPr>
        <w:pStyle w:val="Heading2"/>
        <w:numPr>
          <w:ilvl w:val="1"/>
          <w:numId w:val="100"/>
        </w:numPr>
      </w:pPr>
      <w:r>
        <w:t xml:space="preserve">Attribute Type Declarations</w:t>
      </w:r>
    </w:p>
    <w:p>
      <w:pPr>
        <w:pStyle w:val="FirstParagraph"/>
      </w:pPr>
      <w:r>
        <w:t xml:space="preserve">Models declare which attributes each object type can have, including:</w:t>
      </w:r>
    </w:p>
    <w:p>
      <w:pPr>
        <w:numPr>
          <w:ilvl w:val="0"/>
          <w:numId w:val="1025"/>
        </w:numPr>
        <w:pStyle w:val="Compact"/>
      </w:pPr>
      <w:r>
        <w:rPr>
          <w:bCs/>
          <w:b/>
        </w:rPr>
        <w:t xml:space="preserve">name</w:t>
      </w:r>
      <w:r>
        <w:t xml:space="preserve"> </w:t>
      </w:r>
      <w:r>
        <w:t xml:space="preserve">— the attribute key as written in CommonSpec (e.g.,</w:t>
      </w:r>
      <w:r>
        <w:t xml:space="preserve"> </w:t>
      </w:r>
      <w:r>
        <w:t xml:space="preserve">“</w:t>
      </w:r>
      <w:r>
        <w:t xml:space="preserve">status</w:t>
      </w:r>
      <w:r>
        <w:t xml:space="preserve">”</w:t>
      </w:r>
      <w:r>
        <w:t xml:space="preserve">,</w:t>
      </w:r>
      <w:r>
        <w:t xml:space="preserve"> </w:t>
      </w:r>
      <w:r>
        <w:t xml:space="preserve">“</w:t>
      </w:r>
      <w:r>
        <w:t xml:space="preserve">rationale</w:t>
      </w:r>
      <w:r>
        <w:t xml:space="preserve">”</w:t>
      </w:r>
      <w:r>
        <w:t xml:space="preserve">).</w:t>
      </w:r>
    </w:p>
    <w:p>
      <w:pPr>
        <w:numPr>
          <w:ilvl w:val="0"/>
          <w:numId w:val="1025"/>
        </w:numPr>
        <w:pStyle w:val="Compact"/>
      </w:pPr>
      <w:r>
        <w:rPr>
          <w:bCs/>
          <w:b/>
        </w:rPr>
        <w:t xml:space="preserve">type</w:t>
      </w:r>
      <w:r>
        <w:t xml:space="preserve"> </w:t>
      </w:r>
      <w:r>
        <w:t xml:space="preserve">— one of the seven primitive datatypes.</w:t>
      </w:r>
    </w:p>
    <w:p>
      <w:pPr>
        <w:numPr>
          <w:ilvl w:val="0"/>
          <w:numId w:val="1025"/>
        </w:numPr>
        <w:pStyle w:val="Compact"/>
      </w:pPr>
      <w:r>
        <w:rPr>
          <w:bCs/>
          <w:b/>
        </w:rPr>
        <w:t xml:space="preserve">min_occurs</w:t>
      </w:r>
      <w:r>
        <w:t xml:space="preserve"> </w:t>
      </w:r>
      <w:r>
        <w:t xml:space="preserve">— 0 for optional, 1+ for required.</w:t>
      </w:r>
    </w:p>
    <w:p>
      <w:pPr>
        <w:numPr>
          <w:ilvl w:val="0"/>
          <w:numId w:val="1025"/>
        </w:numPr>
        <w:pStyle w:val="Compact"/>
      </w:pPr>
      <w:r>
        <w:rPr>
          <w:bCs/>
          <w:b/>
        </w:rPr>
        <w:t xml:space="preserve">max_occurs</w:t>
      </w:r>
      <w:r>
        <w:t xml:space="preserve"> </w:t>
      </w:r>
      <w:r>
        <w:t xml:space="preserve">— 1 for single-value, &gt;1 for multi-value.</w:t>
      </w:r>
    </w:p>
    <w:p>
      <w:pPr>
        <w:numPr>
          <w:ilvl w:val="0"/>
          <w:numId w:val="1025"/>
        </w:numPr>
        <w:pStyle w:val="Compact"/>
      </w:pPr>
      <w:r>
        <w:rPr>
          <w:bCs/>
          <w:b/>
        </w:rPr>
        <w:t xml:space="preserve">min_value / max_value</w:t>
      </w:r>
      <w:r>
        <w:t xml:space="preserve"> </w:t>
      </w:r>
      <w:r>
        <w:t xml:space="preserve">— bounds for INTEGER and REAL attributes.</w:t>
      </w:r>
    </w:p>
    <w:bookmarkEnd w:id="89"/>
    <w:bookmarkEnd w:id="90"/>
    <w:bookmarkStart w:id="91" w:name="SPEC-sec6"/>
    <w:p>
      <w:pPr>
        <w:pStyle w:val="Heading1"/>
        <w:numPr>
          <w:ilvl w:val="0"/>
          <w:numId w:val="100"/>
        </w:numPr>
      </w:pPr>
      <w:r>
        <w:t xml:space="preserve">Summary</w:t>
      </w:r>
    </w:p>
    <w:p>
      <w:pPr>
        <w:pStyle w:val="FirstParagraph"/>
      </w:pPr>
      <w:r>
        <w:t xml:space="preserve">CommonSpec is a six-construct extension of Markdown:</w:t>
      </w:r>
    </w:p>
    <w:p>
      <w:pPr>
        <w:numPr>
          <w:ilvl w:val="0"/>
          <w:numId w:val="1026"/>
        </w:numPr>
        <w:pStyle w:val="Compact"/>
      </w:pPr>
      <w:r>
        <w:rPr>
          <w:bCs/>
          <w:b/>
        </w:rPr>
        <w:t xml:space="preserve">Specification</w:t>
      </w:r>
      <w:r>
        <w:t xml:space="preserve"> </w:t>
      </w:r>
      <w:r>
        <w:t xml:space="preserve">(</w:t>
      </w:r>
      <w:r>
        <w:rPr>
          <w:rStyle w:val="VerbatimChar"/>
        </w:rPr>
        <w:t xml:space="preserve">#</w:t>
      </w:r>
      <w:r>
        <w:t xml:space="preserve"> </w:t>
      </w:r>
      <w:r>
        <w:t xml:space="preserve">header) — root document container.</w:t>
      </w:r>
    </w:p>
    <w:p>
      <w:pPr>
        <w:numPr>
          <w:ilvl w:val="0"/>
          <w:numId w:val="1026"/>
        </w:numPr>
        <w:pStyle w:val="Compact"/>
      </w:pPr>
      <w:r>
        <w:rPr>
          <w:bCs/>
          <w:b/>
        </w:rPr>
        <w:t xml:space="preserve">Spec Object</w:t>
      </w:r>
      <w:r>
        <w:t xml:space="preserve"> </w:t>
      </w:r>
      <w:r>
        <w:t xml:space="preserve">(</w:t>
      </w:r>
      <w:r>
        <w:rPr>
          <w:rStyle w:val="VerbatimChar"/>
        </w:rPr>
        <w:t xml:space="preserve">##</w:t>
      </w:r>
      <w:r>
        <w:t xml:space="preserve">–</w:t>
      </w:r>
      <w:r>
        <w:rPr>
          <w:rStyle w:val="VerbatimChar"/>
        </w:rPr>
        <w:t xml:space="preserve">######</w:t>
      </w:r>
      <w:r>
        <w:t xml:space="preserve"> </w:t>
      </w:r>
      <w:r>
        <w:t xml:space="preserve">headers) — traceable elements.</w:t>
      </w:r>
    </w:p>
    <w:p>
      <w:pPr>
        <w:numPr>
          <w:ilvl w:val="0"/>
          <w:numId w:val="1026"/>
        </w:numPr>
        <w:pStyle w:val="Compact"/>
      </w:pPr>
      <w:r>
        <w:rPr>
          <w:bCs/>
          <w:b/>
        </w:rPr>
        <w:t xml:space="preserve">Spec Float</w:t>
      </w:r>
      <w:r>
        <w:t xml:space="preserve"> </w:t>
      </w:r>
      <w:r>
        <w:t xml:space="preserve">(fenced code blocks with</w:t>
      </w:r>
      <w:r>
        <w:t xml:space="preserve"> </w:t>
      </w:r>
      <w:r>
        <w:rPr>
          <w:rStyle w:val="VerbatimChar"/>
        </w:rPr>
        <w:t xml:space="preserve">type:label</w:t>
      </w:r>
      <w:r>
        <w:t xml:space="preserve">) — numbered floats.</w:t>
      </w:r>
    </w:p>
    <w:p>
      <w:pPr>
        <w:numPr>
          <w:ilvl w:val="0"/>
          <w:numId w:val="1026"/>
        </w:numPr>
        <w:pStyle w:val="Compact"/>
      </w:pPr>
      <w:r>
        <w:rPr>
          <w:bCs/>
          <w:b/>
        </w:rPr>
        <w:t xml:space="preserve">Attribute</w:t>
      </w:r>
      <w:r>
        <w:t xml:space="preserve"> </w:t>
      </w:r>
      <w:r>
        <w:t xml:space="preserve">(blockquotes with</w:t>
      </w:r>
      <w:r>
        <w:t xml:space="preserve"> </w:t>
      </w:r>
      <w:r>
        <w:rPr>
          <w:rStyle w:val="VerbatimChar"/>
        </w:rPr>
        <w:t xml:space="preserve">&gt; key: value</w:t>
      </w:r>
      <w:r>
        <w:t xml:space="preserve">) — typed metadata.</w:t>
      </w:r>
    </w:p>
    <w:p>
      <w:pPr>
        <w:numPr>
          <w:ilvl w:val="0"/>
          <w:numId w:val="1026"/>
        </w:numPr>
        <w:pStyle w:val="Compact"/>
      </w:pPr>
      <w:r>
        <w:rPr>
          <w:bCs/>
          <w:b/>
        </w:rPr>
        <w:t xml:space="preserve">Spec Relation</w:t>
      </w:r>
      <w:r>
        <w:t xml:space="preserve"> </w:t>
      </w:r>
      <w:r>
        <w:t xml:space="preserve">(links with</w:t>
      </w:r>
      <w:r>
        <w:t xml:space="preserve"> </w:t>
      </w:r>
      <w:r>
        <w:rPr>
          <w:rStyle w:val="VerbatimChar"/>
        </w:rPr>
        <w:t xml:space="preserve">[target](@)</w:t>
      </w:r>
      <w:r>
        <w:t xml:space="preserve"> </w:t>
      </w:r>
      <w:r>
        <w:t xml:space="preserve">or</w:t>
      </w:r>
      <w:r>
        <w:t xml:space="preserve"> </w:t>
      </w:r>
      <w:r>
        <w:rPr>
          <w:rStyle w:val="VerbatimChar"/>
        </w:rPr>
        <w:t xml:space="preserve">[target](#)</w:t>
      </w:r>
      <w:r>
        <w:t xml:space="preserve">) — traceability links.</w:t>
      </w:r>
    </w:p>
    <w:p>
      <w:pPr>
        <w:numPr>
          <w:ilvl w:val="0"/>
          <w:numId w:val="1026"/>
        </w:numPr>
        <w:pStyle w:val="Compact"/>
      </w:pPr>
      <w:r>
        <w:rPr>
          <w:bCs/>
          <w:b/>
        </w:rPr>
        <w:t xml:space="preserve">Spec View</w:t>
      </w:r>
      <w:r>
        <w:t xml:space="preserve"> </w:t>
      </w:r>
      <w:r>
        <w:t xml:space="preserve">(inline code with</w:t>
      </w:r>
      <w:r>
        <w:t xml:space="preserve"> </w:t>
      </w:r>
      <w:r>
        <w:rPr>
          <w:rStyle w:val="VerbatimChar"/>
        </w:rPr>
        <w:t xml:space="preserve">`type:param`</w:t>
      </w:r>
      <w:r>
        <w:t xml:space="preserve">) — dynamic content.</w:t>
      </w:r>
    </w:p>
    <w:p>
      <w:pPr>
        <w:pStyle w:val="FirstParagraph"/>
      </w:pPr>
      <w:r>
        <w:t xml:space="preserve">The language is model-parameterized: the type environment determines what types, attributes, relations, and constraints are active. Any compliant processor that loads the same model will interpret the same CommonSpec document identically.</w:t>
      </w:r>
    </w:p>
    <w:bookmarkEnd w:id="91"/>
    <w:sectPr>
      <w:footerReference w:type="default" r:id="rId9200"/>
      <w:headerReference w:type="default" r:id="rId9101"/>
      <w:headerReference w:type="first" r:id="rId910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r="http://schemas.openxmlformats.org/officeDocument/2006/relationships" xmlns:w="http://schemas.openxmlformats.org/wordprocessingml/2006/main">
  <w:tbl>
    <w:tblPr>
      <w:tblW w:type="pct" w:w="5000"/>
      <w:tblBorders>
        <w:top w:val="single" w:space="1" w:color="CCCCCC" w:sz="4"/>
        <w:bottom w:val="none" w:space="0" w:color="auto" w:sz="0"/>
        <w:left w:val="none" w:space="0" w:color="auto" w:sz="0"/>
        <w:right w:val="none" w:space="0" w:color="auto" w:sz="0"/>
        <w:insideH w:val="none" w:space="0" w:color="auto" w:sz="0"/>
        <w:insideV w:val="none" w:space="0" w:color="auto" w:sz="0"/>
      </w:tblBorders>
      <w:tblLayout w:type="fixed"/>
    </w:tblPr>
    <w:tblGrid>
      <w:gridCol w:w="3009"/>
      <w:gridCol w:w="3009"/>
      <w:gridCol w:w="3009"/>
    </w:tblGrid>
    <w:tr>
      <w:tc>
        <w:tcPr>
          <w:tcW w:type="pct" w:w="1667"/>
        </w:tcPr>
        <w:p>
          <w:pPr>
            <w:pStyle w:val="Footer"/>
            <w:jc w:val="left"/>
          </w:pPr>
          <w:r>
            <w:t xml:space="preserve"/>
          </w:r>
        </w:p>
      </w:tc>
      <w:tc>
        <w:tcPr>
          <w:tcW w:type="pct" w:w="1667"/>
        </w:tcPr>
        <w:p>
          <w:pPr>
            <w:pStyle w:val="Footer"/>
            <w:jc w:val="center"/>
          </w:pPr>
          <w:r>
            <w:t xml:space="preserve"/>
          </w:r>
        </w:p>
      </w:tc>
      <w:tc>
        <w:tcPr>
          <w:tcW w:type="pct" w:w="1667"/>
        </w:tcPr>
        <w:p>
          <w:pPr>
            <w:pStyle w:val="Footer"/>
            <w:jc w:val="right"/>
          </w:pPr>
          <w:r>
            <w:t xml:space="preserve">Page </w:t>
          </w:r>
          <w:r>
            <w:fldChar w:fldCharType="begin"/>
          </w:r>
          <w:r>
            <w:instrText xml:space="preserve"> PAGE </w:instrText>
          </w:r>
          <w:r>
            <w:fldChar w:fldCharType="separate"/>
          </w:r>
          <w:r>
            <w:rPr>
              <w:noProof/>
            </w:rPr>
            <w:t>1</w:t>
          </w:r>
          <w:r>
            <w:fldChar w:fldCharType="end"/>
          </w:r>
          <w:r>
            <w:t xml:space="preserve"> of </w:t>
          </w:r>
          <w:r>
            <w:fldChar w:fldCharType="begin"/>
          </w:r>
          <w:r>
            <w:instrText xml:space="preserve"> NUMPAGES </w:instrText>
          </w:r>
          <w:r>
            <w:fldChar w:fldCharType="separate"/>
          </w:r>
          <w:r>
            <w:rPr>
              <w:noProof/>
            </w:rPr>
            <w:t>1</w:t>
          </w:r>
          <w:r>
            <w:fldChar w:fldCharType="end"/>
          </w: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http://schemas.openxmlformats.org/wordprocessingml/2006/main">
  <w:p>
    <w:pPr>
      <w:pStyle w:val="Header"/>
    </w:pPr>
  </w:p>
</w:hdr>
</file>

<file path=word/header2.xml><?xml version="1.0" encoding="utf-8"?>
<w:hdr xmlns:r="http://schemas.openxmlformats.org/officeDocument/2006/relationships" xmlns:w="http://schemas.openxmlformats.org/wordprocessingml/2006/main">
  <w:p>
    <w:pPr>
      <w:pStyle w:val="Header"/>
      <w:jc w:val="right"/>
    </w:pPr>
    <w:r>
      <w:fldChar w:fldCharType="begin"/>
    </w:r>
    <w:r>
      <w:instrText xml:space="preserve"> PAGE </w:instrText>
    </w:r>
    <w:r>
      <w:fldChar w:fldCharType="separate"/>
    </w:r>
    <w:r>
      <w:rPr>
        <w:noProof/>
      </w:rPr>
      <w:t>1</w:t>
    </w:r>
    <w:r>
      <w:fldChar w:fldCharType="end"/>
    </w:r>
  </w:p>
</w:hdr>
</file>

<file path=word/numbering.xml><?xml version="1.0" encoding="utf-8"?>
<w:numbering xmlns:w="http://schemas.openxmlformats.org/wordprocessingml/2006/main">
  <w:abstractNum w:abstractNumId="100">
    <w:nsid w:val="A0B1C2D3"/>
    <w:multiLevelType w:val="multilevel"/>
    <w:tmpl w:val="D3C2B1A0"/>
    <w:name w:val="HeadingNumbering"/>
    <w:lvl w:ilvl="0">
      <w:start w:val="1"/>
      <w:numFmt w:val="decimal"/>
      <w:pStyle w:val="Heading1"/>
      <w:suff w:val="space"/>
      <w:lvlText w:val="%1"/>
      <w:lvlJc w:val="left"/>
      <w:pPr>
        <w:ind w:hanging="0" w:left="0"/>
      </w:pPr>
    </w:lvl>
    <w:lvl w:ilvl="1">
      <w:start w:val="1"/>
      <w:numFmt w:val="decimal"/>
      <w:pStyle w:val="Heading2"/>
      <w:lvlRestart w:val="0"/>
      <w:suff w:val="space"/>
      <w:lvlText w:val="%1.%2"/>
      <w:lvlJc w:val="left"/>
      <w:pPr>
        <w:ind w:hanging="0" w:left="0"/>
      </w:pPr>
    </w:lvl>
    <w:lvl w:ilvl="2">
      <w:start w:val="1"/>
      <w:numFmt w:val="decimal"/>
      <w:pStyle w:val="Heading3"/>
      <w:lvlRestart w:val="1"/>
      <w:suff w:val="space"/>
      <w:lvlText w:val="%1.%2.%3"/>
      <w:lvlJc w:val="left"/>
      <w:pPr>
        <w:ind w:hanging="0" w:left="0"/>
      </w:pPr>
    </w:lvl>
    <w:lvl w:ilvl="3">
      <w:start w:val="1"/>
      <w:numFmt w:val="decimal"/>
      <w:pStyle w:val="Heading4"/>
      <w:lvlRestart w:val="2"/>
      <w:suff w:val="space"/>
      <w:lvlText w:val="%1.%2.%3.%4"/>
      <w:lvlJc w:val="left"/>
      <w:pPr>
        <w:ind w:hanging="0" w:left="0"/>
      </w:pPr>
    </w:lvl>
    <w:lvl w:ilvl="4">
      <w:start w:val="1"/>
      <w:numFmt w:val="decimal"/>
      <w:pStyle w:val="Heading5"/>
      <w:lvlRestart w:val="3"/>
      <w:suff w:val="space"/>
      <w:lvlText w:val="%1.%2.%3.%4.%5"/>
      <w:lvlJc w:val="left"/>
      <w:pPr>
        <w:ind w:hanging="0" w:left="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0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ageBreakBefore/>
    </w:pPr>
    <w:rPr>
      <w:rFonts w:asciiTheme="majorHAnsi" w:cstheme="majorBidi" w:eastAsiaTheme="majorEastAsia" w:hAnsiTheme="majorHAnsi"/>
      <w:b/>
      <w:bCs/>
      <w:color w:themeColor="accent1"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styleId="SpecObjectHeader" w:customStyle="1" w:type="paragraph">
    <w:name w:val="Spec Object Header"/>
    <w:basedOn w:val="Normal"/>
    <w:next w:val="FirstParagraph"/>
    <w:qFormat/>
    <w:pPr>
      <w:keepNext/>
      <w:spacing w:line="276" w:before="280" w:after="120" w:lineRule="auto"/>
      <w:outlineLvl w:val="0"/>
    </w:pPr>
    <w:rPr>
      <w:rFonts w:ascii="Calibri Light" w:cs="Calibri Light" w:hAnsi="Calibri Light"/>
      <w:b/>
      <w:bCs/>
      <w:color w:val="0F4C64"/>
      <w:sz w:val="32"/>
      <w:szCs w:val="32"/>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34" Target="media/rId34.png"/><Relationship Type="http://schemas.openxmlformats.org/officeDocument/2006/relationships/image" Id="rId72" Target="media/rId72.png"/><Relationship Type="http://schemas.openxmlformats.org/officeDocument/2006/relationships/image" Id="rId27" Target="media/rId27.png"/><Relationship Type="http://schemas.openxmlformats.org/officeDocument/2006/relationships/image" Id="rId52" Target="media/rId52.png"/><Relationship Type="http://schemas.openxmlformats.org/officeDocument/2006/relationships/image" Id="rId44" Target="media/rId44.png"/><Relationship Type="http://schemas.openxmlformats.org/officeDocument/2006/relationships/image" Id="rId62" Target="media/rId62.png"/><Relationship Type="http://schemas.openxmlformats.org/officeDocument/2006/relationships/header" Id="rId9100" Target="header1.xml"/><Relationship Type="http://schemas.openxmlformats.org/officeDocument/2006/relationships/header" Id="rId9101" Target="header2.xml"/><Relationship Type="http://schemas.openxmlformats.org/officeDocument/2006/relationships/footer" Id="rId9200"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2026-10-22T00:18:59Z</dcterms:created>
  <dcterms:modified xsi:type="dcterms:W3CDTF">2026-10-22T00:18:59Z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ies>
</file>