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158.png" ContentType="image/png"/>
  <Override PartName="/word/media/rId147.png" ContentType="image/png"/>
  <Override PartName="/word/media/rId100.png" ContentType="image/png"/>
  <Override PartName="/word/media/rId113.png" ContentType="image/png"/>
  <Override PartName="/word/media/rId43.png" ContentType="image/png"/>
  <Override PartName="/word/media/rId23.png" ContentType="image/png"/>
  <Override PartName="/word/media/rId31.png" ContentType="image/png"/>
  <Override PartName="/word/media/rId85.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8"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after="0" w:lineRule="exact" w:line="20" w:before="0"/>
        <w:rPr>
          <w:sz w:val="2"/>
        </w:rPr>
      </w:pPr>
      <w:bookmarkStart w:name="puml-comp-pipeline" w:id="73432"/>
      <w:bookmarkEnd w:id="73432"/>
    </w:p>
    <w:p>
      <w:pPr>
        <w:pStyle w:val="BodyText"/>
      </w:pPr>
      <w:r>
        <w:drawing>
          <wp:inline>
            <wp:extent cx="5334000" cy="2750695"/>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50695"/>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r>
              <w:t xml:space="preserve">, </w:t>
            </w:r>
            <w:hyperlink w:anchor="CSU-165">
              <w:r>
                <w:rPr>
                  <w:rStyle w:val="Hyperlink"/>
                </w:rPr>
                <w:t xml:space="preserve">CSU-165 Relation Lookup</w:t>
              </w:r>
            </w:hyperlink>
            <w:r>
              <w:t xml:space="preserve">, </w:t>
            </w:r>
            <w:hyperlink w:anchor="CSU-166">
              <w:r>
                <w:rPr>
                  <w:rStyle w:val="Hyperlink"/>
                </w:rPr>
                <w:t xml:space="preserve">CSU-166 Source Links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after="0" w:lineRule="exact" w:line="20" w:before="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81614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81614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after="0" w:lineRule="exact" w:line="20" w:before="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after="0" w:lineRule="exact" w:line="20" w:before="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r>
        <w:tc>
          <w:tcPr/>
          <w:p>
            <w:pPr>
              <w:pStyle w:val="Compact"/>
              <w:jc w:val="left"/>
            </w:pPr>
            <w:r>
              <w:t xml:space="preserve">format_link</w:t>
            </w:r>
          </w:p>
        </w:tc>
        <w:tc>
          <w:tcPr/>
          <w:p>
            <w:pPr>
              <w:pStyle w:val="Compact"/>
              <w:jc w:val="left"/>
            </w:pPr>
            <w:r>
              <w:t xml:space="preserve">data context with</w:t>
            </w:r>
            <w:r>
              <w:t xml:space="preserve"> </w:t>
            </w:r>
            <w:r>
              <w:rPr>
                <w:rStyle w:val="VerbatimChar"/>
              </w:rPr>
              <w:t xml:space="preserve">subject.href</w:t>
            </w:r>
            <w:r>
              <w:t xml:space="preserve"> </w:t>
            </w:r>
            <w:r>
              <w:t xml:space="preserve">and</w:t>
            </w:r>
            <w:r>
              <w:t xml:space="preserve"> </w:t>
            </w:r>
            <w:r>
              <w:rPr>
                <w:rStyle w:val="VerbatimChar"/>
              </w:rPr>
              <w:t xml:space="preserve">subject.display_text</w:t>
            </w:r>
          </w:p>
        </w:tc>
        <w:tc>
          <w:tcPr/>
          <w:p>
            <w:pPr>
              <w:pStyle w:val="Compact"/>
              <w:jc w:val="left"/>
            </w:pPr>
            <w:r>
              <w:t xml:space="preserve">link in the float source’s native syntax (string)</w:t>
            </w:r>
          </w:p>
        </w:tc>
      </w:tr>
      <w:tr>
        <w:tc>
          <w:tcPr/>
          <w:p>
            <w:pPr>
              <w:pStyle w:val="Compact"/>
              <w:jc w:val="left"/>
            </w:pPr>
            <w:r>
              <w:t xml:space="preserve">mask_comments</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source with comments blanked, same length and newlines (string)</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after="0" w:lineRule="exact" w:line="20" w:before="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after="0" w:lineRule="exact" w:line="20" w:before="0"/>
        <w:rPr>
          <w:sz w:val="2"/>
        </w:rPr>
      </w:pPr>
      <w:bookmarkStart w:name="SpecIR-puml-er-SpecIR-core" w:id="32777"/>
      <w:bookmarkEnd w:id="32777"/>
    </w:p>
    <w:p>
      <w:pPr>
        <w:pStyle w:val="BodyText"/>
      </w:pPr>
      <w:r>
        <w:drawing>
          <wp:inline>
            <wp:extent cx="5334000" cy="5617761"/>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7761"/>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after="0" w:lineRule="exact" w:line="20" w:before="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8147586"/>
            <wp:effectExtent b="0" l="0" r="0" t="0"/>
            <wp:docPr descr="" title="" id="57" name="Picture"/>
            <a:graphic>
              <a:graphicData uri="http://schemas.openxmlformats.org/drawingml/2006/picture">
                <pic:pic>
                  <pic:nvPicPr>
                    <pic:cNvPr descr="diagrams/0181d4ba48c293fa768564e315260f7d662596f8.png" id="58" name="Picture"/>
                    <pic:cNvPicPr>
                      <a:picLocks noChangeArrowheads="1" noChangeAspect="1"/>
                    </pic:cNvPicPr>
                  </pic:nvPicPr>
                  <pic:blipFill>
                    <a:blip r:embed="rId56"/>
                    <a:stretch>
                      <a:fillRect/>
                    </a:stretch>
                  </pic:blipFill>
                  <pic:spPr bwMode="auto">
                    <a:xfrm>
                      <a:off x="0" y="0"/>
                      <a:ext cx="5334000" cy="81475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a Pandoc BlockQuote whose first paragraph matches</w:t>
      </w:r>
      <w:r>
        <w:t xml:space="preserve"> </w:t>
      </w:r>
      <w:r>
        <w:rPr>
          <w:rStyle w:val="VerbatimChar"/>
        </w:rPr>
        <w:t xml:space="preserve">&gt; key: value</w:t>
      </w:r>
      <w:r>
        <w:t xml:space="preserve"> </w:t>
      </w:r>
      <w:r>
        <w:t xml:space="preserve">and</w:t>
      </w:r>
      <w:r>
        <w:t xml:space="preserve"> </w:t>
      </w:r>
      <w:r>
        <w:t xml:space="preserve">whose key is a declared attribute of the enclosing object’s type (own or</w:t>
      </w:r>
      <w:r>
        <w:t xml:space="preserve"> </w:t>
      </w:r>
      <w:r>
        <w:t xml:space="preserve">inherited, case-insensitive),</w:t>
      </w:r>
      <w:r>
        <w:t xml:space="preserve"> </w:t>
      </w:r>
      <w:hyperlink w:anchor="CSU-044">
        <w:r>
          <w:rPr>
            <w:rStyle w:val="Hyperlink"/>
          </w:rPr>
          <w:t xml:space="preserve">CSU Attribute Parser</w:t>
        </w:r>
      </w:hyperlink>
      <w:r>
        <w:t xml:space="preserve"> </w:t>
      </w:r>
      <w:r>
        <w:t xml:space="preserve">shall insert exactly ONE</w:t>
      </w:r>
      <w:r>
        <w:t xml:space="preserve"> </w:t>
      </w:r>
      <w:hyperlink r:id="rId74">
        <w:r>
          <w:rPr>
            <w:rStyle w:val="Hyperlink"/>
          </w:rPr>
          <w:t xml:space="preserve">&lt;Attribute&gt;</w:t>
        </w:r>
      </w:hyperlink>
      <w:r>
        <w:t xml:space="preserve"> </w:t>
      </w:r>
      <w:r>
        <w:t xml:space="preserve">record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 with every later line or paragraph</w:t>
      </w:r>
      <w:r>
        <w:t xml:space="preserve"> </w:t>
      </w:r>
      <w:r>
        <w:t xml:space="preserve">of the same BlockQuote continuing that attribute’s value. A BlockQuote with an</w:t>
      </w:r>
      <w:r>
        <w:t xml:space="preserve"> </w:t>
      </w:r>
      <w:r>
        <w:t xml:space="preserve">undeclared key shall remain plain prose and raise an</w:t>
      </w:r>
      <w:r>
        <w:t xml:space="preserve"> </w:t>
      </w:r>
      <w:r>
        <w:rPr>
          <w:rStyle w:val="VerbatimChar"/>
        </w:rPr>
        <w:t xml:space="preserve">unknown_attribute</w:t>
      </w:r>
      <w:r>
        <w:t xml:space="preserve"> </w:t>
      </w:r>
      <w:r>
        <w:t xml:space="preserve">warning; specification-level BlockQuotes (owner is the specification) are</w:t>
      </w:r>
      <w:r>
        <w:t xml:space="preserve"> </w:t>
      </w:r>
      <w:r>
        <w:t xml:space="preserve">stored permissively, with an</w:t>
      </w:r>
      <w:r>
        <w:t xml:space="preserve"> </w:t>
      </w:r>
      <w:r>
        <w:rPr>
          <w:rStyle w:val="VerbatimChar"/>
        </w:rPr>
        <w:t xml:space="preserve">unknown_spec_attribute</w:t>
      </w:r>
      <w:r>
        <w:t xml:space="preserve"> </w:t>
      </w:r>
      <w:r>
        <w:t xml:space="preserve">warning for keys not</w:t>
      </w:r>
      <w:r>
        <w:t xml:space="preserve"> </w:t>
      </w:r>
      <w:r>
        <w:t xml:space="preserve">declared on the specification’s type.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after="0" w:lineRule="exact" w:line="20" w:before="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after="0" w:lineRule="exact" w:line="20" w:before="0"/>
        <w:rPr>
          <w:sz w:val="2"/>
        </w:rPr>
      </w:pPr>
      <w:bookmarkStart w:name="FD-002-puml-seq-type-loading" w:id="60599"/>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6232"/>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623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after="0" w:lineRule="exact" w:line="20" w:before="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160729"/>
            <wp:effectExtent b="0" l="0" r="0" t="0"/>
            <wp:docPr descr="" title="" id="101" name="Picture"/>
            <a:graphic>
              <a:graphicData uri="http://schemas.openxmlformats.org/drawingml/2006/picture">
                <pic:pic>
                  <pic:nvPicPr>
                    <pic:cNvPr descr="diagrams/8de4930d94821238b55e2b55e9456f94b6350a83.png" id="102" name="Picture"/>
                    <pic:cNvPicPr>
                      <a:picLocks noChangeArrowheads="1" noChangeAspect="1"/>
                    </pic:cNvPicPr>
                  </pic:nvPicPr>
                  <pic:blipFill>
                    <a:blip r:embed="rId100"/>
                    <a:stretch>
                      <a:fillRect/>
                    </a:stretch>
                  </pic:blipFill>
                  <pic:spPr bwMode="auto">
                    <a:xfrm>
                      <a:off x="0" y="0"/>
                      <a:ext cx="5334000" cy="5160729"/>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30"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 Links inside diagram float source are resolved through</w:t>
      </w:r>
      <w:r>
        <w:t xml:space="preserve"> </w:t>
      </w:r>
      <w:hyperlink w:anchor="CSU-165">
        <w:r>
          <w:rPr>
            <w:rStyle w:val="Hyperlink"/>
          </w:rPr>
          <w:t xml:space="preserve">Relation Lookup</w:t>
        </w:r>
      </w:hyperlink>
      <w:r>
        <w:t xml:space="preserve"> </w:t>
      </w:r>
      <w:r>
        <w:t xml:space="preserve">(Relation Lookup) and</w:t>
      </w:r>
      <w:r>
        <w:t xml:space="preserve"> </w:t>
      </w:r>
      <w:hyperlink w:anchor="CSU-166">
        <w:r>
          <w:rPr>
            <w:rStyle w:val="Hyperlink"/>
          </w:rPr>
          <w:t xml:space="preserve">Source Links</w:t>
        </w:r>
      </w:hyperlink>
      <w:r>
        <w:t xml:space="preserve"> </w:t>
      </w:r>
      <w:r>
        <w:t xml:space="preserve">(Source Links)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 Before preparing a task for a float type</w:t>
      </w:r>
      <w:r>
        <w:t xml:space="preserve"> </w:t>
      </w:r>
      <w:r>
        <w:t xml:space="preserve">that declares a</w:t>
      </w:r>
      <w:r>
        <w:t xml:space="preserve"> </w:t>
      </w:r>
      <w:r>
        <w:rPr>
          <w:rStyle w:val="VerbatimChar"/>
        </w:rPr>
        <w:t xml:space="preserve">format_link</w:t>
      </w:r>
      <w:r>
        <w:t xml:space="preserve"> </w:t>
      </w:r>
      <w:r>
        <w:t xml:space="preserve">hook, it lowers the CommonSpec links in the float source into</w:t>
      </w:r>
      <w:r>
        <w:t xml:space="preserve"> </w:t>
      </w:r>
      <w:r>
        <w:t xml:space="preserve">the type’s native hyperlink syntax (see Diagram Hyperlinks below).</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Diagram Hyperlinks</w:t>
      </w:r>
      <w:r>
        <w:t xml:space="preserve">: CommonSpec links written inside a diagram float’s source</w:t>
      </w:r>
      <w:r>
        <w:t xml:space="preserve"> </w:t>
      </w:r>
      <w:r>
        <w:t xml:space="preserve">(e.g.</w:t>
      </w:r>
      <w:r>
        <w:t xml:space="preserve"> </w:t>
      </w:r>
      <w:r>
        <w:rPr>
          <w:rStyle w:val="VerbatimChar"/>
        </w:rPr>
        <w:t xml:space="preserve">Foo --&gt; Bar : see [SEC-2](@)</w:t>
      </w:r>
      <w:r>
        <w:t xml:space="preserve"> </w:t>
      </w:r>
      <w:r>
        <w:t xml:space="preserve">in a PlantUML block) travel the same relation path as</w:t>
      </w:r>
      <w:r>
        <w:t xml:space="preserve"> </w:t>
      </w:r>
      <w:r>
        <w:t xml:space="preserve">body links.</w:t>
      </w:r>
      <w:r>
        <w:t xml:space="preserve"> </w:t>
      </w:r>
      <w:hyperlink w:anchor="CSU-048">
        <w:r>
          <w:rPr>
            <w:rStyle w:val="Hyperlink"/>
          </w:rPr>
          <w:t xml:space="preserve">Relation Parser</w:t>
        </w:r>
      </w:hyperlink>
      <w:r>
        <w:t xml:space="preserve"> </w:t>
      </w:r>
      <w:r>
        <w:t xml:space="preserve">registers them in INITIALIZE as links of the float’s parent object,</w:t>
      </w:r>
      <w:r>
        <w:t xml:space="preserve"> </w:t>
      </w:r>
      <w:r>
        <w:t xml:space="preserve">using</w:t>
      </w:r>
      <w:r>
        <w:t xml:space="preserve"> </w:t>
      </w:r>
      <w:hyperlink w:anchor="CSU-166">
        <w:r>
          <w:rPr>
            <w:rStyle w:val="Hyperlink"/>
          </w:rPr>
          <w:t xml:space="preserve">Source Links</w:t>
        </w:r>
      </w:hyperlink>
      <w:r>
        <w:t xml:space="preserve"> </w:t>
      </w:r>
      <w:r>
        <w:t xml:space="preserve">to find them in the raw text. The type’s optional</w:t>
      </w:r>
      <w:r>
        <w:t xml:space="preserve"> </w:t>
      </w:r>
      <w:r>
        <w:rPr>
          <w:rStyle w:val="VerbatimChar"/>
        </w:rPr>
        <w:t xml:space="preserve">mask_comments</w:t>
      </w:r>
      <w:r>
        <w:t xml:space="preserve"> </w:t>
      </w:r>
      <w:r>
        <w:t xml:space="preserve">hook</w:t>
      </w:r>
      <w:r>
        <w:t xml:space="preserve"> </w:t>
      </w:r>
      <w:r>
        <w:t xml:space="preserve">blanks the tool’s comments first, and a link preceded by</w:t>
      </w:r>
      <w:r>
        <w:t xml:space="preserve"> </w:t>
      </w:r>
      <w:r>
        <w:rPr>
          <w:rStyle w:val="VerbatimChar"/>
        </w:rPr>
        <w:t xml:space="preserve">~</w:t>
      </w:r>
      <w:r>
        <w:t xml:space="preserve"> </w:t>
      </w:r>
      <w:r>
        <w:t xml:space="preserve">is literal text. RESOLVE treats</w:t>
      </w:r>
      <w:r>
        <w:t xml:space="preserve"> </w:t>
      </w:r>
      <w:r>
        <w:t xml:space="preserve">the links like any other link. In TRANSFORM,</w:t>
      </w:r>
      <w:r>
        <w:t xml:space="preserve"> </w:t>
      </w:r>
      <w:hyperlink w:anchor="CSU-060">
        <w:r>
          <w:rPr>
            <w:rStyle w:val="Hyperlink"/>
          </w:rPr>
          <w:t xml:space="preserve">External Render Handler</w:t>
        </w:r>
      </w:hyperlink>
      <w:r>
        <w:t xml:space="preserve"> </w:t>
      </w:r>
      <w:r>
        <w:t xml:space="preserve">looks each link up in</w:t>
      </w:r>
      <w:r>
        <w:t xml:space="preserve"> </w:t>
      </w:r>
      <w:hyperlink w:anchor="CSU-165">
        <w:r>
          <w:rPr>
            <w:rStyle w:val="Hyperlink"/>
          </w:rPr>
          <w:t xml:space="preserve">Relation Lookup</w:t>
        </w:r>
      </w:hyperlink>
      <w:r>
        <w:t xml:space="preserve"> </w:t>
      </w:r>
      <w:r>
        <w:t xml:space="preserve">(the lookup that</w:t>
      </w:r>
      <w:r>
        <w:t xml:space="preserve"> </w:t>
      </w:r>
      <w:hyperlink w:anchor="CSU-162">
        <w:r>
          <w:rPr>
            <w:rStyle w:val="Hyperlink"/>
          </w:rPr>
          <w:t xml:space="preserve">Relation Link Rewriter</w:t>
        </w:r>
      </w:hyperlink>
      <w:r>
        <w:t xml:space="preserve"> </w:t>
      </w:r>
      <w:r>
        <w:t xml:space="preserve">uses for body links) and replaces it with the output of the</w:t>
      </w:r>
      <w:r>
        <w:t xml:space="preserve"> </w:t>
      </w:r>
      <w:r>
        <w:t xml:space="preserve">type’s</w:t>
      </w:r>
      <w:r>
        <w:t xml:space="preserve"> </w:t>
      </w:r>
      <w:r>
        <w:rPr>
          <w:rStyle w:val="VerbatimChar"/>
        </w:rPr>
        <w:t xml:space="preserve">format_link</w:t>
      </w:r>
      <w:r>
        <w:t xml:space="preserve"> </w:t>
      </w:r>
      <w:r>
        <w:t xml:space="preserve">hook. PlantUML (</w:t>
      </w:r>
      <w:hyperlink w:anchor="CSU-112">
        <w:r>
          <w:rPr>
            <w:rStyle w:val="Hyperlink"/>
          </w:rPr>
          <w:t xml:space="preserve">PLANTUML Float Type</w:t>
        </w:r>
      </w:hyperlink>
      <w:r>
        <w:t xml:space="preserve">) emits</w:t>
      </w:r>
      <w:r>
        <w:t xml:space="preserve"> </w:t>
      </w:r>
      <w:r>
        <w:rPr>
          <w:rStyle w:val="VerbatimChar"/>
        </w:rPr>
        <w:t xml:space="preserve">[[href{tooltip} label]]</w:t>
      </w:r>
      <w:r>
        <w:t xml:space="preserve"> </w:t>
      </w:r>
      <w:r>
        <w:t xml:space="preserve">and</w:t>
      </w:r>
      <w:r>
        <w:t xml:space="preserve"> </w:t>
      </w:r>
      <w:r>
        <w:t xml:space="preserve">renders the rewritten source to PNG and then SVG. In EMIT,</w:t>
      </w:r>
      <w:r>
        <w:t xml:space="preserve"> </w:t>
      </w:r>
      <w:hyperlink w:anchor="CSU-040">
        <w:r>
          <w:rPr>
            <w:rStyle w:val="Hyperlink"/>
          </w:rPr>
          <w:t xml:space="preserve">Float Resolver</w:t>
        </w:r>
      </w:hyperlink>
      <w:r>
        <w:t xml:space="preserve"> </w:t>
      </w:r>
      <w:r>
        <w:t xml:space="preserve">and</w:t>
      </w:r>
      <w:r>
        <w:t xml:space="preserve"> </w:t>
      </w:r>
      <w:hyperlink w:anchor="CSU-035">
        <w:r>
          <w:rPr>
            <w:rStyle w:val="Hyperlink"/>
          </w:rPr>
          <w:t xml:space="preserve">Float Emitter</w:t>
        </w:r>
      </w:hyperlink>
      <w:r>
        <w:t xml:space="preserve"> </w:t>
      </w:r>
      <w:r>
        <w:t xml:space="preserve">keep the float as the PNG image and add the SVG path as the image’s</w:t>
      </w:r>
      <w:r>
        <w:t xml:space="preserve"> </w:t>
      </w:r>
      <w:r>
        <w:rPr>
          <w:rStyle w:val="VerbatimChar"/>
        </w:rPr>
        <w:t xml:space="preserve">svg</w:t>
      </w:r>
      <w:r>
        <w:t xml:space="preserve"> </w:t>
      </w:r>
      <w:r>
        <w:t xml:space="preserve">attribute.</w:t>
      </w:r>
      <w:r>
        <w:t xml:space="preserve"> </w:t>
      </w:r>
      <w:hyperlink w:anchor="CSU-037">
        <w:r>
          <w:rPr>
            <w:rStyle w:val="Hyperlink"/>
          </w:rPr>
          <w:t xml:space="preserve">Emitter Orchestrator</w:t>
        </w:r>
      </w:hyperlink>
      <w:r>
        <w:t xml:space="preserve"> </w:t>
      </w:r>
      <w:r>
        <w:t xml:space="preserve">removes that attribute for every non-HTML format, and the HTML filter</w:t>
      </w:r>
      <w:r>
        <w:t xml:space="preserve"> </w:t>
      </w:r>
      <w:r>
        <w:t xml:space="preserve">(</w:t>
      </w:r>
      <w:hyperlink w:anchor="CSU-084">
        <w:r>
          <w:rPr>
            <w:rStyle w:val="Hyperlink"/>
          </w:rPr>
          <w:t xml:space="preserve">HTML Filter</w:t>
        </w:r>
      </w:hyperlink>
      <w:r>
        <w:t xml:space="preserve">) replaces the image with the inline SVG so its anchors navigate.</w:t>
      </w:r>
      <w:r>
        <w:t xml:space="preserve"> </w:t>
      </w:r>
      <w:r>
        <w:t xml:space="preserve">The rationale is recorded in</w:t>
      </w:r>
      <w:r>
        <w:t xml:space="preserve"> </w:t>
      </w:r>
      <w:hyperlink w:anchor="DD-CORE-008">
        <w:r>
          <w:rPr>
            <w:rStyle w:val="Hyperlink"/>
          </w:rPr>
          <w:t xml:space="preserve">Diagram Links Lowered to Native Hyperlink Syntax</w:t>
        </w:r>
      </w:hyperlink>
      <w:r>
        <w:t xml:space="preserve">.</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after="0" w:lineRule="exact" w:line="20" w:before="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7199904"/>
            <wp:effectExtent b="0" l="0" r="0" t="0"/>
            <wp:docPr descr="" title="" id="114" name="Picture"/>
            <a:graphic>
              <a:graphicData uri="http://schemas.openxmlformats.org/drawingml/2006/picture">
                <pic:pic>
                  <pic:nvPicPr>
                    <pic:cNvPr descr="diagrams/a6cd6cc161162f661bc67951623848fbd822c422.png" id="115" name="Picture"/>
                    <pic:cNvPicPr>
                      <a:picLocks noChangeArrowheads="1" noChangeAspect="1"/>
                    </pic:cNvPicPr>
                  </pic:nvPicPr>
                  <pic:blipFill>
                    <a:blip r:embed="rId113"/>
                    <a:stretch>
                      <a:fillRect/>
                    </a:stretch>
                  </pic:blipFill>
                  <pic:spPr bwMode="auto">
                    <a:xfrm>
                      <a:off x="0" y="0"/>
                      <a:ext cx="5334000" cy="719990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OUT-013-01" w:id="93303"/>
      <w:r>
        <w:t xml:space="preserve">LLR-OUT-013-01: Diagram Source Link Registration</w:t>
      </w:r>
      <w:bookmarkEnd w:id="93303"/>
    </w:p>
    <w:p>
      <w:pPr>
        <w:pStyle w:val="SpecObjectBody"/>
      </w:pPr>
      <w:r>
        <w:t xml:space="preserve">Given a</w:t>
      </w:r>
      <w:r>
        <w:t xml:space="preserve"> </w:t>
      </w:r>
      <w:hyperlink r:id="rId75">
        <w:r>
          <w:rPr>
            <w:rStyle w:val="Hyperlink"/>
          </w:rPr>
          <w:t xml:space="preserve">&lt;Spec Float&gt;</w:t>
        </w:r>
      </w:hyperlink>
      <w:r>
        <w:t xml:space="preserve"> </w:t>
      </w:r>
      <w:r>
        <w:t xml:space="preserve">whose type resolves a</w:t>
      </w:r>
      <w:r>
        <w:t xml:space="preserve"> </w:t>
      </w:r>
      <w:r>
        <w:rPr>
          <w:rStyle w:val="VerbatimChar"/>
        </w:rPr>
        <w:t xml:space="preserve">format_link</w:t>
      </w:r>
      <w:r>
        <w:t xml:space="preserve"> </w:t>
      </w:r>
      <w:r>
        <w:t xml:space="preserve">hook through its</w:t>
      </w:r>
      <w:r>
        <w:t xml:space="preserve"> </w:t>
      </w:r>
      <w:r>
        <w:rPr>
          <w:rStyle w:val="VerbatimChar"/>
        </w:rPr>
        <w:t xml:space="preserve">extends</w:t>
      </w:r>
      <w:r>
        <w:t xml:space="preserve"> </w:t>
      </w:r>
      <w:r>
        <w:t xml:space="preserve">chain and that has a parent object,</w:t>
      </w:r>
      <w:r>
        <w:t xml:space="preserve"> </w:t>
      </w:r>
      <w:hyperlink w:anchor="CSU-048">
        <w:r>
          <w:rPr>
            <w:rStyle w:val="Hyperlink"/>
          </w:rPr>
          <w:t xml:space="preserve">CSU Relation Parser</w:t>
        </w:r>
      </w:hyperlink>
      <w:r>
        <w:t xml:space="preserve"> </w:t>
      </w:r>
      <w:r>
        <w:t xml:space="preserve">shall scan the float’s raw source with</w:t>
      </w:r>
      <w:r>
        <w:t xml:space="preserve"> </w:t>
      </w:r>
      <w:hyperlink w:anchor="CSU-166">
        <w:r>
          <w:rPr>
            <w:rStyle w:val="Hyperlink"/>
          </w:rPr>
          <w:t xml:space="preserve">CSU Source Links</w:t>
        </w:r>
      </w:hyperlink>
      <w:r>
        <w:t xml:space="preserve">. It shall insert one</w:t>
      </w:r>
      <w:r>
        <w:t xml:space="preserve"> </w:t>
      </w:r>
      <w:r>
        <w:rPr>
          <w:rStyle w:val="VerbatimChar"/>
        </w:rPr>
        <w:t xml:space="preserve">spec_relations</w:t>
      </w:r>
      <w:r>
        <w:t xml:space="preserve"> </w:t>
      </w:r>
      <w:r>
        <w:t xml:space="preserve">row per distinct (selector, link text) pair, with the parent object as source, a NULL source attribute, the float’s source file, and a link line equal to the fence line plus the link’s 1-based line within the content. A link matches only when its text contains no bracket or newline and its selector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A link preceded by</w:t>
      </w:r>
      <w:r>
        <w:t xml:space="preserve"> </w:t>
      </w:r>
      <w:r>
        <w:rPr>
          <w:rStyle w:val="VerbatimChar"/>
        </w:rPr>
        <w:t xml:space="preserve">~</w:t>
      </w:r>
      <w:r>
        <w:t xml:space="preserve"> </w:t>
      </w:r>
      <w:r>
        <w:t xml:space="preserve">(PlantUML’s escape) is literal text and shall not match. When the type also resolves a</w:t>
      </w:r>
      <w:r>
        <w:t xml:space="preserve"> </w:t>
      </w:r>
      <w:r>
        <w:rPr>
          <w:rStyle w:val="VerbatimChar"/>
        </w:rPr>
        <w:t xml:space="preserve">mask_comments</w:t>
      </w:r>
      <w:r>
        <w:t xml:space="preserve"> </w:t>
      </w:r>
      <w:r>
        <w:t xml:space="preserve">hook, the scan shall run on its result, so links inside the diagram tool’s comments are not registered, as Markdown ignores links in HTML comments. Floats without a parent object shall be skipped.</w:t>
      </w:r>
    </w:p>
    <w:p>
      <w:pPr>
        <w:pStyle w:val="DefinitionTerm"/>
      </w:pPr>
      <w:r>
        <w:rPr>
          <w:bCs/>
          <w:b/>
        </w:rPr>
        <w:t xml:space="preserve">TRACEABILITY:</w:t>
      </w:r>
    </w:p>
    <w:p>
      <w:pPr>
        <w:pStyle w:val="Definition"/>
      </w:pPr>
      <w:hyperlink r:id="rId129">
        <w:r>
          <w:rPr>
            <w:rStyle w:val="Hyperlink"/>
          </w:rPr>
          <w:t xml:space="preserve">srs: HLR-OUT-008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OUT-013-02" w:id="93304"/>
      <w:r>
        <w:t xml:space="preserve">LLR-OUT-013-02: Diagram Link Lowering Before Render</w:t>
      </w:r>
      <w:bookmarkEnd w:id="93304"/>
    </w:p>
    <w:p>
      <w:pPr>
        <w:pStyle w:val="SpecObjectBody"/>
      </w:pPr>
      <w:r>
        <w:t xml:space="preserve">Given a float whose type declares</w:t>
      </w:r>
      <w:r>
        <w:t xml:space="preserve"> </w:t>
      </w:r>
      <w:r>
        <w:rPr>
          <w:rStyle w:val="VerbatimChar"/>
        </w:rPr>
        <w:t xml:space="preserve">format_link</w:t>
      </w:r>
      <w:r>
        <w:t xml:space="preserve">,</w:t>
      </w:r>
      <w:r>
        <w:t xml:space="preserve"> </w:t>
      </w:r>
      <w:hyperlink w:anchor="CSU-060">
        <w:r>
          <w:rPr>
            <w:rStyle w:val="Hyperlink"/>
          </w:rPr>
          <w:t xml:space="preserve">CSU External Render Handler</w:t>
        </w:r>
      </w:hyperlink>
      <w:r>
        <w:t xml:space="preserve"> </w:t>
      </w:r>
      <w:r>
        <w:t xml:space="preserve">shall run after float numbering. Before calling</w:t>
      </w:r>
      <w:r>
        <w:t xml:space="preserve"> </w:t>
      </w:r>
      <w:r>
        <w:rPr>
          <w:rStyle w:val="VerbatimChar"/>
        </w:rPr>
        <w:t xml:space="preserve">prepare_task</w:t>
      </w:r>
      <w:r>
        <w:t xml:space="preserve">, it shall replace each link in the float source with the return value of</w:t>
      </w:r>
      <w:r>
        <w:t xml:space="preserve"> </w:t>
      </w:r>
      <w:r>
        <w:rPr>
          <w:rStyle w:val="VerbatimChar"/>
        </w:rPr>
        <w:t xml:space="preserve">format_link</w:t>
      </w:r>
      <w:r>
        <w:t xml:space="preserve">. The hook receives</w:t>
      </w:r>
      <w:r>
        <w:t xml:space="preserve"> </w:t>
      </w:r>
      <w:r>
        <w:rPr>
          <w:rStyle w:val="VerbatimChar"/>
        </w:rPr>
        <w:t xml:space="preserve">subject.href</w:t>
      </w:r>
      <w:r>
        <w:t xml:space="preserve"> </w:t>
      </w:r>
      <w:r>
        <w:t xml:space="preserve">and</w:t>
      </w:r>
      <w:r>
        <w:t xml:space="preserve"> </w:t>
      </w:r>
      <w:r>
        <w:rPr>
          <w:rStyle w:val="VerbatimChar"/>
        </w:rPr>
        <w:t xml:space="preserve">subject.display_text</w:t>
      </w:r>
      <w:r>
        <w:t xml:space="preserve"> </w:t>
      </w:r>
      <w:r>
        <w:t xml:space="preserve">from</w:t>
      </w:r>
      <w:r>
        <w:t xml:space="preserve"> </w:t>
      </w:r>
      <w:hyperlink w:anchor="CSU-165">
        <w:r>
          <w:rPr>
            <w:rStyle w:val="Hyperlink"/>
          </w:rPr>
          <w:t xml:space="preserve">CSU Relation Lookup</w:t>
        </w:r>
      </w:hyperlink>
      <w:r>
        <w:t xml:space="preserve">, the same lookup that</w:t>
      </w:r>
      <w:r>
        <w:t xml:space="preserve"> </w:t>
      </w:r>
      <w:hyperlink w:anchor="CSU-162">
        <w:r>
          <w:rPr>
            <w:rStyle w:val="Hyperlink"/>
          </w:rPr>
          <w:t xml:space="preserve">CSU Relation Link Rewriter</w:t>
        </w:r>
      </w:hyperlink>
      <w:r>
        <w:t xml:space="preserve"> </w:t>
      </w:r>
      <w:r>
        <w:t xml:space="preserve">uses for body links. Same-document targets are</w:t>
      </w:r>
      <w:r>
        <w:t xml:space="preserve"> </w:t>
      </w:r>
      <w:r>
        <w:rPr>
          <w:rStyle w:val="VerbatimChar"/>
        </w:rPr>
        <w:t xml:space="preserve">#anchor</w:t>
      </w:r>
      <w:r>
        <w:t xml:space="preserve">, and cross-document targets are</w:t>
      </w:r>
      <w:r>
        <w:t xml:space="preserve"> </w:t>
      </w:r>
      <w:r>
        <w:rPr>
          <w:rStyle w:val="VerbatimChar"/>
        </w:rPr>
        <w:t xml:space="preserve">{spec}.ext#anchor</w:t>
      </w:r>
      <w:r>
        <w:t xml:space="preserve">. An unresolved</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link shall fall back to the base-selector target and keep the authored text. A link with an extended selector that has no fallback (citations) shall stay verbatim.</w:t>
      </w:r>
      <w:r>
        <w:t xml:space="preserve"> </w:t>
      </w:r>
      <w:r>
        <w:rPr>
          <w:rStyle w:val="VerbatimChar"/>
        </w:rPr>
        <w:t xml:space="preserve">prepare_task</w:t>
      </w:r>
      <w:r>
        <w:t xml:space="preserve"> </w:t>
      </w:r>
      <w:r>
        <w:t xml:space="preserve">shall receive the rewritten source, so the content-addressed render cache keys on the resolved targets and display text.</w:t>
      </w:r>
    </w:p>
    <w:p>
      <w:pPr>
        <w:pStyle w:val="DefinitionTerm"/>
      </w:pPr>
      <w:r>
        <w:rPr>
          <w:bCs/>
          <w:b/>
        </w:rPr>
        <w:t xml:space="preserve">TRACEABILITY:</w:t>
      </w:r>
    </w:p>
    <w:p>
      <w:pPr>
        <w:pStyle w:val="Definition"/>
      </w:pPr>
      <w:hyperlink r:id="rId129">
        <w:r>
          <w:rPr>
            <w:rStyle w:val="Hyperlink"/>
          </w:rPr>
          <w:t xml:space="preserve">srs: HLR-OUT-008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OUT-013-03" w:id="93305"/>
      <w:r>
        <w:t xml:space="preserve">LLR-OUT-013-03: PlantUML Hyperlink Syntax and Dual Rendition</w:t>
      </w:r>
      <w:bookmarkEnd w:id="93305"/>
    </w:p>
    <w:p>
      <w:pPr>
        <w:pStyle w:val="SpecObjectBody"/>
      </w:pPr>
      <w:hyperlink w:anchor="CSU-112">
        <w:r>
          <w:rPr>
            <w:rStyle w:val="Hyperlink"/>
          </w:rPr>
          <w:t xml:space="preserve">CSU PLANTUML Float Type</w:t>
        </w:r>
      </w:hyperlink>
      <w:r>
        <w:t xml:space="preserve"> </w:t>
      </w:r>
      <w:r>
        <w:t xml:space="preserve">shall implement</w:t>
      </w:r>
      <w:r>
        <w:t xml:space="preserve"> </w:t>
      </w:r>
      <w:r>
        <w:rPr>
          <w:rStyle w:val="VerbatimChar"/>
        </w:rPr>
        <w:t xml:space="preserve">format_link</w:t>
      </w:r>
      <w:r>
        <w:t xml:space="preserve"> </w:t>
      </w:r>
      <w:r>
        <w:t xml:space="preserve">as</w:t>
      </w:r>
      <w:r>
        <w:t xml:space="preserve"> </w:t>
      </w:r>
      <w:r>
        <w:rPr>
          <w:rStyle w:val="VerbatimChar"/>
        </w:rPr>
        <w:t xml:space="preserve">[[href{text} text]]</w:t>
      </w:r>
      <w:r>
        <w:t xml:space="preserve">,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removed from the display text,</w:t>
      </w:r>
      <w:r>
        <w:t xml:space="preserve"> </w:t>
      </w:r>
      <w:r>
        <w:rPr>
          <w:rStyle w:val="VerbatimChar"/>
        </w:rPr>
        <w:t xml:space="preserve">\</w:t>
      </w:r>
      <w:r>
        <w:t xml:space="preserve"> </w:t>
      </w:r>
      <w:r>
        <w:t xml:space="preserve">replaced by</w:t>
      </w:r>
      <w:r>
        <w:t xml:space="preserve"> </w:t>
      </w:r>
      <w:r>
        <w:rPr>
          <w:rStyle w:val="VerbatimChar"/>
        </w:rPr>
        <w:t xml:space="preserve">/</w:t>
      </w:r>
      <w:r>
        <w:t xml:space="preserve">, and spaces in the href encoded as</w:t>
      </w:r>
      <w:r>
        <w:t xml:space="preserve"> </w:t>
      </w:r>
      <w:r>
        <w:rPr>
          <w:rStyle w:val="VerbatimChar"/>
        </w:rPr>
        <w:t xml:space="preserve">%20</w:t>
      </w:r>
      <w:r>
        <w:t xml:space="preserve">. It shall implement</w:t>
      </w:r>
      <w:r>
        <w:t xml:space="preserve"> </w:t>
      </w:r>
      <w:r>
        <w:rPr>
          <w:rStyle w:val="VerbatimChar"/>
        </w:rPr>
        <w:t xml:space="preserve">mask_comments</w:t>
      </w:r>
      <w:r>
        <w:t xml:space="preserve"> </w:t>
      </w:r>
      <w:r>
        <w:t xml:space="preserve">by blanking</w:t>
      </w:r>
      <w:r>
        <w:t xml:space="preserve"> </w:t>
      </w:r>
      <w:r>
        <w:rPr>
          <w:rStyle w:val="VerbatimChar"/>
        </w:rPr>
        <w:t xml:space="preserve">'</w:t>
      </w:r>
      <w:r>
        <w:t xml:space="preserve"> </w:t>
      </w:r>
      <w:r>
        <w:t xml:space="preserve">line comments and</w:t>
      </w:r>
      <w:r>
        <w:t xml:space="preserve"> </w:t>
      </w:r>
      <w:r>
        <w:rPr>
          <w:rStyle w:val="VerbatimChar"/>
        </w:rPr>
        <w:t xml:space="preserve">/' ... '/</w:t>
      </w:r>
      <w:r>
        <w:t xml:space="preserve"> </w:t>
      </w:r>
      <w:r>
        <w:t xml:space="preserve">block comments while keeping every newline. It shall render the source to PNG and then to SVG in one task whose</w:t>
      </w:r>
      <w:r>
        <w:t xml:space="preserve"> </w:t>
      </w:r>
      <w:r>
        <w:rPr>
          <w:rStyle w:val="VerbatimChar"/>
        </w:rPr>
        <w:t xml:space="preserve">output_path</w:t>
      </w:r>
      <w:r>
        <w:t xml:space="preserve"> </w:t>
      </w:r>
      <w:r>
        <w:t xml:space="preserve">is the SVG, so a cache hit means both renditions exist and build directories from PNG-only versions re-render once. Its</w:t>
      </w:r>
      <w:r>
        <w:t xml:space="preserve"> </w:t>
      </w:r>
      <w:r>
        <w:rPr>
          <w:rStyle w:val="VerbatimChar"/>
        </w:rPr>
        <w:t xml:space="preserve">resolved_ast</w:t>
      </w:r>
      <w:r>
        <w:t xml:space="preserve"> </w:t>
      </w:r>
      <w:r>
        <w:t xml:space="preserve">shall record</w:t>
      </w:r>
      <w:r>
        <w:t xml:space="preserve"> </w:t>
      </w:r>
      <w:r>
        <w:rPr>
          <w:rStyle w:val="VerbatimChar"/>
        </w:rPr>
        <w:t xml:space="preserve">png_paths</w:t>
      </w:r>
      <w:r>
        <w:t xml:space="preserve"> </w:t>
      </w:r>
      <w:r>
        <w:t xml:space="preserve">and</w:t>
      </w:r>
      <w:r>
        <w:t xml:space="preserve"> </w:t>
      </w:r>
      <w:r>
        <w:rPr>
          <w:rStyle w:val="VerbatimChar"/>
        </w:rPr>
        <w:t xml:space="preserve">svg_paths</w:t>
      </w:r>
      <w:r>
        <w:t xml:space="preserve">.</w:t>
      </w:r>
    </w:p>
    <w:p>
      <w:pPr>
        <w:pStyle w:val="DefinitionTerm"/>
      </w:pPr>
      <w:r>
        <w:rPr>
          <w:bCs/>
          <w:b/>
        </w:rPr>
        <w:t xml:space="preserve">TRACEABILITY:</w:t>
      </w:r>
    </w:p>
    <w:p>
      <w:pPr>
        <w:pStyle w:val="Definition"/>
      </w:pPr>
      <w:hyperlink r:id="rId129">
        <w:r>
          <w:rPr>
            <w:rStyle w:val="Hyperlink"/>
          </w:rPr>
          <w:t xml:space="preserve">srs: HLR-OUT-008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OUT-013-04" w:id="93306"/>
      <w:r>
        <w:t xml:space="preserve">LLR-OUT-013-04: Inline SVG in HTML5 Output</w:t>
      </w:r>
      <w:bookmarkEnd w:id="93306"/>
    </w:p>
    <w:p>
      <w:pPr>
        <w:pStyle w:val="SpecObjectBody"/>
      </w:pPr>
      <w:r>
        <w:t xml:space="preserve">Given an image float result with</w:t>
      </w:r>
      <w:r>
        <w:t xml:space="preserve"> </w:t>
      </w:r>
      <w:r>
        <w:rPr>
          <w:rStyle w:val="VerbatimChar"/>
        </w:rPr>
        <w:t xml:space="preserve">svg_paths</w:t>
      </w:r>
      <w:r>
        <w:t xml:space="preserve">,</w:t>
      </w:r>
      <w:r>
        <w:t xml:space="preserve"> </w:t>
      </w:r>
      <w:hyperlink w:anchor="CSU-040">
        <w:r>
          <w:rPr>
            <w:rStyle w:val="Hyperlink"/>
          </w:rPr>
          <w:t xml:space="preserve">CSU Float Resolver</w:t>
        </w:r>
      </w:hyperlink>
      <w:r>
        <w:t xml:space="preserve"> </w:t>
      </w:r>
      <w:r>
        <w:t xml:space="preserve">shall pass the SVG paths to</w:t>
      </w:r>
      <w:r>
        <w:t xml:space="preserve"> </w:t>
      </w:r>
      <w:hyperlink w:anchor="CSU-035">
        <w:r>
          <w:rPr>
            <w:rStyle w:val="Hyperlink"/>
          </w:rPr>
          <w:t xml:space="preserve">CSU Float Emitter</w:t>
        </w:r>
      </w:hyperlink>
      <w:r>
        <w:t xml:space="preserve">. The emitter shall add an</w:t>
      </w:r>
      <w:r>
        <w:t xml:space="preserve"> </w:t>
      </w:r>
      <w:r>
        <w:rPr>
          <w:rStyle w:val="VerbatimChar"/>
        </w:rPr>
        <w:t xml:space="preserve">svg</w:t>
      </w:r>
      <w:r>
        <w:t xml:space="preserve"> </w:t>
      </w:r>
      <w:r>
        <w:t xml:space="preserve">attribute holding the SVG path under the build directory to the PNG image, keeping the float’s block structure unchanged.</w:t>
      </w:r>
      <w:r>
        <w:t xml:space="preserve"> </w:t>
      </w:r>
      <w:hyperlink w:anchor="CSU-084">
        <w:r>
          <w:rPr>
            <w:rStyle w:val="Hyperlink"/>
          </w:rPr>
          <w:t xml:space="preserve">CSU HTML Filter</w:t>
        </w:r>
      </w:hyperlink>
      <w:r>
        <w:t xml:space="preserve"> </w:t>
      </w:r>
      <w:r>
        <w:t xml:space="preserve">shall replace that image with the inline</w:t>
      </w:r>
      <w:r>
        <w:t xml:space="preserve"> </w:t>
      </w:r>
      <w:r>
        <w:rPr>
          <w:rStyle w:val="VerbatimChar"/>
        </w:rPr>
        <w:t xml:space="preserve">&lt;svg&gt;</w:t>
      </w:r>
      <w:r>
        <w:t xml:space="preserve"> </w:t>
      </w:r>
      <w:r>
        <w:t xml:space="preserve">markup. It shall strip the XML prolog and doctype, add class</w:t>
      </w:r>
      <w:r>
        <w:t xml:space="preserve"> </w:t>
      </w:r>
      <w:r>
        <w:rPr>
          <w:rStyle w:val="VerbatimChar"/>
        </w:rPr>
        <w:t xml:space="preserve">speccompiler-diagram</w:t>
      </w:r>
      <w:r>
        <w:t xml:space="preserve"> </w:t>
      </w:r>
      <w:r>
        <w:t xml:space="preserve">to the root element, drop the renderer’s fixed size, and write the float’s</w:t>
      </w:r>
      <w:r>
        <w:t xml:space="preserve"> </w:t>
      </w:r>
      <w:r>
        <w:rPr>
          <w:rStyle w:val="VerbatimChar"/>
        </w:rPr>
        <w:t xml:space="preserve">width</w:t>
      </w:r>
      <w:r>
        <w:t xml:space="preserve">/</w:t>
      </w:r>
      <w:r>
        <w:rPr>
          <w:rStyle w:val="VerbatimChar"/>
        </w:rPr>
        <w:t xml:space="preserve">height</w:t>
      </w:r>
      <w:r>
        <w:t xml:space="preserve"> </w:t>
      </w:r>
      <w:r>
        <w:t xml:space="preserve">into the root’s inline style. It shall rewrite</w:t>
      </w:r>
      <w:r>
        <w:t xml:space="preserve"> </w:t>
      </w:r>
      <w:r>
        <w:rPr>
          <w:rStyle w:val="VerbatimChar"/>
        </w:rPr>
        <w:t xml:space="preserve">.ext#</w:t>
      </w:r>
      <w:r>
        <w:t xml:space="preserve"> </w:t>
      </w:r>
      <w:r>
        <w:t xml:space="preserve">hrefs to</w:t>
      </w:r>
      <w:r>
        <w:t xml:space="preserve"> </w:t>
      </w:r>
      <w:r>
        <w:rPr>
          <w:rStyle w:val="VerbatimChar"/>
        </w:rPr>
        <w:t xml:space="preserve">.html#</w:t>
      </w:r>
      <w:r>
        <w:t xml:space="preserve"> </w:t>
      </w:r>
      <w:r>
        <w:t xml:space="preserve">and remove</w:t>
      </w:r>
      <w:r>
        <w:t xml:space="preserve"> </w:t>
      </w:r>
      <w:r>
        <w:rPr>
          <w:rStyle w:val="VerbatimChar"/>
        </w:rPr>
        <w:t xml:space="preserve">target="_top"</w:t>
      </w:r>
      <w:r>
        <w:t xml:space="preserve"> </w:t>
      </w:r>
      <w:r>
        <w:t xml:space="preserve">and</w:t>
      </w:r>
      <w:r>
        <w:t xml:space="preserve"> </w:t>
      </w:r>
      <w:r>
        <w:rPr>
          <w:rStyle w:val="VerbatimChar"/>
        </w:rPr>
        <w:t xml:space="preserve">xlink:show="new"</w:t>
      </w:r>
      <w:r>
        <w:t xml:space="preserve">. When the SVG file cannot be read, the filter shall keep the PNG image.</w:t>
      </w:r>
    </w:p>
    <w:p>
      <w:pPr>
        <w:pStyle w:val="DefinitionTerm"/>
      </w:pPr>
      <w:r>
        <w:rPr>
          <w:bCs/>
          <w:b/>
        </w:rPr>
        <w:t xml:space="preserve">TRACEABILITY:</w:t>
      </w:r>
    </w:p>
    <w:p>
      <w:pPr>
        <w:pStyle w:val="Definition"/>
      </w:pPr>
      <w:hyperlink r:id="rId129">
        <w:r>
          <w:rPr>
            <w:rStyle w:val="Hyperlink"/>
          </w:rPr>
          <w:t xml:space="preserve">srs: HLR-OUT-008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OUT-013-05" w:id="93307"/>
      <w:r>
        <w:t xml:space="preserve">LLR-OUT-013-05: Web Application Intercepts Diagram Anchors</w:t>
      </w:r>
      <w:bookmarkEnd w:id="93307"/>
    </w:p>
    <w:p>
      <w:pPr>
        <w:pStyle w:val="SpecObjectBody"/>
      </w:pPr>
      <w:r>
        <w:t xml:space="preserve">The cross-document click handler of the single-page web application (</w:t>
      </w:r>
      <w:r>
        <w:rPr>
          <w:rStyle w:val="VerbatimChar"/>
        </w:rPr>
        <w:t xml:space="preserve">models/default/html/js/sidebar.js</w:t>
      </w:r>
      <w:r>
        <w:t xml:space="preserve">) shall find the clicked anchor with</w:t>
      </w:r>
      <w:r>
        <w:t xml:space="preserve"> </w:t>
      </w:r>
      <w:r>
        <w:rPr>
          <w:rStyle w:val="VerbatimChar"/>
        </w:rPr>
        <w:t xml:space="preserve">closest('a')</w:t>
      </w:r>
      <w:r>
        <w:t xml:space="preserve">, read its</w:t>
      </w:r>
      <w:r>
        <w:t xml:space="preserve"> </w:t>
      </w:r>
      <w:r>
        <w:rPr>
          <w:rStyle w:val="VerbatimChar"/>
        </w:rPr>
        <w:t xml:space="preserve">href</w:t>
      </w:r>
      <w:r>
        <w:t xml:space="preserve"> </w:t>
      </w:r>
      <w:r>
        <w:t xml:space="preserve">or</w:t>
      </w:r>
      <w:r>
        <w:t xml:space="preserve"> </w:t>
      </w:r>
      <w:r>
        <w:rPr>
          <w:rStyle w:val="VerbatimChar"/>
        </w:rPr>
        <w:t xml:space="preserve">xlink:href</w:t>
      </w:r>
      <w:r>
        <w:t xml:space="preserve"> </w:t>
      </w:r>
      <w:r>
        <w:t xml:space="preserve">attribute, and decode the document id with</w:t>
      </w:r>
      <w:r>
        <w:t xml:space="preserve"> </w:t>
      </w:r>
      <w:r>
        <w:rPr>
          <w:rStyle w:val="VerbatimChar"/>
        </w:rPr>
        <w:t xml:space="preserve">decodeURIComponent</w:t>
      </w:r>
      <w:r>
        <w:t xml:space="preserve">. An</w:t>
      </w:r>
      <w:r>
        <w:t xml:space="preserve"> </w:t>
      </w:r>
      <w:r>
        <w:rPr>
          <w:rStyle w:val="VerbatimChar"/>
        </w:rPr>
        <w:t xml:space="preserve">&lt;a&gt;</w:t>
      </w:r>
      <w:r>
        <w:t xml:space="preserve"> </w:t>
      </w:r>
      <w:r>
        <w:t xml:space="preserve">inside an inline SVG shall therefore navigate between specifications like a body link.</w:t>
      </w:r>
    </w:p>
    <w:p>
      <w:pPr>
        <w:pStyle w:val="DefinitionTerm"/>
      </w:pPr>
      <w:r>
        <w:rPr>
          <w:bCs/>
          <w:b/>
        </w:rPr>
        <w:t xml:space="preserve">TRACEABILITY:</w:t>
      </w:r>
    </w:p>
    <w:p>
      <w:pPr>
        <w:pStyle w:val="Definition"/>
      </w:pPr>
      <w:hyperlink r:id="rId129">
        <w:r>
          <w:rPr>
            <w:rStyle w:val="Hyperlink"/>
          </w:rPr>
          <w:t xml:space="preserve">srs: HLR-OUT-008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OUT-013-06" w:id="93308"/>
      <w:r>
        <w:t xml:space="preserve">LLR-OUT-013-06: Non-HTML Formats Keep the PNG Rendition</w:t>
      </w:r>
      <w:bookmarkEnd w:id="93308"/>
    </w:p>
    <w:p>
      <w:pPr>
        <w:pStyle w:val="SpecObjectBody"/>
      </w:pPr>
      <w:r>
        <w:t xml:space="preserve">For every output format other than HTML,</w:t>
      </w:r>
      <w:r>
        <w:t xml:space="preserve"> </w:t>
      </w:r>
      <w:hyperlink w:anchor="CSU-037">
        <w:r>
          <w:rPr>
            <w:rStyle w:val="Hyperlink"/>
          </w:rPr>
          <w:t xml:space="preserve">CSU Emitter Orchestrator</w:t>
        </w:r>
      </w:hyperlink>
      <w:r>
        <w:t xml:space="preserve"> </w:t>
      </w:r>
      <w:r>
        <w:t xml:space="preserve">shall remove the image’s</w:t>
      </w:r>
      <w:r>
        <w:t xml:space="preserve"> </w:t>
      </w:r>
      <w:r>
        <w:rPr>
          <w:rStyle w:val="VerbatimChar"/>
        </w:rPr>
        <w:t xml:space="preserve">svg</w:t>
      </w:r>
      <w:r>
        <w:t xml:space="preserve"> </w:t>
      </w:r>
      <w:r>
        <w:t xml:space="preserve">attribute before the format filter runs. DOCX, LaTeX, Markdown, and JSON output, and every model filter, therefore see the same image element as before the feature. The float renders as the PNG image, which shows the resolved display text.</w:t>
      </w:r>
    </w:p>
    <w:p>
      <w:pPr>
        <w:pStyle w:val="DefinitionTerm"/>
      </w:pPr>
      <w:r>
        <w:rPr>
          <w:bCs/>
          <w:b/>
        </w:rPr>
        <w:t xml:space="preserve">TRACEABILITY:</w:t>
      </w:r>
    </w:p>
    <w:p>
      <w:pPr>
        <w:pStyle w:val="Definition"/>
      </w:pPr>
      <w:hyperlink r:id="rId129">
        <w:r>
          <w:rPr>
            <w:rStyle w:val="Hyperlink"/>
          </w:rPr>
          <w:t xml:space="preserve">srs: HLR-OUT-008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p>
      <w:pPr>
        <w:pStyle w:val="SpecObjectHeader"/>
        <w:keepNext/>
        <w:outlineLvl w:val="0"/>
      </w:pPr>
      <w:bookmarkStart w:name="DD-CORE-008" w:id="42776"/>
      <w:r>
        <w:t xml:space="preserve">DD-CORE-008: Diagram Links Lowered to Native Hyperlink Syntax</w:t>
      </w:r>
      <w:bookmarkEnd w:id="42776"/>
    </w:p>
    <w:p>
      <w:pPr>
        <w:pStyle w:val="SpecObjectBody"/>
      </w:pPr>
      <w:r>
        <w:t xml:space="preserve">Selected CommonSpec link syntax in diagram source, resolved by the relation infrastructure and lowered into the diagram tool’s native hyperlink syntax before rendering, with dual SVG and PNG output.</w:t>
      </w:r>
    </w:p>
    <w:p>
      <w:pPr>
        <w:pStyle w:val="DefinitionTerm"/>
      </w:pPr>
      <w:r>
        <w:rPr>
          <w:bCs/>
          <w:b/>
        </w:rPr>
        <w:t xml:space="preserve">RATIONALE:</w:t>
      </w:r>
    </w:p>
    <w:p>
      <w:pPr>
        <w:pStyle w:val="Definition"/>
      </w:pPr>
      <w:r>
        <w:t xml:space="preserve">One link syntax and one relation path for body text and diagrams:</w:t>
      </w:r>
    </w:p>
    <w:p>
      <w:pPr>
        <w:numPr>
          <w:ilvl w:val="0"/>
          <w:numId w:val="1018"/>
        </w:numPr>
        <w:pStyle w:val="Compact"/>
      </w:pPr>
      <w:r>
        <w:t xml:space="preserve">Authors write the same</w:t>
      </w:r>
      <w:r>
        <w:t xml:space="preserve"> </w:t>
      </w:r>
      <w:r>
        <w:rPr>
          <w:rStyle w:val="VerbatimChar"/>
        </w:rPr>
        <w:t xml:space="preserve">[Target](@)</w:t>
      </w:r>
      <w:r>
        <w:t xml:space="preserve"> </w:t>
      </w:r>
      <w:r>
        <w:t xml:space="preserve">/</w:t>
      </w:r>
      <w:r>
        <w:t xml:space="preserve"> </w:t>
      </w:r>
      <w:r>
        <w:rPr>
          <w:rStyle w:val="VerbatimChar"/>
        </w:rPr>
        <w:t xml:space="preserve">[prefix:label](#)</w:t>
      </w:r>
      <w:r>
        <w:t xml:space="preserve"> </w:t>
      </w:r>
      <w:r>
        <w:t xml:space="preserve">syntax inside a diagram float. The links are stored as ordinary relations of the float’s parent object, so resolution, type inference, display text, cross-document targets,</w:t>
      </w:r>
      <w:r>
        <w:t xml:space="preserve"> </w:t>
      </w:r>
      <w:r>
        <w:rPr>
          <w:rStyle w:val="VerbatimChar"/>
        </w:rPr>
        <w:t xml:space="preserve">unresolved_relation</w:t>
      </w:r>
      <w:r>
        <w:t xml:space="preserve"> </w:t>
      </w:r>
      <w:r>
        <w:t xml:space="preserve">diagnostics, and traceability are identical to body links</w:t>
      </w:r>
    </w:p>
    <w:p>
      <w:pPr>
        <w:numPr>
          <w:ilvl w:val="0"/>
          <w:numId w:val="1018"/>
        </w:numPr>
        <w:pStyle w:val="Compact"/>
      </w:pPr>
      <w:r>
        <w:t xml:space="preserve">A float type opts in by declaring the</w:t>
      </w:r>
      <w:r>
        <w:t xml:space="preserve"> </w:t>
      </w:r>
      <w:r>
        <w:rPr>
          <w:rStyle w:val="VerbatimChar"/>
        </w:rPr>
        <w:t xml:space="preserve">format_link</w:t>
      </w:r>
      <w:r>
        <w:t xml:space="preserve"> </w:t>
      </w:r>
      <w:r>
        <w:t xml:space="preserve">data hook. The host learns nothing diagram-specific, and a model can add the behaviour to another source-based float type</w:t>
      </w:r>
    </w:p>
    <w:p>
      <w:pPr>
        <w:numPr>
          <w:ilvl w:val="0"/>
          <w:numId w:val="1018"/>
        </w:numPr>
        <w:pStyle w:val="Compact"/>
      </w:pPr>
      <w:r>
        <w:t xml:space="preserve">Lowering happens before the render, so the diagram tool lays out the resolved display text (</w:t>
      </w:r>
      <w:r>
        <w:t xml:space="preserve">“</w:t>
      </w:r>
      <w:r>
        <w:t xml:space="preserve">Figure 3</w:t>
      </w:r>
      <w:r>
        <w:t xml:space="preserve">”</w:t>
      </w:r>
      <w:r>
        <w:t xml:space="preserve">,</w:t>
      </w:r>
      <w:r>
        <w:t xml:space="preserve"> </w:t>
      </w:r>
      <w:r>
        <w:t xml:space="preserve">“</w:t>
      </w:r>
      <w:r>
        <w:t xml:space="preserve">b: Remote</w:t>
      </w:r>
      <w:r>
        <w:t xml:space="preserve">”</w:t>
      </w:r>
      <w:r>
        <w:t xml:space="preserve">). The PNG shows the same text, and the content-addressed render cache invalidates when a target or display text changes</w:t>
      </w:r>
    </w:p>
    <w:p>
      <w:pPr>
        <w:numPr>
          <w:ilvl w:val="0"/>
          <w:numId w:val="1018"/>
        </w:numPr>
        <w:pStyle w:val="Compact"/>
      </w:pPr>
      <w:r>
        <w:t xml:space="preserve">Links inside the diagram tool’s comments are ignored, through the optional</w:t>
      </w:r>
      <w:r>
        <w:t xml:space="preserve"> </w:t>
      </w:r>
      <w:r>
        <w:rPr>
          <w:rStyle w:val="VerbatimChar"/>
        </w:rPr>
        <w:t xml:space="preserve">mask_comments</w:t>
      </w:r>
      <w:r>
        <w:t xml:space="preserve"> </w:t>
      </w:r>
      <w:r>
        <w:t xml:space="preserve">hook, as Markdown ignores links in HTML comments. Text that only looks like a link is escaped with PlantUML’s own</w:t>
      </w:r>
      <w:r>
        <w:t xml:space="preserve"> </w:t>
      </w:r>
      <w:r>
        <w:rPr>
          <w:rStyle w:val="VerbatimChar"/>
        </w:rPr>
        <w:t xml:space="preserve">~</w:t>
      </w:r>
      <w:r>
        <w:t xml:space="preserve">, so authors keep an opt-out without a new attribute</w:t>
      </w:r>
    </w:p>
    <w:p>
      <w:pPr>
        <w:numPr>
          <w:ilvl w:val="0"/>
          <w:numId w:val="1018"/>
        </w:numPr>
        <w:pStyle w:val="Compact"/>
      </w:pPr>
      <w:r>
        <w:t xml:space="preserve">The SVG path travels as an attribute of the PNG image, and the emitter strips it for non-HTML formats. Model filters for every other format see the pre-feature document unchanged</w:t>
      </w:r>
    </w:p>
    <w:p>
      <w:pPr>
        <w:numPr>
          <w:ilvl w:val="0"/>
          <w:numId w:val="1018"/>
        </w:numPr>
        <w:pStyle w:val="Compact"/>
      </w:pPr>
      <w:r>
        <w:t xml:space="preserve">The render task writes the SVG last and the cache checks the SVG. A cache hit then means both renditions exist, and build directories from PNG-only versions re-render once</w:t>
      </w:r>
    </w:p>
    <w:p>
      <w:pPr>
        <w:numPr>
          <w:ilvl w:val="0"/>
          <w:numId w:val="1018"/>
        </w:numPr>
        <w:pStyle w:val="Compact"/>
      </w:pPr>
      <w:r>
        <w:t xml:space="preserve">The only SVG post-processing at HTML emit is layout-safe: href</w:t>
      </w:r>
      <w:r>
        <w:t xml:space="preserve"> </w:t>
      </w:r>
      <w:r>
        <w:rPr>
          <w:rStyle w:val="VerbatimChar"/>
        </w:rPr>
        <w:t xml:space="preserve">.ext</w:t>
      </w:r>
      <w:r>
        <w:t xml:space="preserve"> </w:t>
      </w:r>
      <w:r>
        <w:t xml:space="preserve">to</w:t>
      </w:r>
      <w:r>
        <w:t xml:space="preserve"> </w:t>
      </w:r>
      <w:r>
        <w:rPr>
          <w:rStyle w:val="VerbatimChar"/>
        </w:rPr>
        <w:t xml:space="preserve">.html</w:t>
      </w:r>
      <w:r>
        <w:t xml:space="preserve">, removal of</w:t>
      </w:r>
      <w:r>
        <w:t xml:space="preserve"> </w:t>
      </w:r>
      <w:r>
        <w:rPr>
          <w:rStyle w:val="VerbatimChar"/>
        </w:rPr>
        <w:t xml:space="preserve">target</w:t>
      </w:r>
      <w:r>
        <w:t xml:space="preserve">/</w:t>
      </w:r>
      <w:r>
        <w:rPr>
          <w:rStyle w:val="VerbatimChar"/>
        </w:rPr>
        <w:t xml:space="preserve">xlink:show</w:t>
      </w:r>
      <w:r>
        <w:t xml:space="preserve">, and sizing. The SVG is inlined because links in an</w:t>
      </w:r>
      <w:r>
        <w:t xml:space="preserve"> </w:t>
      </w:r>
      <w:r>
        <w:rPr>
          <w:rStyle w:val="VerbatimChar"/>
        </w:rPr>
        <w:t xml:space="preserve">&lt;img&gt;</w:t>
      </w:r>
      <w:r>
        <w:t xml:space="preserve"> </w:t>
      </w:r>
      <w:r>
        <w:t xml:space="preserve">never fire,</w:t>
      </w:r>
      <w:r>
        <w:t xml:space="preserve"> </w:t>
      </w:r>
      <w:r>
        <w:rPr>
          <w:rStyle w:val="VerbatimChar"/>
        </w:rPr>
        <w:t xml:space="preserve">--embed-resources</w:t>
      </w:r>
      <w:r>
        <w:t xml:space="preserve"> </w:t>
      </w:r>
      <w:r>
        <w:t xml:space="preserve">turns SVG images into</w:t>
      </w:r>
      <w:r>
        <w:t xml:space="preserve"> </w:t>
      </w:r>
      <w:r>
        <w:rPr>
          <w:rStyle w:val="VerbatimChar"/>
        </w:rPr>
        <w:t xml:space="preserve">data:</w:t>
      </w:r>
      <w:r>
        <w:t xml:space="preserve"> </w:t>
      </w:r>
      <w:r>
        <w:t xml:space="preserve">URIs, and</w:t>
      </w:r>
      <w:r>
        <w:t xml:space="preserve"> </w:t>
      </w:r>
      <w:r>
        <w:rPr>
          <w:rStyle w:val="VerbatimChar"/>
        </w:rPr>
        <w:t xml:space="preserve">&lt;object&gt;</w:t>
      </w:r>
      <w:r>
        <w:t xml:space="preserve"> </w:t>
      </w:r>
      <w:r>
        <w:t xml:space="preserve">resolves</w:t>
      </w:r>
      <w:r>
        <w:t xml:space="preserve"> </w:t>
      </w:r>
      <w:r>
        <w:rPr>
          <w:rStyle w:val="VerbatimChar"/>
        </w:rPr>
        <w:t xml:space="preserve">#anchor</w:t>
      </w:r>
      <w:r>
        <w:t xml:space="preserve"> </w:t>
      </w:r>
      <w:r>
        <w:t xml:space="preserve">against the SVG file</w:t>
      </w:r>
    </w:p>
    <w:p>
      <w:pPr>
        <w:numPr>
          <w:ilvl w:val="0"/>
          <w:numId w:val="1018"/>
        </w:numPr>
        <w:pStyle w:val="Compact"/>
      </w:pPr>
      <w:r>
        <w:t xml:space="preserve">Consequence: a diagram link counts for type-agnostic traceability checks exactly like a body link (e.g.</w:t>
      </w:r>
      <w:r>
        <w:t xml:space="preserve"> </w:t>
      </w:r>
      <w:r>
        <w:rPr>
          <w:rStyle w:val="VerbatimChar"/>
        </w:rPr>
        <w:t xml:space="preserve">traceability_csu_to_fd</w:t>
      </w:r>
      <w:r>
        <w:t xml:space="preserve"> </w:t>
      </w:r>
      <w:r>
        <w:t xml:space="preserve">counts any FD to CSU relation). Provenance stays recoverable from</w:t>
      </w:r>
      <w:r>
        <w:t xml:space="preserve"> </w:t>
      </w:r>
      <w:r>
        <w:rPr>
          <w:rStyle w:val="VerbatimChar"/>
        </w:rPr>
        <w:t xml:space="preserve">from_file</w:t>
      </w:r>
      <w:r>
        <w:t xml:space="preserve"> </w:t>
      </w:r>
      <w:r>
        <w:t xml:space="preserve">and</w:t>
      </w:r>
      <w:r>
        <w:t xml:space="preserve"> </w:t>
      </w:r>
      <w:r>
        <w:rPr>
          <w:rStyle w:val="VerbatimChar"/>
        </w:rPr>
        <w:t xml:space="preserve">link_line</w:t>
      </w:r>
      <w:r>
        <w:t xml:space="preserve">, which fall inside the float’s lines</w:t>
      </w:r>
    </w:p>
    <w:p>
      <w:pPr>
        <w:numPr>
          <w:ilvl w:val="0"/>
          <w:numId w:val="1018"/>
        </w:numPr>
        <w:pStyle w:val="Compact"/>
      </w:pPr>
      <w:r>
        <w:t xml:space="preserve">Alternative of PlantUML-native links written by the author (</w:t>
      </w:r>
      <w:r>
        <w:rPr>
          <w:rStyle w:val="VerbatimChar"/>
        </w:rPr>
        <w:t xml:space="preserve">[[#REQ-001]]</w:t>
      </w:r>
      <w:r>
        <w:t xml:space="preserve">) rejected: it bypasses the relation infrastructure (no resolution, validation, diagnostics, display text, cross-document</w:t>
      </w:r>
      <w:r>
        <w:t xml:space="preserve"> </w:t>
      </w:r>
      <w:r>
        <w:rPr>
          <w:rStyle w:val="VerbatimChar"/>
        </w:rPr>
        <w:t xml:space="preserve">.ext</w:t>
      </w:r>
      <w:r>
        <w:t xml:space="preserve"> </w:t>
      </w:r>
      <w:r>
        <w:t xml:space="preserve">targets, or traceability) and differs from CommonSpec syntax</w:t>
      </w:r>
    </w:p>
    <w:p>
      <w:pPr>
        <w:numPr>
          <w:ilvl w:val="0"/>
          <w:numId w:val="1018"/>
        </w:numPr>
        <w:pStyle w:val="Compact"/>
      </w:pPr>
      <w:r>
        <w:t xml:space="preserve">Alternative of post-processing the generated SVG (wrapping</w:t>
      </w:r>
      <w:r>
        <w:t xml:space="preserve"> </w:t>
      </w:r>
      <w:r>
        <w:rPr>
          <w:rStyle w:val="VerbatimChar"/>
        </w:rPr>
        <w:t xml:space="preserve">[X](@)</w:t>
      </w:r>
      <w:r>
        <w:t xml:space="preserve"> </w:t>
      </w:r>
      <w:r>
        <w:t xml:space="preserve">text nodes in</w:t>
      </w:r>
      <w:r>
        <w:t xml:space="preserve"> </w:t>
      </w:r>
      <w:r>
        <w:rPr>
          <w:rStyle w:val="VerbatimChar"/>
        </w:rPr>
        <w:t xml:space="preserve">&lt;a&gt;</w:t>
      </w:r>
      <w:r>
        <w:t xml:space="preserve">) rejected: PlantUML sizes the literal Markdown text, so replacing it with the display text misaligns or overflows the layout. The text is split across</w:t>
      </w:r>
      <w:r>
        <w:t xml:space="preserve"> </w:t>
      </w:r>
      <w:r>
        <w:rPr>
          <w:rStyle w:val="VerbatimChar"/>
        </w:rPr>
        <w:t xml:space="preserve">&lt;text&gt;</w:t>
      </w:r>
      <w:r>
        <w:t xml:space="preserve"> </w:t>
      </w:r>
      <w:r>
        <w:t xml:space="preserve">elements, Creole markup, and wrapped lines. PNG, DOCX, and LaTeX would show the raw link syntax, and the approach breaks when PlantUML’s SVG output changes. Its only advantage, a render independent of resolution, does not outweigh these costs</w:t>
      </w:r>
    </w:p>
    <w:p>
      <w:pPr>
        <w:numPr>
          <w:ilvl w:val="0"/>
          <w:numId w:val="1018"/>
        </w:numPr>
        <w:pStyle w:val="Compact"/>
      </w:pPr>
      <w:r>
        <w:t xml:space="preserve">Alternative of EMIT-time href injection through placeholder URLs rejected for now: the display text must be known before layout anyway, and body links are also resolved at TRANSFORM, so cached specifications have the same staleness semantics as Markdown</w:t>
      </w:r>
    </w:p>
    <w:p>
      <w:pPr>
        <w:numPr>
          <w:ilvl w:val="0"/>
          <w:numId w:val="1018"/>
        </w:numPr>
        <w:pStyle w:val="Compact"/>
      </w:pPr>
      <w:r>
        <w:t xml:space="preserve">Alternative of a new relation type (e.g.</w:t>
      </w:r>
      <w:r>
        <w:t xml:space="preserve"> </w:t>
      </w:r>
      <w:r>
        <w:rPr>
          <w:rStyle w:val="VerbatimChar"/>
        </w:rPr>
        <w:t xml:space="preserve">DIAGRAM_REF</w:t>
      </w:r>
      <w:r>
        <w:t xml:space="preserve">) rejected: relation types encode what a link means (the selector, source attribute, source type, and target type used by inference), not where it was written. No inference dimension distinguishes a diagram, so the type would need a fake source attribute or selector. It would lose the</w:t>
      </w:r>
      <w:r>
        <w:t xml:space="preserve"> </w:t>
      </w:r>
      <w:r>
        <w:rPr>
          <w:rStyle w:val="VerbatimChar"/>
        </w:rPr>
        <w:t xml:space="preserve">XREF_FIGURE</w:t>
      </w:r>
      <w:r>
        <w:t xml:space="preserve">/</w:t>
      </w:r>
      <w:r>
        <w:rPr>
          <w:rStyle w:val="VerbatimChar"/>
        </w:rPr>
        <w:t xml:space="preserve">XREF_SEC</w:t>
      </w:r>
      <w:r>
        <w:t xml:space="preserve"> </w:t>
      </w:r>
      <w:r>
        <w:t xml:space="preserve">display text, could not cover both the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resolvers, and gives traceability consumers nothing</w:t>
      </w:r>
    </w:p>
    <w:p>
      <w:pPr>
        <w:numPr>
          <w:ilvl w:val="0"/>
          <w:numId w:val="1018"/>
        </w:numPr>
        <w:pStyle w:val="Compact"/>
      </w:pPr>
      <w:r>
        <w:t xml:space="preserve">Alternative of a marker Div wrapping the PNG paragraph rejected: it changes the float’s block structure for every format. It broke the ACM LaTeX filter, which pairs the caption Div with the</w:t>
      </w:r>
      <w:r>
        <w:t xml:space="preserve"> </w:t>
      </w:r>
      <w:r>
        <w:rPr>
          <w:rStyle w:val="VerbatimChar"/>
        </w:rPr>
        <w:t xml:space="preserve">Para[Image]</w:t>
      </w:r>
      <w:r>
        <w:t xml:space="preserve"> </w:t>
      </w:r>
      <w:r>
        <w:t xml:space="preserve">beside it to build</w:t>
      </w:r>
      <w:r>
        <w:t xml:space="preserve"> </w:t>
      </w:r>
      <w:r>
        <w:rPr>
          <w:rStyle w:val="VerbatimChar"/>
        </w:rPr>
        <w:t xml:space="preserve">figure*</w:t>
      </w:r>
      <w:r>
        <w:t xml:space="preserve">,</w:t>
      </w:r>
      <w:r>
        <w:t xml:space="preserve"> </w:t>
      </w:r>
      <w:r>
        <w:rPr>
          <w:rStyle w:val="VerbatimChar"/>
        </w:rPr>
        <w:t xml:space="preserve">\caption</w:t>
      </w:r>
      <w:r>
        <w:t xml:space="preserve">, and</w:t>
      </w:r>
      <w:r>
        <w:t xml:space="preserve"> </w:t>
      </w:r>
      <w:r>
        <w:rPr>
          <w:rStyle w:val="VerbatimChar"/>
        </w:rPr>
        <w:t xml:space="preserve">\label</w:t>
      </w:r>
      <w:r>
        <w:t xml:space="preserve">, and it leaked into gfm and commonmark output</w:t>
      </w:r>
    </w:p>
    <w:p>
      <w:pPr>
        <w:numPr>
          <w:ilvl w:val="0"/>
          <w:numId w:val="1018"/>
        </w:numPr>
        <w:pStyle w:val="Compact"/>
      </w:pPr>
      <w:r>
        <w:t xml:space="preserve">Alternative of caching on the PNG rejected: a build directory from a PNG-only version would count as a hit, so diagrams without links would never gain an SVG until a clean build</w:t>
      </w:r>
    </w:p>
    <w:p>
      <w:pPr>
        <w:numPr>
          <w:ilvl w:val="0"/>
          <w:numId w:val="1018"/>
        </w:numPr>
        <w:pStyle w:val="Compact"/>
      </w:pPr>
      <w:r>
        <w:t xml:space="preserve">Alternative of SVG-only output rejected: DOCX SVG embedding needs</w:t>
      </w:r>
      <w:r>
        <w:t xml:space="preserve"> </w:t>
      </w:r>
      <w:r>
        <w:rPr>
          <w:rStyle w:val="VerbatimChar"/>
        </w:rPr>
        <w:t xml:space="preserve">rsvg-convert</w:t>
      </w:r>
      <w:r>
        <w:t xml:space="preserve"> </w:t>
      </w:r>
      <w:r>
        <w:t xml:space="preserve">for its raster fallback, which the image does not ship, and LaTeX models cannot</w:t>
      </w:r>
      <w:r>
        <w:t xml:space="preserve"> </w:t>
      </w:r>
      <w:r>
        <w:rPr>
          <w:rStyle w:val="VerbatimChar"/>
        </w:rPr>
        <w:t xml:space="preserve">\includegraphics</w:t>
      </w:r>
      <w:r>
        <w:t xml:space="preserve"> </w:t>
      </w:r>
      <w:r>
        <w:t xml:space="preserve">an SVG. The cost of dual output is two PlantUML runs per changed diagram, still parallel across diagrams</w:t>
      </w:r>
    </w:p>
    <w:bookmarkEnd w:id="130"/>
    <w:bookmarkStart w:id="146"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1">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Default Model</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Default Filters</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Default Postprocessors</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after="0" w:lineRule="exact" w:line="20" w:before="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719247"/>
            <wp:effectExtent b="0" l="0" r="0" t="0"/>
            <wp:docPr descr="" title="" id="133" name="Picture"/>
            <a:graphic>
              <a:graphicData uri="http://schemas.openxmlformats.org/drawingml/2006/picture">
                <pic:pic>
                  <pic:nvPicPr>
                    <pic:cNvPr descr="diagrams/eba4ec179284afaeaa743d062c0c59fc8cc0d9f0.png" id="134" name="Picture"/>
                    <pic:cNvPicPr>
                      <a:picLocks noChangeArrowheads="1" noChangeAspect="1"/>
                    </pic:cNvPicPr>
                  </pic:nvPicPr>
                  <pic:blipFill>
                    <a:blip r:embed="rId132"/>
                    <a:stretch>
                      <a:fillRect/>
                    </a:stretch>
                  </pic:blipFill>
                  <pic:spPr bwMode="auto">
                    <a:xfrm>
                      <a:off x="0" y="0"/>
                      <a:ext cx="5334000" cy="6719247"/>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5">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Default Model</w:t>
        </w:r>
      </w:hyperlink>
    </w:p>
    <w:p>
      <w:pPr>
        <w:pStyle w:val="Definition"/>
      </w:pPr>
      <w:r>
        <w:t xml:space="preserve">,</w:t>
      </w:r>
    </w:p>
    <w:p>
      <w:pPr>
        <w:pStyle w:val="Definition"/>
      </w:pPr>
      <w:r>
        <w:t xml:space="preserve"> </w:t>
      </w:r>
    </w:p>
    <w:p>
      <w:pPr>
        <w:pStyle w:val="Definition"/>
      </w:pPr>
      <w:hyperlink w:anchor="CSC-018">
        <w:r>
          <w:rPr>
            <w:rStyle w:val="Hyperlink"/>
          </w:rPr>
          <w:t xml:space="preserve">Default Filters</w:t>
        </w:r>
      </w:hyperlink>
    </w:p>
    <w:p>
      <w:pPr>
        <w:pStyle w:val="Definition"/>
      </w:pPr>
      <w:r>
        <w:t xml:space="preserve">,</w:t>
      </w:r>
    </w:p>
    <w:p>
      <w:pPr>
        <w:pStyle w:val="Definition"/>
      </w:pPr>
      <w:r>
        <w:t xml:space="preserve"> </w:t>
      </w:r>
    </w:p>
    <w:p>
      <w:pPr>
        <w:pStyle w:val="Definition"/>
      </w:pPr>
      <w:hyperlink w:anchor="CSC-019">
        <w:r>
          <w:rPr>
            <w:rStyle w:val="Hyperlink"/>
          </w:rPr>
          <w:t xml:space="preserve">Default Postprocessors</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6">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6">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7">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7">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7">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8">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8">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9">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9">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40">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40">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1">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1">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2">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3">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4">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5">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4">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9"/>
        </w:numPr>
        <w:pStyle w:val="Compact"/>
      </w:pPr>
      <w:r>
        <w:t xml:space="preserve">Default model loads first, establishing baseline types (SECTION, SPEC, float types, relations, views)</w:t>
      </w:r>
    </w:p>
    <w:p>
      <w:pPr>
        <w:numPr>
          <w:ilvl w:val="0"/>
          <w:numId w:val="1019"/>
        </w:numPr>
        <w:pStyle w:val="Compact"/>
      </w:pPr>
      <w:r>
        <w:t xml:space="preserve">Domain model loads second; types with matching IDs replace defaults, new IDs add to the registry</w:t>
      </w:r>
    </w:p>
    <w:p>
      <w:pPr>
        <w:numPr>
          <w:ilvl w:val="0"/>
          <w:numId w:val="1019"/>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9"/>
        </w:numPr>
        <w:pStyle w:val="Compact"/>
      </w:pPr>
      <w:r>
        <w:t xml:space="preserve">Attribute inheritance propagated iteratively after all types are loaded, enabling parent attributes to flow to child types across model boundaries</w:t>
      </w:r>
    </w:p>
    <w:p>
      <w:pPr>
        <w:numPr>
          <w:ilvl w:val="0"/>
          <w:numId w:val="1019"/>
        </w:numPr>
        <w:pStyle w:val="Compact"/>
      </w:pPr>
      <w:r>
        <w:t xml:space="preserve">Filter, postprocessor, and style directories follow conventional naming for predictable discovery</w:t>
      </w:r>
    </w:p>
    <w:p>
      <w:pPr>
        <w:numPr>
          <w:ilvl w:val="0"/>
          <w:numId w:val="1019"/>
        </w:numPr>
        <w:pStyle w:val="Compact"/>
      </w:pPr>
      <w:r>
        <w:t xml:space="preserve">Alternative of mixin composition rejected: ordering ambiguity when multiple mixins define the same attribute</w:t>
      </w:r>
    </w:p>
    <w:bookmarkEnd w:id="146"/>
    <w:bookmarkStart w:id="157"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after="0" w:lineRule="exact" w:line="20" w:before="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after="0" w:lineRule="exact" w:line="20" w:before="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after="0" w:lineRule="exact" w:line="20" w:before="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after="0" w:lineRule="exact" w:line="20" w:before="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after="0" w:lineRule="exact" w:line="20" w:before="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4617585"/>
            <wp:effectExtent b="0" l="0" r="0" t="0"/>
            <wp:docPr descr="" title="" id="148" name="Picture"/>
            <a:graphic>
              <a:graphicData uri="http://schemas.openxmlformats.org/drawingml/2006/picture">
                <pic:pic>
                  <pic:nvPicPr>
                    <pic:cNvPr descr="diagrams/568caa8432ce897ec61b94de26724f49583d3f13.png" id="149" name="Picture"/>
                    <pic:cNvPicPr>
                      <a:picLocks noChangeArrowheads="1" noChangeAspect="1"/>
                    </pic:cNvPicPr>
                  </pic:nvPicPr>
                  <pic:blipFill>
                    <a:blip r:embed="rId147"/>
                    <a:stretch>
                      <a:fillRect/>
                    </a:stretch>
                  </pic:blipFill>
                  <pic:spPr bwMode="auto">
                    <a:xfrm>
                      <a:off x="0" y="0"/>
                      <a:ext cx="5334000" cy="4617585"/>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50">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1">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1">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2">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2">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3">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3">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4">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5">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5">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6">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6">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7"/>
    <w:bookmarkStart w:id="161"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after="0" w:lineRule="exact" w:line="20" w:before="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4806565"/>
            <wp:effectExtent b="0" l="0" r="0" t="0"/>
            <wp:docPr descr="" title="" id="159" name="Picture"/>
            <a:graphic>
              <a:graphicData uri="http://schemas.openxmlformats.org/drawingml/2006/picture">
                <pic:pic>
                  <pic:nvPicPr>
                    <pic:cNvPr descr="diagrams/1ca4c7d6bcb24815c59d614c09234ac85dc1e788.png" id="160" name="Picture"/>
                    <pic:cNvPicPr>
                      <a:picLocks noChangeArrowheads="1" noChangeAspect="1"/>
                    </pic:cNvPicPr>
                  </pic:nvPicPr>
                  <pic:blipFill>
                    <a:blip r:embed="rId158"/>
                    <a:stretch>
                      <a:fillRect/>
                    </a:stretch>
                  </pic:blipFill>
                  <pic:spPr bwMode="auto">
                    <a:xfrm>
                      <a:off x="0" y="0"/>
                      <a:ext cx="5334000" cy="4806565"/>
                    </a:xfrm>
                    <a:prstGeom prst="rect">
                      <a:avLst/>
                    </a:prstGeom>
                    <a:noFill/>
                    <a:ln w="9525">
                      <a:noFill/>
                      <a:headEnd/>
                      <a:tailEnd/>
                    </a:ln>
                  </pic:spPr>
                </pic:pic>
              </a:graphicData>
            </a:graphic>
          </wp:inline>
        </w:drawing>
      </w:r>
    </w:p>
    <w:bookmarkEnd w:id="161"/>
    <w:bookmarkStart w:id="197"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20"/>
        </w:numPr>
        <w:pStyle w:val="Compact"/>
      </w:pPr>
      <w:r>
        <w:rPr>
          <w:rStyle w:val="VerbatimChar"/>
        </w:rPr>
        <w:t xml:space="preserve">CSC</w:t>
      </w:r>
      <w:r>
        <w:t xml:space="preserve"> </w:t>
      </w:r>
      <w:r>
        <w:t xml:space="preserve">(</w:t>
      </w:r>
      <w:hyperlink r:id="rId162">
        <w:r>
          <w:rPr>
            <w:rStyle w:val="Hyperlink"/>
          </w:rPr>
          <w:t xml:space="preserve">&lt;CSC (Computer Software Component)&gt;</w:t>
        </w:r>
      </w:hyperlink>
      <w:r>
        <w:t xml:space="preserve">) identifies structural subsystems/layers.</w:t>
      </w:r>
    </w:p>
    <w:p>
      <w:pPr>
        <w:numPr>
          <w:ilvl w:val="0"/>
          <w:numId w:val="1020"/>
        </w:numPr>
        <w:pStyle w:val="Compact"/>
      </w:pPr>
      <w:r>
        <w:rPr>
          <w:rStyle w:val="VerbatimChar"/>
        </w:rPr>
        <w:t xml:space="preserve">CSU</w:t>
      </w:r>
      <w:r>
        <w:t xml:space="preserve"> </w:t>
      </w:r>
      <w:r>
        <w:t xml:space="preserve">(</w:t>
      </w:r>
      <w:hyperlink r:id="rId163">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80" w:name="SDD-001-sec1.10.1"/>
    <w:p>
      <w:pPr>
        <w:pStyle w:val="Heading3"/>
      </w:pPr>
      <w:r>
        <w:t xml:space="preserve">Core Software Components</w:t>
      </w:r>
    </w:p>
    <w:bookmarkStart w:id="164"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1">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4"/>
    <w:bookmarkStart w:id="168"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5"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5"/>
    <w:bookmarkStart w:id="166"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6"/>
    <w:bookmarkStart w:id="167"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7"/>
    <w:bookmarkEnd w:id="168"/>
    <w:bookmarkStart w:id="174"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9"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9"/>
    <w:bookmarkStart w:id="170"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 An image result with an SVG rendition keeps its block structure; the image carries the SVG path in an</w:t>
      </w:r>
      <w:r>
        <w:t xml:space="preserve"> </w:t>
      </w:r>
      <w:r>
        <w:rPr>
          <w:rStyle w:val="VerbatimChar"/>
        </w:rPr>
        <w:t xml:space="preserve">svg</w:t>
      </w:r>
      <w:r>
        <w:t xml:space="preserve"> </w:t>
      </w:r>
      <w:r>
        <w:t xml:space="preserve">attribute for the HTML filter.</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(PNG paths plus optional SVG paths)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70"/>
    <w:bookmarkStart w:id="171"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TABLE float cells, and the raw source of floats whose type declares a</w:t>
      </w:r>
      <w:r>
        <w:t xml:space="preserve"> </w:t>
      </w:r>
      <w:r>
        <w:rPr>
          <w:rStyle w:val="VerbatimChar"/>
        </w:rPr>
        <w:t xml:space="preserve">format_link</w:t>
      </w:r>
      <w:r>
        <w:t xml:space="preserve"> </w:t>
      </w:r>
      <w:r>
        <w:t xml:space="preserve">hook,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1"/>
    <w:bookmarkStart w:id="172"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165" w:id="54857"/>
      <w:r>
        <w:t xml:space="preserve">CSU-165: Relation Lookup</w:t>
      </w:r>
      <w:bookmarkEnd w:id="54857"/>
    </w:p>
    <w:p>
      <w:pPr>
        <w:pStyle w:val="DefinitionTerm"/>
      </w:pPr>
      <w:r>
        <w:rPr>
          <w:bCs/>
          <w:b/>
        </w:rPr>
        <w:t xml:space="preserve">DESCRIPTION:</w:t>
      </w:r>
    </w:p>
    <w:p>
      <w:pPr>
        <w:pStyle w:val="Definition"/>
      </w:pPr>
      <w:r>
        <w:t xml:space="preserve">Builds the per-specification map from an authored link (source object, selector, link text, with float alias variants) to its resolved anchor and display text, using relation render_link hooks and the cross-document specification prefix. Provides lookup with language-qualified fallback, same- or cross-document link targets (</w:t>
      </w:r>
      <w:r>
        <w:rPr>
          <w:rStyle w:val="VerbatimChar"/>
        </w:rPr>
        <w:t xml:space="preserve">#anchor</w:t>
      </w:r>
      <w:r>
        <w:t xml:space="preserve"> </w:t>
      </w:r>
      <w:r>
        <w:t xml:space="preserve">/</w:t>
      </w:r>
      <w:r>
        <w:t xml:space="preserve"> </w:t>
      </w:r>
      <w:r>
        <w:rPr>
          <w:rStyle w:val="VerbatimChar"/>
        </w:rPr>
        <w:t xml:space="preserve">{spec}.ext#anchor</w:t>
      </w:r>
      <w:r>
        <w:t xml:space="preserve">), and the unresolved base-selector fallback. Shared by relation_link_rewriter and external_render_handler so that a link resolves identically in body text and in diagram source.</w:t>
      </w:r>
    </w:p>
    <w:p>
      <w:pPr>
        <w:pStyle w:val="DefinitionTerm"/>
      </w:pPr>
      <w:r>
        <w:rPr>
          <w:bCs/>
          <w:b/>
        </w:rPr>
        <w:t xml:space="preserve">FILE PATH:</w:t>
      </w:r>
    </w:p>
    <w:p>
      <w:pPr>
        <w:pStyle w:val="Definition"/>
      </w:pPr>
      <w:r>
        <w:t xml:space="preserve">src/pipeline/shared/relation_lookup.lua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166" w:id="54858"/>
      <w:r>
        <w:t xml:space="preserve">CSU-166: Source Links</w:t>
      </w:r>
      <w:bookmarkEnd w:id="54858"/>
    </w:p>
    <w:p>
      <w:pPr>
        <w:pStyle w:val="DefinitionTerm"/>
      </w:pPr>
      <w:r>
        <w:rPr>
          <w:bCs/>
          <w:b/>
        </w:rPr>
        <w:t xml:space="preserve">DESCRIPTION:</w:t>
      </w:r>
    </w:p>
    <w:p>
      <w:pPr>
        <w:pStyle w:val="Definition"/>
      </w:pPr>
      <w:r>
        <w:t xml:space="preserve">Finds CommonSpec links in the raw text of a non-Markdown float source and reports each link’s text, selector, and 1-based line, or replaces each link through a callback. Link text may not contain brackets or a newline and the selector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so PlantUML’s own bracket syntax never matches.</w:t>
      </w:r>
    </w:p>
    <w:p>
      <w:pPr>
        <w:pStyle w:val="DefinitionTerm"/>
      </w:pPr>
      <w:r>
        <w:rPr>
          <w:bCs/>
          <w:b/>
        </w:rPr>
        <w:t xml:space="preserve">FILE PATH:</w:t>
      </w:r>
    </w:p>
    <w:p>
      <w:pPr>
        <w:pStyle w:val="Definition"/>
      </w:pPr>
      <w:r>
        <w:t xml:space="preserve">src/pipeline/shared/source_links.lua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2"/>
    <w:bookmarkStart w:id="173"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 Runs after float numbering; for float types with a</w:t>
      </w:r>
      <w:r>
        <w:t xml:space="preserve"> </w:t>
      </w:r>
      <w:r>
        <w:rPr>
          <w:rStyle w:val="VerbatimChar"/>
        </w:rPr>
        <w:t xml:space="preserve">format_link</w:t>
      </w:r>
      <w:r>
        <w:t xml:space="preserve"> </w:t>
      </w:r>
      <w:r>
        <w:t xml:space="preserve">hook it rewrites CommonSpec links in the source to the type’s native link syntax before</w:t>
      </w:r>
      <w:r>
        <w:t xml:space="preserve"> </w:t>
      </w:r>
      <w:r>
        <w:rPr>
          <w:rStyle w:val="VerbatimChar"/>
        </w:rPr>
        <w:t xml:space="preserve">prepare_task</w:t>
      </w:r>
      <w:r>
        <w:t xml:space="preserve">, so the render cache keys on the rewritten source.</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that relation_lookup builds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3"/>
    <w:bookmarkEnd w:id="174"/>
    <w:bookmarkStart w:id="179"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5"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5"/>
    <w:bookmarkStart w:id="176"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6"/>
    <w:bookmarkStart w:id="177"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7"/>
    <w:bookmarkStart w:id="178"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8"/>
    <w:bookmarkEnd w:id="179"/>
    <w:bookmarkEnd w:id="180"/>
    <w:bookmarkStart w:id="189" w:name="SDD-001-sec1.10.2"/>
    <w:p>
      <w:pPr>
        <w:pStyle w:val="Heading3"/>
      </w:pPr>
      <w:r>
        <w:t xml:space="preserve">Default Model Components</w:t>
      </w:r>
    </w:p>
    <w:bookmarkStart w:id="188"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1"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 including replacing an image that carries an</w:t>
      </w:r>
      <w:r>
        <w:t xml:space="preserve"> </w:t>
      </w:r>
      <w:r>
        <w:rPr>
          <w:rStyle w:val="VerbatimChar"/>
        </w:rPr>
        <w:t xml:space="preserve">svg</w:t>
      </w:r>
      <w:r>
        <w:t xml:space="preserve"> </w:t>
      </w:r>
      <w:r>
        <w:t xml:space="preserve">attribute with the inline SVG so diagram links navigate.</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1"/>
    <w:bookmarkStart w:id="182"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2"/>
    <w:bookmarkStart w:id="183"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3"/>
    <w:bookmarkStart w:id="184"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4"/>
    <w:bookmarkStart w:id="185"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SVG and PNG in one task; shares the FIGURE counter group and requires external rendering. Its</w:t>
      </w:r>
      <w:r>
        <w:t xml:space="preserve"> </w:t>
      </w:r>
      <w:r>
        <w:rPr>
          <w:rStyle w:val="VerbatimChar"/>
        </w:rPr>
        <w:t xml:space="preserve">format_link</w:t>
      </w:r>
      <w:r>
        <w:t xml:space="preserve"> </w:t>
      </w:r>
      <w:r>
        <w:t xml:space="preserve">hook writes resolved CommonSpec links as PlantUML</w:t>
      </w:r>
      <w:r>
        <w:t xml:space="preserve"> </w:t>
      </w:r>
      <w:r>
        <w:rPr>
          <w:rStyle w:val="VerbatimChar"/>
        </w:rPr>
        <w:t xml:space="preserve">[[href{tooltip} label]]</w:t>
      </w:r>
      <w:r>
        <w:t xml:space="preserve"> </w:t>
      </w:r>
      <w:r>
        <w:t xml:space="preserve">hyperlinks.</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5"/>
    <w:bookmarkStart w:id="186"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6"/>
    <w:bookmarkStart w:id="187"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7"/>
    <w:bookmarkEnd w:id="188"/>
    <w:bookmarkEnd w:id="189"/>
    <w:bookmarkStart w:id="196" w:name="SDD-001-sec1.10.3"/>
    <w:p>
      <w:pPr>
        <w:pStyle w:val="Heading3"/>
      </w:pPr>
      <w:r>
        <w:t xml:space="preserve">SW Docs Model Components</w:t>
      </w:r>
    </w:p>
    <w:bookmarkStart w:id="195"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90"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90"/>
    <w:bookmarkStart w:id="191"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1"/>
    <w:bookmarkStart w:id="192"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2"/>
    <w:bookmarkStart w:id="193"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3"/>
    <w:bookmarkStart w:id="194"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4"/>
    <w:bookmarkEnd w:id="195"/>
    <w:bookmarkEnd w:id="196"/>
    <w:bookmarkEnd w:id="197"/>
    <w:bookmarkEnd w:id="198"/>
    <w:bookmarkStart w:id="206"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1">
              <w:r>
                <w:rPr>
                  <w:rStyle w:val="Hyperlink"/>
                </w:rPr>
                <w:t xml:space="preserve">HLR-AUDIT-001</w:t>
              </w:r>
            </w:hyperlink>
          </w:p>
        </w:tc>
        <w:tc>
          <w:tcPr/>
          <w:p>
            <w:pPr>
              <w:pStyle w:val="Compact"/>
              <w:jc w:val="left"/>
            </w:pPr>
            <w:r>
              <w:t xml:space="preserve">Content-Addressed Hashing</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HLR-AUDIT-001</w:t>
              </w:r>
            </w:hyperlink>
          </w:p>
        </w:tc>
        <w:tc>
          <w:tcPr/>
          <w:p>
            <w:pPr>
              <w:pStyle w:val="Compact"/>
              <w:jc w:val="left"/>
            </w:pPr>
            <w:r>
              <w:t xml:space="preserve">Content-Addressed Hashing</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3">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3">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HLR-AUDIT-004</w:t>
              </w:r>
            </w:hyperlink>
          </w:p>
        </w:tc>
        <w:tc>
          <w:tcPr/>
          <w:p>
            <w:pPr>
              <w:pStyle w:val="Compact"/>
              <w:jc w:val="left"/>
            </w:pPr>
            <w:r>
              <w:t xml:space="preserve">Structured Logging</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HLR-AUDIT-004</w:t>
              </w:r>
            </w:hyperlink>
          </w:p>
        </w:tc>
        <w:tc>
          <w:tcPr/>
          <w:p>
            <w:pPr>
              <w:pStyle w:val="Compact"/>
              <w:jc w:val="left"/>
            </w:pPr>
            <w:r>
              <w:t xml:space="preserve">Structured Logging</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6">
              <w:r>
                <w:rPr>
                  <w:rStyle w:val="Hyperlink"/>
                </w:rPr>
                <w:t xml:space="preserve">HLR-AUDIT-005</w:t>
              </w:r>
            </w:hyperlink>
          </w:p>
        </w:tc>
        <w:tc>
          <w:tcPr/>
          <w:p>
            <w:pPr>
              <w:pStyle w:val="Compact"/>
              <w:jc w:val="left"/>
            </w:pPr>
            <w:r>
              <w:t xml:space="preserve">Build Reproducibility</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6">
              <w:r>
                <w:rPr>
                  <w:rStyle w:val="Hyperlink"/>
                </w:rPr>
                <w:t xml:space="preserve">HLR-AUDIT-005</w:t>
              </w:r>
            </w:hyperlink>
          </w:p>
        </w:tc>
        <w:tc>
          <w:tcPr/>
          <w:p>
            <w:pPr>
              <w:pStyle w:val="Compact"/>
              <w:jc w:val="left"/>
            </w:pPr>
            <w:r>
              <w:t xml:space="preserve">Build Reproducibility</w:t>
            </w:r>
          </w:p>
        </w:tc>
        <w:tc>
          <w:tcPr/>
          <w:p>
            <w:pPr>
              <w:pStyle w:val="Compact"/>
              <w:jc w:val="left"/>
            </w:pPr>
            <w:hyperlink r:id="rId150">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9">
              <w:r>
                <w:rPr>
                  <w:rStyle w:val="Hyperlink"/>
                </w:rPr>
                <w:t xml:space="preserve">HLR-OUT-008</w:t>
              </w:r>
            </w:hyperlink>
          </w:p>
        </w:tc>
        <w:tc>
          <w:tcPr/>
          <w:p>
            <w:pPr>
              <w:pStyle w:val="Compact"/>
              <w:jc w:val="left"/>
            </w:pPr>
            <w:r>
              <w:t xml:space="preserve">Diagram Hyperlinks</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5">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5">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HLR-TYPE-001</w:t>
              </w:r>
            </w:hyperlink>
          </w:p>
        </w:tc>
        <w:tc>
          <w:tcPr/>
          <w:p>
            <w:pPr>
              <w:pStyle w:val="Compact"/>
              <w:jc w:val="left"/>
            </w:pPr>
            <w:r>
              <w:t xml:space="preserve">Specifications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HLR-TYPE-001</w:t>
              </w:r>
            </w:hyperlink>
          </w:p>
        </w:tc>
        <w:tc>
          <w:tcPr/>
          <w:p>
            <w:pPr>
              <w:pStyle w:val="Compact"/>
              <w:jc w:val="left"/>
            </w:pPr>
            <w:r>
              <w:t xml:space="preserve">Specifications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HLR-TYPE-001</w:t>
              </w:r>
            </w:hyperlink>
          </w:p>
        </w:tc>
        <w:tc>
          <w:tcPr/>
          <w:p>
            <w:pPr>
              <w:pStyle w:val="Compact"/>
              <w:jc w:val="left"/>
            </w:pPr>
            <w:r>
              <w:t xml:space="preserve">Specifications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HLR-TYPE-001</w:t>
              </w:r>
            </w:hyperlink>
          </w:p>
        </w:tc>
        <w:tc>
          <w:tcPr/>
          <w:p>
            <w:pPr>
              <w:pStyle w:val="Compact"/>
              <w:jc w:val="left"/>
            </w:pPr>
            <w:r>
              <w:t xml:space="preserve">Specifications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HLR-TYPE-001</w:t>
              </w:r>
            </w:hyperlink>
          </w:p>
        </w:tc>
        <w:tc>
          <w:tcPr/>
          <w:p>
            <w:pPr>
              <w:pStyle w:val="Compact"/>
              <w:jc w:val="left"/>
            </w:pPr>
            <w:r>
              <w:t xml:space="preserve">Specifications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HLR-TYPE-001</w:t>
              </w:r>
            </w:hyperlink>
          </w:p>
        </w:tc>
        <w:tc>
          <w:tcPr/>
          <w:p>
            <w:pPr>
              <w:pStyle w:val="Compact"/>
              <w:jc w:val="left"/>
            </w:pPr>
            <w:r>
              <w:t xml:space="preserve">Specifications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HLR-TYPE-001</w:t>
              </w:r>
            </w:hyperlink>
          </w:p>
        </w:tc>
        <w:tc>
          <w:tcPr/>
          <w:p>
            <w:pPr>
              <w:pStyle w:val="Compact"/>
              <w:jc w:val="left"/>
            </w:pPr>
            <w:r>
              <w:t xml:space="preserve">Specifications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HLR-TYPE-001</w:t>
              </w:r>
            </w:hyperlink>
          </w:p>
        </w:tc>
        <w:tc>
          <w:tcPr/>
          <w:p>
            <w:pPr>
              <w:pStyle w:val="Compact"/>
              <w:jc w:val="left"/>
            </w:pPr>
            <w:r>
              <w:t xml:space="preserve">Specifications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HLR-TYPE-002</w:t>
              </w:r>
            </w:hyperlink>
          </w:p>
        </w:tc>
        <w:tc>
          <w:tcPr/>
          <w:p>
            <w:pPr>
              <w:pStyle w:val="Compact"/>
              <w:jc w:val="left"/>
            </w:pPr>
            <w:r>
              <w:t xml:space="preserve">Spec Objects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HLR-TYPE-002</w:t>
              </w:r>
            </w:hyperlink>
          </w:p>
        </w:tc>
        <w:tc>
          <w:tcPr/>
          <w:p>
            <w:pPr>
              <w:pStyle w:val="Compact"/>
              <w:jc w:val="left"/>
            </w:pPr>
            <w:r>
              <w:t xml:space="preserve">Spec Objects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HLR-TYPE-002</w:t>
              </w:r>
            </w:hyperlink>
          </w:p>
        </w:tc>
        <w:tc>
          <w:tcPr/>
          <w:p>
            <w:pPr>
              <w:pStyle w:val="Compact"/>
              <w:jc w:val="left"/>
            </w:pPr>
            <w:r>
              <w:t xml:space="preserve">Spec Objects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HLR-TYPE-002</w:t>
              </w:r>
            </w:hyperlink>
          </w:p>
        </w:tc>
        <w:tc>
          <w:tcPr/>
          <w:p>
            <w:pPr>
              <w:pStyle w:val="Compact"/>
              <w:jc w:val="left"/>
            </w:pPr>
            <w:r>
              <w:t xml:space="preserve">Spec Objects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HLR-TYPE-002</w:t>
              </w:r>
            </w:hyperlink>
          </w:p>
        </w:tc>
        <w:tc>
          <w:tcPr/>
          <w:p>
            <w:pPr>
              <w:pStyle w:val="Compact"/>
              <w:jc w:val="left"/>
            </w:pPr>
            <w:r>
              <w:t xml:space="preserve">Spec Objects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HLR-TYPE-002</w:t>
              </w:r>
            </w:hyperlink>
          </w:p>
        </w:tc>
        <w:tc>
          <w:tcPr/>
          <w:p>
            <w:pPr>
              <w:pStyle w:val="Compact"/>
              <w:jc w:val="left"/>
            </w:pPr>
            <w:r>
              <w:t xml:space="preserve">Spec Objects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HLR-TYPE-002</w:t>
              </w:r>
            </w:hyperlink>
          </w:p>
        </w:tc>
        <w:tc>
          <w:tcPr/>
          <w:p>
            <w:pPr>
              <w:pStyle w:val="Compact"/>
              <w:jc w:val="left"/>
            </w:pPr>
            <w:r>
              <w:t xml:space="preserve">Spec Objects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HLR-TYPE-002</w:t>
              </w:r>
            </w:hyperlink>
          </w:p>
        </w:tc>
        <w:tc>
          <w:tcPr/>
          <w:p>
            <w:pPr>
              <w:pStyle w:val="Compact"/>
              <w:jc w:val="left"/>
            </w:pPr>
            <w:r>
              <w:t xml:space="preserve">Spec Objects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HLR-TYPE-003</w:t>
              </w:r>
            </w:hyperlink>
          </w:p>
        </w:tc>
        <w:tc>
          <w:tcPr/>
          <w:p>
            <w:pPr>
              <w:pStyle w:val="Compact"/>
              <w:jc w:val="left"/>
            </w:pPr>
            <w:r>
              <w:t xml:space="preserve">Spec Floats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HLR-TYPE-003</w:t>
              </w:r>
            </w:hyperlink>
          </w:p>
        </w:tc>
        <w:tc>
          <w:tcPr/>
          <w:p>
            <w:pPr>
              <w:pStyle w:val="Compact"/>
              <w:jc w:val="left"/>
            </w:pPr>
            <w:r>
              <w:t xml:space="preserve">Spec Floats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HLR-TYPE-003</w:t>
              </w:r>
            </w:hyperlink>
          </w:p>
        </w:tc>
        <w:tc>
          <w:tcPr/>
          <w:p>
            <w:pPr>
              <w:pStyle w:val="Compact"/>
              <w:jc w:val="left"/>
            </w:pPr>
            <w:r>
              <w:t xml:space="preserve">Spec Floats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HLR-TYPE-003</w:t>
              </w:r>
            </w:hyperlink>
          </w:p>
        </w:tc>
        <w:tc>
          <w:tcPr/>
          <w:p>
            <w:pPr>
              <w:pStyle w:val="Compact"/>
              <w:jc w:val="left"/>
            </w:pPr>
            <w:r>
              <w:t xml:space="preserve">Spec Floats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HLR-TYPE-003</w:t>
              </w:r>
            </w:hyperlink>
          </w:p>
        </w:tc>
        <w:tc>
          <w:tcPr/>
          <w:p>
            <w:pPr>
              <w:pStyle w:val="Compact"/>
              <w:jc w:val="left"/>
            </w:pPr>
            <w:r>
              <w:t xml:space="preserve">Spec Floats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HLR-TYPE-003</w:t>
              </w:r>
            </w:hyperlink>
          </w:p>
        </w:tc>
        <w:tc>
          <w:tcPr/>
          <w:p>
            <w:pPr>
              <w:pStyle w:val="Compact"/>
              <w:jc w:val="left"/>
            </w:pPr>
            <w:r>
              <w:t xml:space="preserve">Spec Floats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HLR-TYPE-003</w:t>
              </w:r>
            </w:hyperlink>
          </w:p>
        </w:tc>
        <w:tc>
          <w:tcPr/>
          <w:p>
            <w:pPr>
              <w:pStyle w:val="Compact"/>
              <w:jc w:val="left"/>
            </w:pPr>
            <w:r>
              <w:t xml:space="preserve">Spec Floats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HLR-TYPE-003</w:t>
              </w:r>
            </w:hyperlink>
          </w:p>
        </w:tc>
        <w:tc>
          <w:tcPr/>
          <w:p>
            <w:pPr>
              <w:pStyle w:val="Compact"/>
              <w:jc w:val="left"/>
            </w:pPr>
            <w:r>
              <w:t xml:space="preserve">Spec Floats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HLR-TYPE-004</w:t>
              </w:r>
            </w:hyperlink>
          </w:p>
        </w:tc>
        <w:tc>
          <w:tcPr/>
          <w:p>
            <w:pPr>
              <w:pStyle w:val="Compact"/>
              <w:jc w:val="left"/>
            </w:pPr>
            <w:r>
              <w:t xml:space="preserve">Spec Views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HLR-TYPE-004</w:t>
              </w:r>
            </w:hyperlink>
          </w:p>
        </w:tc>
        <w:tc>
          <w:tcPr/>
          <w:p>
            <w:pPr>
              <w:pStyle w:val="Compact"/>
              <w:jc w:val="left"/>
            </w:pPr>
            <w:r>
              <w:t xml:space="preserve">Spec Views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HLR-TYPE-004</w:t>
              </w:r>
            </w:hyperlink>
          </w:p>
        </w:tc>
        <w:tc>
          <w:tcPr/>
          <w:p>
            <w:pPr>
              <w:pStyle w:val="Compact"/>
              <w:jc w:val="left"/>
            </w:pPr>
            <w:r>
              <w:t xml:space="preserve">Spec Views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HLR-TYPE-004</w:t>
              </w:r>
            </w:hyperlink>
          </w:p>
        </w:tc>
        <w:tc>
          <w:tcPr/>
          <w:p>
            <w:pPr>
              <w:pStyle w:val="Compact"/>
              <w:jc w:val="left"/>
            </w:pPr>
            <w:r>
              <w:t xml:space="preserve">Spec Views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HLR-TYPE-004</w:t>
              </w:r>
            </w:hyperlink>
          </w:p>
        </w:tc>
        <w:tc>
          <w:tcPr/>
          <w:p>
            <w:pPr>
              <w:pStyle w:val="Compact"/>
              <w:jc w:val="left"/>
            </w:pPr>
            <w:r>
              <w:t xml:space="preserve">Spec Views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HLR-TYPE-004</w:t>
              </w:r>
            </w:hyperlink>
          </w:p>
        </w:tc>
        <w:tc>
          <w:tcPr/>
          <w:p>
            <w:pPr>
              <w:pStyle w:val="Compact"/>
              <w:jc w:val="left"/>
            </w:pPr>
            <w:r>
              <w:t xml:space="preserve">Spec Views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HLR-TYPE-004</w:t>
              </w:r>
            </w:hyperlink>
          </w:p>
        </w:tc>
        <w:tc>
          <w:tcPr/>
          <w:p>
            <w:pPr>
              <w:pStyle w:val="Compact"/>
              <w:jc w:val="left"/>
            </w:pPr>
            <w:r>
              <w:t xml:space="preserve">Spec Views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HLR-TYPE-004</w:t>
              </w:r>
            </w:hyperlink>
          </w:p>
        </w:tc>
        <w:tc>
          <w:tcPr/>
          <w:p>
            <w:pPr>
              <w:pStyle w:val="Compact"/>
              <w:jc w:val="left"/>
            </w:pPr>
            <w:r>
              <w:t xml:space="preserve">Spec Views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HLR-TYPE-005</w:t>
              </w:r>
            </w:hyperlink>
          </w:p>
        </w:tc>
        <w:tc>
          <w:tcPr/>
          <w:p>
            <w:pPr>
              <w:pStyle w:val="Compact"/>
              <w:jc w:val="left"/>
            </w:pPr>
            <w:r>
              <w:t xml:space="preserve">Spec Relations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HLR-TYPE-005</w:t>
              </w:r>
            </w:hyperlink>
          </w:p>
        </w:tc>
        <w:tc>
          <w:tcPr/>
          <w:p>
            <w:pPr>
              <w:pStyle w:val="Compact"/>
              <w:jc w:val="left"/>
            </w:pPr>
            <w:r>
              <w:t xml:space="preserve">Spec Relations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HLR-TYPE-005</w:t>
              </w:r>
            </w:hyperlink>
          </w:p>
        </w:tc>
        <w:tc>
          <w:tcPr/>
          <w:p>
            <w:pPr>
              <w:pStyle w:val="Compact"/>
              <w:jc w:val="left"/>
            </w:pPr>
            <w:r>
              <w:t xml:space="preserve">Spec Relations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HLR-TYPE-005</w:t>
              </w:r>
            </w:hyperlink>
          </w:p>
        </w:tc>
        <w:tc>
          <w:tcPr/>
          <w:p>
            <w:pPr>
              <w:pStyle w:val="Compact"/>
              <w:jc w:val="left"/>
            </w:pPr>
            <w:r>
              <w:t xml:space="preserve">Spec Relations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HLR-TYPE-005</w:t>
              </w:r>
            </w:hyperlink>
          </w:p>
        </w:tc>
        <w:tc>
          <w:tcPr/>
          <w:p>
            <w:pPr>
              <w:pStyle w:val="Compact"/>
              <w:jc w:val="left"/>
            </w:pPr>
            <w:r>
              <w:t xml:space="preserve">Spec Relations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HLR-TYPE-005</w:t>
              </w:r>
            </w:hyperlink>
          </w:p>
        </w:tc>
        <w:tc>
          <w:tcPr/>
          <w:p>
            <w:pPr>
              <w:pStyle w:val="Compact"/>
              <w:jc w:val="left"/>
            </w:pPr>
            <w:r>
              <w:t xml:space="preserve">Spec Relations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HLR-TYPE-005</w:t>
              </w:r>
            </w:hyperlink>
          </w:p>
        </w:tc>
        <w:tc>
          <w:tcPr/>
          <w:p>
            <w:pPr>
              <w:pStyle w:val="Compact"/>
              <w:jc w:val="left"/>
            </w:pPr>
            <w:r>
              <w:t xml:space="preserve">Spec Relations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HLR-TYPE-005</w:t>
              </w:r>
            </w:hyperlink>
          </w:p>
        </w:tc>
        <w:tc>
          <w:tcPr/>
          <w:p>
            <w:pPr>
              <w:pStyle w:val="Compact"/>
              <w:jc w:val="left"/>
            </w:pPr>
            <w:r>
              <w:t xml:space="preserve">Spec Relations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1">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1">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4">
              <w:r>
                <w:rPr>
                  <w:rStyle w:val="Hyperlink"/>
                </w:rPr>
                <w:t xml:space="preserve">HLR-TYPE-007</w:t>
              </w:r>
            </w:hyperlink>
          </w:p>
        </w:tc>
        <w:tc>
          <w:tcPr/>
          <w:p>
            <w:pPr>
              <w:pStyle w:val="Compact"/>
              <w:jc w:val="left"/>
            </w:pPr>
            <w:r>
              <w:t xml:space="preserve">Type Validation</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4">
              <w:r>
                <w:rPr>
                  <w:rStyle w:val="Hyperlink"/>
                </w:rPr>
                <w:t xml:space="preserve">HLR-TYPE-007</w:t>
              </w:r>
            </w:hyperlink>
          </w:p>
        </w:tc>
        <w:tc>
          <w:tcPr/>
          <w:p>
            <w:pPr>
              <w:pStyle w:val="Compact"/>
              <w:jc w:val="left"/>
            </w:pPr>
            <w:r>
              <w:t xml:space="preserve">Type Validation</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4">
              <w:r>
                <w:rPr>
                  <w:rStyle w:val="Hyperlink"/>
                </w:rPr>
                <w:t xml:space="preserve">HLR-TYPE-007</w:t>
              </w:r>
            </w:hyperlink>
          </w:p>
        </w:tc>
        <w:tc>
          <w:tcPr/>
          <w:p>
            <w:pPr>
              <w:pStyle w:val="Compact"/>
              <w:jc w:val="left"/>
            </w:pPr>
            <w:r>
              <w:t xml:space="preserve">Type Validation</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4">
              <w:r>
                <w:rPr>
                  <w:rStyle w:val="Hyperlink"/>
                </w:rPr>
                <w:t xml:space="preserve">HLR-TYPE-007</w:t>
              </w:r>
            </w:hyperlink>
          </w:p>
        </w:tc>
        <w:tc>
          <w:tcPr/>
          <w:p>
            <w:pPr>
              <w:pStyle w:val="Compact"/>
              <w:jc w:val="left"/>
            </w:pPr>
            <w:r>
              <w:t xml:space="preserve">Type Validation</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4">
              <w:r>
                <w:rPr>
                  <w:rStyle w:val="Hyperlink"/>
                </w:rPr>
                <w:t xml:space="preserve">HLR-TYPE-007</w:t>
              </w:r>
            </w:hyperlink>
          </w:p>
        </w:tc>
        <w:tc>
          <w:tcPr/>
          <w:p>
            <w:pPr>
              <w:pStyle w:val="Compact"/>
              <w:jc w:val="left"/>
            </w:pPr>
            <w:r>
              <w:t xml:space="preserve">Type Validation</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4">
              <w:r>
                <w:rPr>
                  <w:rStyle w:val="Hyperlink"/>
                </w:rPr>
                <w:t xml:space="preserve">HLR-TYPE-007</w:t>
              </w:r>
            </w:hyperlink>
          </w:p>
        </w:tc>
        <w:tc>
          <w:tcPr/>
          <w:p>
            <w:pPr>
              <w:pStyle w:val="Compact"/>
              <w:jc w:val="left"/>
            </w:pPr>
            <w:r>
              <w:t xml:space="preserve">Type Validation</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4">
              <w:r>
                <w:rPr>
                  <w:rStyle w:val="Hyperlink"/>
                </w:rPr>
                <w:t xml:space="preserve">HLR-TYPE-007</w:t>
              </w:r>
            </w:hyperlink>
          </w:p>
        </w:tc>
        <w:tc>
          <w:tcPr/>
          <w:p>
            <w:pPr>
              <w:pStyle w:val="Compact"/>
              <w:jc w:val="left"/>
            </w:pPr>
            <w:r>
              <w:t xml:space="preserve">Type Validation</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4">
              <w:r>
                <w:rPr>
                  <w:rStyle w:val="Hyperlink"/>
                </w:rPr>
                <w:t xml:space="preserve">HLR-TYPE-007</w:t>
              </w:r>
            </w:hyperlink>
          </w:p>
        </w:tc>
        <w:tc>
          <w:tcPr/>
          <w:p>
            <w:pPr>
              <w:pStyle w:val="Compact"/>
              <w:jc w:val="left"/>
            </w:pPr>
            <w:r>
              <w:t xml:space="preserve">Type Validation</w:t>
            </w:r>
          </w:p>
        </w:tc>
        <w:tc>
          <w:tcPr/>
          <w:p>
            <w:pPr>
              <w:pStyle w:val="Compact"/>
              <w:jc w:val="left"/>
            </w:pPr>
            <w:hyperlink r:id="rId135">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customStyle="1" w:type="paragraph">
    <w:name w:val="Spec Object Header"/>
    <w:basedOn w:val="Normal"/>
    <w:next w:val="FirstParagraph"/>
    <w:qFormat/>
    <w:pPr>
      <w:keepNext/>
      <w:spacing w:after="120" w:line="276" w:lineRule="auto" w:before="280"/>
      <w:outlineLvl w:val="0"/>
    </w:pPr>
    <w:rPr>
      <w:rFonts w:cs="Calibri Light" w:ascii="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158" Target="media/rId158.png" /><Relationship Type="http://schemas.openxmlformats.org/officeDocument/2006/relationships/image" Id="rId147" Target="media/rId147.png" /><Relationship Type="http://schemas.openxmlformats.org/officeDocument/2006/relationships/image" Id="rId100" Target="media/rId100.png" /><Relationship Type="http://schemas.openxmlformats.org/officeDocument/2006/relationships/image" Id="rId113" Target="media/rId113.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85" Target="media/rId85.png" /><Relationship Type="http://schemas.openxmlformats.org/officeDocument/2006/relationships/image" Id="rId132" Target="media/rId132.png" /><Relationship Type="http://schemas.openxmlformats.org/officeDocument/2006/relationships/hyperlink" Id="rId27" Target="software_decomposition.md" TargetMode="External" /><Relationship Type="http://schemas.openxmlformats.org/officeDocument/2006/relationships/hyperlink" Id="rId151" Target="srs.docx#HLR-AUDIT-001" TargetMode="External" /><Relationship Type="http://schemas.openxmlformats.org/officeDocument/2006/relationships/hyperlink" Id="rId152" Target="srs.docx#HLR-AUDIT-002" TargetMode="External" /><Relationship Type="http://schemas.openxmlformats.org/officeDocument/2006/relationships/hyperlink" Id="rId153" Target="srs.docx#HLR-AUDIT-003" TargetMode="External" /><Relationship Type="http://schemas.openxmlformats.org/officeDocument/2006/relationships/hyperlink" Id="rId155" Target="srs.docx#HLR-AUDIT-004" TargetMode="External" /><Relationship Type="http://schemas.openxmlformats.org/officeDocument/2006/relationships/hyperlink" Id="rId156" Target="srs.docx#HLR-AUDIT-005" TargetMode="External" /><Relationship Type="http://schemas.openxmlformats.org/officeDocument/2006/relationships/hyperlink" Id="rId199"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200" Target="srs.docx#HLR-EXT-009" TargetMode="External" /><Relationship Type="http://schemas.openxmlformats.org/officeDocument/2006/relationships/hyperlink" Id="rId201" Target="srs.docx#HLR-EXT-010" TargetMode="External" /><Relationship Type="http://schemas.openxmlformats.org/officeDocument/2006/relationships/hyperlink" Id="rId202" Target="srs.docx#HLR-EXT-011" TargetMode="External" /><Relationship Type="http://schemas.openxmlformats.org/officeDocument/2006/relationships/hyperlink" Id="rId203"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129" Target="srs.docx#HLR-OUT-008"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4" Target="srs.docx#HLR-PIPE-011" TargetMode="External" /><Relationship Type="http://schemas.openxmlformats.org/officeDocument/2006/relationships/hyperlink" Id="rId205"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6" Target="srs.docx#HLR-TYPE-001" TargetMode="External" /><Relationship Type="http://schemas.openxmlformats.org/officeDocument/2006/relationships/hyperlink" Id="rId137" Target="srs.docx#HLR-TYPE-002" TargetMode="External" /><Relationship Type="http://schemas.openxmlformats.org/officeDocument/2006/relationships/hyperlink" Id="rId138" Target="srs.docx#HLR-TYPE-003" TargetMode="External" /><Relationship Type="http://schemas.openxmlformats.org/officeDocument/2006/relationships/hyperlink" Id="rId139" Target="srs.docx#HLR-TYPE-004" TargetMode="External" /><Relationship Type="http://schemas.openxmlformats.org/officeDocument/2006/relationships/hyperlink" Id="rId140" Target="srs.docx#HLR-TYPE-005" TargetMode="External" /><Relationship Type="http://schemas.openxmlformats.org/officeDocument/2006/relationships/hyperlink" Id="rId141" Target="srs.docx#HLR-TYPE-006" TargetMode="External" /><Relationship Type="http://schemas.openxmlformats.org/officeDocument/2006/relationships/hyperlink" Id="rId144"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5"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50"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2" Target="srs.docx#TERM-36" TargetMode="External" /><Relationship Type="http://schemas.openxmlformats.org/officeDocument/2006/relationships/hyperlink" Id="rId163" Target="srs.docx#TERM-37" TargetMode="External" /><Relationship Type="http://schemas.openxmlformats.org/officeDocument/2006/relationships/hyperlink" Id="rId131"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4"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3"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5" Target="srs.docx#TERM-VALIDATIONPOLICY" TargetMode="External" /><Relationship Type="http://schemas.openxmlformats.org/officeDocument/2006/relationships/hyperlink" Id="rId142"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1" Target="srs.docx#HLR-AUDIT-001" TargetMode="External" /><Relationship Type="http://schemas.openxmlformats.org/officeDocument/2006/relationships/hyperlink" Id="rId152" Target="srs.docx#HLR-AUDIT-002" TargetMode="External" /><Relationship Type="http://schemas.openxmlformats.org/officeDocument/2006/relationships/hyperlink" Id="rId153" Target="srs.docx#HLR-AUDIT-003" TargetMode="External" /><Relationship Type="http://schemas.openxmlformats.org/officeDocument/2006/relationships/hyperlink" Id="rId155" Target="srs.docx#HLR-AUDIT-004" TargetMode="External" /><Relationship Type="http://schemas.openxmlformats.org/officeDocument/2006/relationships/hyperlink" Id="rId156" Target="srs.docx#HLR-AUDIT-005" TargetMode="External" /><Relationship Type="http://schemas.openxmlformats.org/officeDocument/2006/relationships/hyperlink" Id="rId199"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200" Target="srs.docx#HLR-EXT-009" TargetMode="External" /><Relationship Type="http://schemas.openxmlformats.org/officeDocument/2006/relationships/hyperlink" Id="rId201" Target="srs.docx#HLR-EXT-010" TargetMode="External" /><Relationship Type="http://schemas.openxmlformats.org/officeDocument/2006/relationships/hyperlink" Id="rId202" Target="srs.docx#HLR-EXT-011" TargetMode="External" /><Relationship Type="http://schemas.openxmlformats.org/officeDocument/2006/relationships/hyperlink" Id="rId203"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129" Target="srs.docx#HLR-OUT-008"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4" Target="srs.docx#HLR-PIPE-011" TargetMode="External" /><Relationship Type="http://schemas.openxmlformats.org/officeDocument/2006/relationships/hyperlink" Id="rId205"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6" Target="srs.docx#HLR-TYPE-001" TargetMode="External" /><Relationship Type="http://schemas.openxmlformats.org/officeDocument/2006/relationships/hyperlink" Id="rId137" Target="srs.docx#HLR-TYPE-002" TargetMode="External" /><Relationship Type="http://schemas.openxmlformats.org/officeDocument/2006/relationships/hyperlink" Id="rId138" Target="srs.docx#HLR-TYPE-003" TargetMode="External" /><Relationship Type="http://schemas.openxmlformats.org/officeDocument/2006/relationships/hyperlink" Id="rId139" Target="srs.docx#HLR-TYPE-004" TargetMode="External" /><Relationship Type="http://schemas.openxmlformats.org/officeDocument/2006/relationships/hyperlink" Id="rId140" Target="srs.docx#HLR-TYPE-005" TargetMode="External" /><Relationship Type="http://schemas.openxmlformats.org/officeDocument/2006/relationships/hyperlink" Id="rId141" Target="srs.docx#HLR-TYPE-006" TargetMode="External" /><Relationship Type="http://schemas.openxmlformats.org/officeDocument/2006/relationships/hyperlink" Id="rId144"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5"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50"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2" Target="srs.docx#TERM-36" TargetMode="External" /><Relationship Type="http://schemas.openxmlformats.org/officeDocument/2006/relationships/hyperlink" Id="rId163" Target="srs.docx#TERM-37" TargetMode="External" /><Relationship Type="http://schemas.openxmlformats.org/officeDocument/2006/relationships/hyperlink" Id="rId131"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4"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3"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5" Target="srs.docx#TERM-VALIDATIONPOLICY" TargetMode="External" /><Relationship Type="http://schemas.openxmlformats.org/officeDocument/2006/relationships/hyperlink" Id="rId142"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2026-10-22T00:18:11Z</dcterms:created>
  <dcterms:modified xsi:type="dcterms:W3CDTF">2026-10-22T00:18:11Z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