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"/>
    <w:p>
      <w:pPr>
        <w:pStyle w:val="Title"/>
      </w:pPr>
      <w:r>
        <w:t xml:space="preserve">Guide: Creating a Custom Model</w:t>
      </w:r>
    </w:p>
    <w:bookmarkEnd w:id="20"/>
    <w:bookmarkStart w:id="21" w:name="SPEC-sec1"/>
    <w:p>
      <w:pPr>
        <w:pStyle w:val="Heading1"/>
        <w:numPr>
          <w:ilvl w:val="0"/>
          <w:numId w:val="100"/>
        </w:numPr>
      </w:pPr>
      <w:r>
        <w:t xml:space="preserve">Introduction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defines the vocabulary and behavior of specification documents. It declares object types, floats, relations, views, and verification rules.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model provides base types such as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PLANTUML</w:t>
      </w:r>
      <w:r>
        <w:t xml:space="preserve">. A custom model can add or replace types. SpecCompiler loads the custom model as an overlay 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pPr>
        <w:pStyle w:val="BodyText"/>
      </w:pPr>
      <w:r>
        <w:t xml:space="preserve">Each extension module returns one Lua descriptor table. The descriptor contains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a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 and an optional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table. The host registers the schema and indexes the hooks. The value of</w:t>
      </w:r>
      <w:r>
        <w:t xml:space="preserve"> </w:t>
      </w:r>
      <w:r>
        <w:rPr>
          <w:rStyle w:val="VerbatimChar"/>
        </w:rPr>
        <w:t xml:space="preserve">schema.id</w:t>
      </w:r>
      <w:r>
        <w:t xml:space="preserve"> </w:t>
      </w:r>
      <w:r>
        <w:t xml:space="preserve">identifies the type.</w:t>
      </w:r>
    </w:p>
    <w:p>
      <w:pPr>
        <w:pStyle w:val="BodyText"/>
      </w:pPr>
      <w:r>
        <w:t xml:space="preserve">Create a type as follows:</w:t>
      </w:r>
    </w:p>
    <w:p>
      <w:pPr>
        <w:numPr>
          <w:ilvl w:val="0"/>
          <w:numId w:val="1001"/>
        </w:numPr>
        <w:pStyle w:val="Compact"/>
      </w:pPr>
      <w:r>
        <w:t xml:space="preserve">Decide the</w:t>
      </w:r>
      <w:r>
        <w:t xml:space="preserve"> </w:t>
      </w:r>
      <w:r>
        <w:rPr>
          <w:bCs/>
          <w:b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Define the type in</w:t>
      </w:r>
      <w:r>
        <w:t xml:space="preserve"> </w:t>
      </w:r>
      <w:r>
        <w:rPr>
          <w:rStyle w:val="VerbatimChar"/>
          <w:bCs/>
          <w:b/>
        </w:rPr>
        <w:t xml:space="preserve">schema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schema.id</w:t>
      </w:r>
      <w:r>
        <w:t xml:space="preserve"> </w:t>
      </w:r>
      <w:r>
        <w:t xml:space="preserve">field is the authoritative identifier.</w:t>
      </w:r>
    </w:p>
    <w:p>
      <w:pPr>
        <w:numPr>
          <w:ilvl w:val="0"/>
          <w:numId w:val="1001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hook</w:t>
      </w:r>
      <w:r>
        <w:t xml:space="preserve"> </w:t>
      </w:r>
      <w:r>
        <w:t xml:space="preserve">only when the type requires custom behavior. The hook name determines its context and return type.</w:t>
      </w:r>
    </w:p>
    <w:p>
      <w:pPr>
        <w:pStyle w:val="FirstParagraph"/>
      </w:pPr>
      <w:r>
        <w:t xml:space="preserve">Most object and float types contain only data. These types omit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and inherit the applicable behavior.</w:t>
      </w:r>
    </w:p>
    <w:bookmarkEnd w:id="21"/>
    <w:bookmarkStart w:id="22" w:name="SPEC-sec2"/>
    <w:p>
      <w:pPr>
        <w:pStyle w:val="Heading1"/>
        <w:numPr>
          <w:ilvl w:val="0"/>
          <w:numId w:val="100"/>
        </w:numPr>
      </w:pPr>
      <w:r>
        <w:t xml:space="preserve">Quick-start template</w:t>
      </w:r>
    </w:p>
    <w:p>
      <w:pPr>
        <w:pStyle w:val="FirstParagraph"/>
      </w:pPr>
      <w:r>
        <w:t xml:space="preserve">Each type module has the following structure:</w:t>
      </w:r>
    </w:p>
    <w:p>
      <w:pPr>
        <w:spacing w:line="20" w:lineRule="exact" w:before="0" w:after="0"/>
        <w:rPr>
          <w:sz w:val="2"/>
        </w:rPr>
      </w:pPr>
      <w:bookmarkStart w:id="32204" w:name="listing-src-model-quickstart"/>
      <w:bookmarkEnd w:id="32204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The descriptor a type module returns, annotated</w:t>
      </w:r>
    </w:p>
    <w:p>
      <w:pPr>
        <w:pStyle w:val="SourceCode"/>
      </w:pPr>
      <w:r>
        <w:rPr>
          <w:rStyle w:val="CommentTok"/>
        </w:rPr>
        <w:t xml:space="preserve">-- File: models/&lt;your-model&gt;/types/&lt;category&gt;/&lt;type-name&gt;.lua</w:t>
      </w:r>
      <w:r>
        <w:br/>
      </w:r>
      <w:r>
        <w:rPr>
          <w:rStyle w:val="CommentTok"/>
        </w:rPr>
        <w:t xml:space="preserve">-- The module returns one descriptor table.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kind: object | float | view | relation | specification | analyze.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It must match the category directory the file lives in.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schema contains data. schema.id is authoritative.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These fields become columns in the SpecIR database.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required, uppercase convention, globally unique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extends = "...",    -- inherit attributes + hooks from a base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attributes = { ... 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hooks contains optional custom behavior.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The host classifies each hook by NAME, infers the role from the hooks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present, and rejects a function placed on any other top-level key.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pure-data type (most objects/floats) omits this key entirely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inherits the host default.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hooks =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  render = function(ctx) ... end,   -- one hook whose name fits the intent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template: &lt;your-model&gt;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 The build then loads the model as an overlay 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bookmarkEnd w:id="22"/>
    <w:bookmarkStart w:id="23" w:name="SPEC-sec3"/>
    <w:p>
      <w:pPr>
        <w:pStyle w:val="Heading1"/>
        <w:numPr>
          <w:ilvl w:val="0"/>
          <w:numId w:val="100"/>
        </w:numPr>
      </w:pPr>
      <w:r>
        <w:t xml:space="preserve">Worked example: a one-file, project-local model</w:t>
      </w:r>
    </w:p>
    <w:p>
      <w:pPr>
        <w:pStyle w:val="FirstParagraph"/>
      </w:pPr>
      <w:r>
        <w:t xml:space="preserve">A project-local model can contain one descriptor. The loader first searches</w:t>
      </w:r>
      <w:r>
        <w:t xml:space="preserve"> </w:t>
      </w:r>
      <w:r>
        <w:rPr>
          <w:rStyle w:val="VerbatimChar"/>
        </w:rPr>
        <w:t xml:space="preserve">SPECCOMPILER_HOME/models/&lt;name&gt;/</w:t>
      </w:r>
      <w:r>
        <w:t xml:space="preserve">. It then searches the project working directory.</w:t>
      </w:r>
    </w:p>
    <w:p>
      <w:pPr>
        <w:pStyle w:val="BodyText"/>
      </w:pPr>
      <w:r>
        <w:t xml:space="preserve">The following model defines architecture decisions as traceable objects:</w:t>
      </w:r>
    </w:p>
    <w:p>
      <w:pPr>
        <w:spacing w:line="20" w:lineRule="exact" w:before="0" w:after="0"/>
        <w:rPr>
          <w:sz w:val="2"/>
        </w:rPr>
      </w:pPr>
      <w:bookmarkStart w:id="21471" w:name="listing-src-model-adr-layout"/>
      <w:bookmarkEnd w:id="2147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2</w:t>
      </w:r>
      <w:r>
        <w:fldChar w:fldCharType="end"/>
      </w:r>
      <w:r>
        <w:t xml:space="preserve"> :  Project layout with a local model</w:t>
      </w:r>
    </w:p>
    <w:p>
      <w:pPr>
        <w:pStyle w:val="SourceCode"/>
      </w:pP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  project.yaml            -- template: adr</w:t>
      </w:r>
      <w:r>
        <w:br/>
      </w:r>
      <w:r>
        <w:rPr>
          <w:rStyle w:val="VerbatimChar"/>
        </w:rPr>
        <w:t xml:space="preserve">  decisions.md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adr/</w:t>
      </w:r>
      <w:r>
        <w:br/>
      </w:r>
      <w:r>
        <w:rPr>
          <w:rStyle w:val="VerbatimChar"/>
        </w:rPr>
        <w:t xml:space="preserve">      types/</w:t>
      </w:r>
      <w:r>
        <w:br/>
      </w:r>
      <w:r>
        <w:rPr>
          <w:rStyle w:val="VerbatimChar"/>
        </w:rPr>
        <w:t xml:space="preserve">        objects/</w:t>
      </w:r>
      <w:r>
        <w:br/>
      </w:r>
      <w:r>
        <w:rPr>
          <w:rStyle w:val="VerbatimChar"/>
        </w:rPr>
        <w:t xml:space="preserve">          decision.lua    -- the whole model</w:t>
      </w:r>
    </w:p>
    <w:p>
      <w:pPr>
        <w:spacing w:line="20" w:lineRule="exact" w:before="0" w:after="0"/>
        <w:rPr>
          <w:sz w:val="2"/>
        </w:rPr>
      </w:pPr>
      <w:bookmarkStart w:id="36868" w:name="listing-src-model-adr-descriptor"/>
      <w:bookmarkEnd w:id="36868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3</w:t>
      </w:r>
      <w:r>
        <w:fldChar w:fldCharType="end"/>
      </w:r>
      <w:r>
        <w:t xml:space="preserve"> :  models/adr/types/objects/decision.lua — the complete model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 Decision"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pid_prefix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pid_format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"%s-%03d"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attributes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"consequences"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key: rendering, PID assignment, labels, and cross-reference resolution are all inherited. Set</w:t>
      </w:r>
      <w:r>
        <w:t xml:space="preserve"> </w:t>
      </w:r>
      <w:r>
        <w:rPr>
          <w:rStyle w:val="VerbatimChar"/>
        </w:rPr>
        <w:t xml:space="preserve">template: adr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and author decisions like any other typed object:</w:t>
      </w:r>
    </w:p>
    <w:p>
      <w:pPr>
        <w:spacing w:line="20" w:lineRule="exact" w:before="0" w:after="0"/>
        <w:rPr>
          <w:sz w:val="2"/>
        </w:rPr>
      </w:pPr>
      <w:bookmarkStart w:id="5934" w:name="listing-src-model-adr-usage"/>
      <w:bookmarkEnd w:id="5934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4</w:t>
      </w:r>
      <w:r>
        <w:fldChar w:fldCharType="end"/>
      </w:r>
      <w:r>
        <w:t xml:space="preserve"> :  decisions.md</w:t>
      </w:r>
    </w:p>
    <w:p>
      <w:pPr>
        <w:pStyle w:val="SourceCode"/>
      </w:pPr>
      <w:r>
        <w:rPr>
          <w:rStyle w:val="FunctionTok"/>
        </w:rPr>
        <w:t xml:space="preserve"># Architecture Decisions @SPEC-ADR-001</w:t>
      </w:r>
      <w:r>
        <w:br/>
      </w:r>
      <w:r>
        <w:br/>
      </w:r>
      <w:r>
        <w:rPr>
          <w:rStyle w:val="FunctionTok"/>
        </w:rPr>
        <w:t xml:space="preserve">## DECISION: Use SQLite for the IR @ADR-001</w:t>
      </w:r>
      <w:r>
        <w:br/>
      </w:r>
      <w:r>
        <w:br/>
      </w:r>
      <w:r>
        <w:rPr>
          <w:rStyle w:val="AttributeTok"/>
        </w:rPr>
        <w:t xml:space="preserve">&gt; status: Accepted</w:t>
      </w:r>
      <w:r>
        <w:br/>
      </w:r>
      <w:r>
        <w:br/>
      </w:r>
      <w:r>
        <w:rPr>
          <w:rStyle w:val="AttributeTok"/>
        </w:rPr>
        <w:t xml:space="preserve">&gt; consequences: The build produces one file. SQL queries provide traceability data.</w:t>
      </w:r>
      <w:r>
        <w:br/>
      </w:r>
      <w:r>
        <w:br/>
      </w:r>
      <w:r>
        <w:rPr>
          <w:rStyle w:val="NormalTok"/>
        </w:rPr>
        <w:t xml:space="preserve">We store the intermediate representation in a SQLite database rather than</w:t>
      </w:r>
      <w:r>
        <w:br/>
      </w:r>
      <w:r>
        <w:rPr>
          <w:rStyle w:val="NormalTok"/>
        </w:rPr>
        <w:t xml:space="preserve">in-memory tables, so analyze queries can use SQL.</w:t>
      </w:r>
      <w:r>
        <w:br/>
      </w:r>
      <w:r>
        <w:br/>
      </w:r>
      <w:r>
        <w:rPr>
          <w:rStyle w:val="FunctionTok"/>
        </w:rPr>
        <w:t xml:space="preserve">## DECISION: Run on stock pandoc</w:t>
      </w:r>
      <w:r>
        <w:br/>
      </w:r>
      <w:r>
        <w:br/>
      </w:r>
      <w:r>
        <w:rPr>
          <w:rStyle w:val="AttributeTok"/>
        </w:rPr>
        <w:t xml:space="preserve">&gt; status: Proposed</w:t>
      </w:r>
      <w:r>
        <w:br/>
      </w:r>
      <w:r>
        <w:br/>
      </w:r>
      <w:r>
        <w:rPr>
          <w:rStyle w:val="NormalTok"/>
        </w:rPr>
        <w:t xml:space="preserve">Use the system Pandoc with Lua and C extensions.</w:t>
      </w:r>
    </w:p>
    <w:p>
      <w:pPr>
        <w:pStyle w:val="FirstParagraph"/>
      </w:pPr>
      <w:r>
        <w:t xml:space="preserve">The build registers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and assigns the second decision the PID</w:t>
      </w:r>
      <w:r>
        <w:t xml:space="preserve"> </w:t>
      </w:r>
      <w:r>
        <w:rPr>
          <w:rStyle w:val="VerbatimChar"/>
        </w:rPr>
        <w:t xml:space="preserve">ADR-002</w:t>
      </w:r>
      <w:r>
        <w:t xml:space="preserve">. It stores the attributes for queries. It also resolves</w:t>
      </w:r>
      <w:r>
        <w:t xml:space="preserve"> </w:t>
      </w:r>
      <w:r>
        <w:rPr>
          <w:rStyle w:val="VerbatimChar"/>
        </w:rPr>
        <w:t xml:space="preserve">[ADR-001](@)</w:t>
      </w:r>
      <w:r>
        <w:t xml:space="preserve"> </w:t>
      </w:r>
      <w:r>
        <w:t xml:space="preserve">references. The type requires no custom behavior.</w:t>
      </w:r>
    </w:p>
    <w:bookmarkEnd w:id="23"/>
    <w:bookmarkStart w:id="24" w:name="SPEC-sec4"/>
    <w:p>
      <w:pPr>
        <w:pStyle w:val="Heading1"/>
        <w:numPr>
          <w:ilvl w:val="0"/>
          <w:numId w:val="100"/>
        </w:numPr>
      </w:pPr>
      <w:r>
        <w:t xml:space="preserve">Overlay</w:t>
      </w:r>
    </w:p>
    <w:p>
      <w:pPr>
        <w:pStyle w:val="FirstParagraph"/>
      </w:pPr>
      <w:r>
        <w:t xml:space="preserve">Models layer as</w:t>
      </w:r>
      <w:r>
        <w:t xml:space="preserve"> </w:t>
      </w:r>
      <w:r>
        <w:rPr>
          <w:bCs/>
          <w:b/>
        </w:rPr>
        <w:t xml:space="preserve">overlays</w:t>
      </w:r>
      <w:r>
        <w:t xml:space="preserve"> </w:t>
      </w:r>
      <w:r>
        <w:t xml:space="preserve">on top of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template: mymodel</w:t>
      </w:r>
      <w:r>
        <w:t xml:space="preserve">, the loader runs two passes: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models/default/types/</w:t>
      </w:r>
      <w:r>
        <w:t xml:space="preserve"> </w:t>
      </w:r>
      <w:r>
        <w:t xml:space="preserve">— loaded first.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models/mymodel/types/</w:t>
      </w:r>
      <w:r>
        <w:t xml:space="preserve"> </w:t>
      </w:r>
      <w:r>
        <w:t xml:space="preserve">— loaded second. A descriptor with the same kind and</w:t>
      </w:r>
      <w:r>
        <w:t xml:space="preserve"> </w:t>
      </w:r>
      <w:r>
        <w:rPr>
          <w:rStyle w:val="VerbatimChar"/>
        </w:rPr>
        <w:t xml:space="preserve">schema.id</w:t>
      </w:r>
      <w:r>
        <w:t xml:space="preserve"> </w:t>
      </w:r>
      <w:r>
        <w:t xml:space="preserve">replaces the default descriptor.</w:t>
      </w:r>
    </w:p>
    <w:p>
      <w:pPr>
        <w:pStyle w:val="FirstParagraph"/>
      </w:pPr>
      <w:r>
        <w:t xml:space="preserve">Descriptors with new identifiers supplement the default descriptors. The model inherits definitions that it does not replace.</w:t>
      </w:r>
    </w:p>
    <w:bookmarkEnd w:id="24"/>
    <w:bookmarkStart w:id="25" w:name="SPEC-sec5"/>
    <w:p>
      <w:pPr>
        <w:pStyle w:val="Heading1"/>
        <w:numPr>
          <w:ilvl w:val="0"/>
          <w:numId w:val="100"/>
        </w:numPr>
      </w:pPr>
      <w:r>
        <w:t xml:space="preserve">Model directory layout</w:t>
      </w:r>
    </w:p>
    <w:p>
      <w:pPr>
        <w:spacing w:line="20" w:lineRule="exact" w:before="0" w:after="0"/>
        <w:rPr>
          <w:sz w:val="2"/>
        </w:rPr>
      </w:pPr>
      <w:bookmarkStart w:id="46561" w:name="listing-src-model-directory-layout"/>
      <w:bookmarkEnd w:id="4656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5</w:t>
      </w:r>
      <w:r>
        <w:fldChar w:fldCharType="end"/>
      </w:r>
      <w:r>
        <w:t xml:space="preserve"> :  Model directory structure</w:t>
      </w:r>
    </w:p>
    <w:p>
      <w:pPr>
        <w:pStyle w:val="SourceCode"/>
      </w:pPr>
      <w:r>
        <w:rPr>
          <w:rStyle w:val="VerbatimChar"/>
        </w:rPr>
        <w:t xml:space="preserve">models/&lt;your-model&gt;/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objects/          -- Object types        (e.g., hlr.lua, vc.lua)</w:t>
      </w:r>
      <w:r>
        <w:br/>
      </w:r>
      <w:r>
        <w:rPr>
          <w:rStyle w:val="VerbatimChar"/>
        </w:rPr>
        <w:t xml:space="preserve">    specifications/   -- Specification types (e.g., srs.lua)</w:t>
      </w:r>
      <w:r>
        <w:br/>
      </w:r>
      <w:r>
        <w:rPr>
          <w:rStyle w:val="VerbatimChar"/>
        </w:rPr>
        <w:t xml:space="preserve">    floats/           -- Float types         (e.g., sequence_diagram.lua)</w:t>
      </w:r>
      <w:r>
        <w:br/>
      </w:r>
      <w:r>
        <w:rPr>
          <w:rStyle w:val="VerbatimChar"/>
        </w:rPr>
        <w:t xml:space="preserve">    views/            -- View types          (e.g., symbol.lua)</w:t>
      </w:r>
      <w:r>
        <w:br/>
      </w:r>
      <w:r>
        <w:rPr>
          <w:rStyle w:val="VerbatimChar"/>
        </w:rPr>
        <w:t xml:space="preserve">    relations/        -- Relation types      (e.g., traces_to.lua)</w:t>
      </w:r>
      <w:r>
        <w:br/>
      </w:r>
      <w:r>
        <w:rPr>
          <w:rStyle w:val="VerbatimChar"/>
        </w:rPr>
        <w:t xml:space="preserve">  analyze_queries/     -- Analyze descriptors (e.g., vc_missing_hlr.lua)</w:t>
      </w:r>
      <w:r>
        <w:br/>
      </w:r>
      <w:r>
        <w:rPr>
          <w:rStyle w:val="VerbatimChar"/>
        </w:rPr>
        <w:t xml:space="preserve">  postprocessors/     -- Per-format post-processing (docx.lua, html5.lua)</w:t>
      </w:r>
      <w:r>
        <w:br/>
      </w:r>
      <w:r>
        <w:rPr>
          <w:rStyle w:val="VerbatimChar"/>
        </w:rPr>
        <w:t xml:space="preserve">  filters/            -- Pandoc Lua filters per output format</w:t>
      </w:r>
      <w:r>
        <w:br/>
      </w:r>
      <w:r>
        <w:rPr>
          <w:rStyle w:val="VerbatimChar"/>
        </w:rPr>
        <w:t xml:space="preserve">  styles/             -- Style presets (preset.lua, docx.lua, html.lua)</w:t>
      </w:r>
      <w:r>
        <w:br/>
      </w:r>
      <w:r>
        <w:rPr>
          <w:rStyle w:val="VerbatimChar"/>
        </w:rPr>
        <w:t xml:space="preserve">  model.yaml          -- Optional manifest: name, description, requires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 </w:t>
      </w:r>
      <w:r>
        <w:t xml:space="preserve">is required. All other directories are optional.</w:t>
      </w:r>
    </w:p>
    <w:p>
      <w:pPr>
        <w:pStyle w:val="BodyText"/>
      </w:pPr>
      <w:r>
        <w:t xml:space="preserve">A model that depends on another model declares it in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:</w:t>
      </w:r>
    </w:p>
    <w:p>
      <w:pPr>
        <w:spacing w:line="20" w:lineRule="exact" w:before="0" w:after="0"/>
        <w:rPr>
          <w:sz w:val="2"/>
        </w:rPr>
      </w:pPr>
      <w:bookmarkStart w:id="28870" w:name="listing-src-model-manifest"/>
      <w:bookmarkEnd w:id="28870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6</w:t>
      </w:r>
      <w:r>
        <w:fldChar w:fldCharType="end"/>
      </w:r>
      <w:r>
        <w:t xml:space="preserve"> :  model.yaml — declaring a model dependency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mymodel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domain model</w:t>
      </w:r>
      <w:r>
        <w:br/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base_model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Load this model first.</w:t>
      </w:r>
    </w:p>
    <w:p>
      <w:pPr>
        <w:pStyle w:val="FirstParagraph"/>
      </w:pPr>
      <w:r>
        <w:t xml:space="preserve">The engine loads each model in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before it loads the requesting model. It loads each dependency once. A missing dependency stops the build. A model can contain external tools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The five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 </w:t>
      </w:r>
      <w:r>
        <w:t xml:space="preserve">directory names are fixed. Each directory maps to one descriptor kind. A mismatch between the directory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stops the build.</w:t>
      </w:r>
    </w:p>
    <w:p>
      <w:pPr>
        <w:pStyle w:val="BodyText"/>
      </w:pPr>
      <w:r>
        <w:t xml:space="preserve">The loader supports single files such as</w:t>
      </w:r>
      <w:r>
        <w:t xml:space="preserve"> </w:t>
      </w:r>
      <w:r>
        <w:rPr>
          <w:rStyle w:val="VerbatimChar"/>
        </w:rPr>
        <w:t xml:space="preserve">types/floats/figure.lua</w:t>
      </w:r>
      <w:r>
        <w:t xml:space="preserve">. It also supports directories with an</w:t>
      </w:r>
      <w:r>
        <w:t xml:space="preserve"> </w:t>
      </w:r>
      <w:r>
        <w:rPr>
          <w:rStyle w:val="VerbatimChar"/>
        </w:rPr>
        <w:t xml:space="preserve">init.lua</w:t>
      </w:r>
      <w:r>
        <w:t xml:space="preserve"> </w:t>
      </w:r>
      <w:r>
        <w:t xml:space="preserve">file.</w:t>
      </w:r>
    </w:p>
    <w:bookmarkEnd w:id="25"/>
    <w:bookmarkStart w:id="26" w:name="SPEC-sec6"/>
    <w:p>
      <w:pPr>
        <w:pStyle w:val="Heading1"/>
        <w:numPr>
          <w:ilvl w:val="0"/>
          <w:numId w:val="100"/>
        </w:numPr>
      </w:pPr>
      <w:r>
        <w:t xml:space="preserve">Type categories</w:t>
      </w:r>
    </w:p>
    <w:p>
      <w:pPr>
        <w:spacing w:line="20" w:lineRule="exact" w:before="0" w:after="0"/>
        <w:rPr>
          <w:sz w:val="2"/>
        </w:rPr>
      </w:pPr>
      <w:bookmarkStart w:id="36631" w:name="csv-tbl-model-categories"/>
      <w:bookmarkEnd w:id="36631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Type categories, their kind, and the hooks they typically declare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Category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  <w:b/>
              </w:rPr>
              <w:t xml:space="preserve">kind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Example file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Hooks typically declared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"object"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types/objects/hlr.lua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none (omit</w:t>
            </w:r>
            <w:r>
              <w:t xml:space="preserve"> </w:t>
            </w:r>
            <w:r>
              <w:rPr>
                <w:rStyle w:val="VerbatimChar"/>
              </w:rPr>
              <w:t xml:space="preserve">hooks</w:t>
            </w:r>
            <w:r>
              <w:t xml:space="preserve">), or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"float"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types/floats/figure.lua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transform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prepare_task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handle_result</w:t>
            </w:r>
            <w:r>
              <w:t xml:space="preserve"> </w:t>
            </w:r>
            <w:r>
              <w:t xml:space="preserve">(optionally</w:t>
            </w:r>
            <w:r>
              <w:t xml:space="preserve"> </w:t>
            </w:r>
            <w:r>
              <w:rPr>
                <w:rStyle w:val="VerbatimChar"/>
              </w:rPr>
              <w:t xml:space="preserve">format_link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mask_comments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"relation"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types/relations/traces_to.lua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none,</w:t>
            </w:r>
            <w:r>
              <w:t xml:space="preserve"> </w:t>
            </w:r>
            <w:r>
              <w:rPr>
                <w:rStyle w:val="VerbatimChar"/>
              </w:rPr>
              <w:t xml:space="preserve">render_link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"view"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types/views/abbrev.lua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render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render_block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build_block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"specification"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types/specifications/srs.lua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none (omit</w:t>
            </w:r>
            <w:r>
              <w:t xml:space="preserve"> </w:t>
            </w:r>
            <w:r>
              <w:rPr>
                <w:rStyle w:val="VerbatimChar"/>
              </w:rPr>
              <w:t xml:space="preserve">hooks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Analyze query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"analyze"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analyze_queries/vc_missing_hlr.lua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message</w:t>
            </w:r>
          </w:p>
        </w:tc>
      </w:tr>
    </w:tbl>
    <w:bookmarkEnd w:id="26"/>
    <w:bookmarkStart w:id="27" w:name="SPEC-sec7"/>
    <w:p>
      <w:pPr>
        <w:pStyle w:val="Heading1"/>
        <w:numPr>
          <w:ilvl w:val="0"/>
          <w:numId w:val="100"/>
        </w:numPr>
      </w:pPr>
      <w:r>
        <w:t xml:space="preserve">The descriptor and hook contract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table contains all custom type behavior. Each hook accepts one frozen context table. The polymorphic</w:t>
      </w:r>
      <w:r>
        <w:t xml:space="preserve"> </w:t>
      </w:r>
      <w:r>
        <w:rPr>
          <w:rStyle w:val="VerbatimChar"/>
        </w:rPr>
        <w:t xml:space="preserve">ctx.subject</w:t>
      </w:r>
      <w:r>
        <w:t xml:space="preserve"> </w:t>
      </w:r>
      <w:r>
        <w:t xml:space="preserve">field contains the hook input. The</w:t>
      </w:r>
      <w:r>
        <w:t xml:space="preserve"> </w:t>
      </w:r>
      <w:r>
        <w:rPr>
          <w:rStyle w:val="VerbatimChar"/>
        </w:rPr>
        <w:t xml:space="preserve">ctx.capability</w:t>
      </w:r>
      <w:r>
        <w:t xml:space="preserve"> </w:t>
      </w:r>
      <w:r>
        <w:t xml:space="preserve">field identifies the hook. Use</w:t>
      </w:r>
      <w:r>
        <w:t xml:space="preserve"> </w:t>
      </w:r>
      <w:r>
        <w:rPr>
          <w:rStyle w:val="VerbatimChar"/>
        </w:rPr>
        <w:t xml:space="preserve">ctx:require("field")</w:t>
      </w:r>
      <w:r>
        <w:t xml:space="preserve"> </w:t>
      </w:r>
      <w:r>
        <w:t xml:space="preserve">to require a non-nil field.</w:t>
      </w:r>
    </w:p>
    <w:p>
      <w:pPr>
        <w:pStyle w:val="BodyText"/>
      </w:pPr>
      <w:r>
        <w:t xml:space="preserve">The hook name determines the context tier and return type. During model loading, the host validates each hook against the descriptor kind. An invalid hook stops the build.</w:t>
      </w:r>
    </w:p>
    <w:p>
      <w:pPr>
        <w:pStyle w:val="BodyText"/>
      </w:pPr>
      <w:r>
        <w:rPr>
          <w:bCs/>
          <w:b/>
        </w:rPr>
        <w:t xml:space="preserve">Render-tier hooks</w:t>
      </w:r>
      <w:r>
        <w:t xml:space="preserve"> </w:t>
      </w:r>
      <w:r>
        <w:t xml:space="preserve">run during EMIT. They receive the render context and a resolved payload in</w:t>
      </w:r>
      <w:r>
        <w:t xml:space="preserve"> </w:t>
      </w:r>
      <w:r>
        <w:rPr>
          <w:rStyle w:val="VerbatimChar"/>
        </w:rPr>
        <w:t xml:space="preserve">ctx.subject</w:t>
      </w:r>
      <w:r>
        <w:t xml:space="preserve">. They return Pandoc AST. Link hooks return display text.</w:t>
      </w:r>
    </w:p>
    <w:p>
      <w:pPr>
        <w:pStyle w:val="BodyText"/>
      </w:pPr>
      <w:r>
        <w:rPr>
          <w:bCs/>
          <w:b/>
        </w:rPr>
        <w:t xml:space="preserve">Data-tier hooks</w:t>
      </w:r>
      <w:r>
        <w:t xml:space="preserve"> </w:t>
      </w:r>
      <w:r>
        <w:t xml:space="preserve">run during a data or lifecycle phase. They receive a data context without a Pandoc element or output format. Each hook returns its documented value.</w:t>
      </w:r>
    </w:p>
    <w:p>
      <w:pPr>
        <w:pStyle w:val="BodyText"/>
      </w:pPr>
      <w:r>
        <w:rPr>
          <w:bCs/>
          <w:b/>
        </w:rPr>
        <w:t xml:space="preserve">The host enforces return types.</w:t>
      </w:r>
      <w:r>
        <w:t xml:space="preserve"> </w:t>
      </w:r>
      <w:r>
        <w:t xml:space="preserve">The host checks the value when it dispatches a hook. An invalid value stops the build and identifies the kind, type, and hook. A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value selects inherited behavior. The analyze-query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hook must return a string.</w:t>
      </w:r>
    </w:p>
    <w:p>
      <w:pPr>
        <w:pStyle w:val="BodyText"/>
      </w:pPr>
      <w:r>
        <w:rPr>
          <w:bCs/>
          <w:b/>
        </w:rPr>
        <w:t xml:space="preserve">Phase hooks</w:t>
      </w:r>
      <w:r>
        <w:t xml:space="preserve"> </w:t>
      </w:r>
      <w:r>
        <w:t xml:space="preserve">participate in pipeline phases. Declare them as</w:t>
      </w:r>
      <w:r>
        <w:t xml:space="preserve"> </w:t>
      </w:r>
      <w:r>
        <w:rPr>
          <w:rStyle w:val="VerbatimChar"/>
        </w:rPr>
        <w:t xml:space="preserve">on_&lt;phase&gt;</w:t>
      </w:r>
      <w:r>
        <w:t xml:space="preserve"> </w:t>
      </w:r>
      <w:r>
        <w:t xml:space="preserve">functions in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. Each phase hook runs once per phase with</w:t>
      </w:r>
      <w:r>
        <w:t xml:space="preserve"> </w:t>
      </w:r>
      <w:r>
        <w:rPr>
          <w:rStyle w:val="VerbatimChar"/>
        </w:rPr>
        <w:t xml:space="preserve">(data, contexts, diagnostics)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schema.phase_prerequisites</w:t>
      </w:r>
      <w:r>
        <w:t xml:space="preserve"> </w:t>
      </w:r>
      <w:r>
        <w:t xml:space="preserve">to declare ordering constraints. The host names the handler</w:t>
      </w:r>
      <w:r>
        <w:t xml:space="preserve"> </w:t>
      </w:r>
      <w:r>
        <w:rPr>
          <w:rStyle w:val="VerbatimChar"/>
        </w:rPr>
        <w:t xml:space="preserve">&lt;lowercase id&gt;_handler</w:t>
      </w:r>
      <w:r>
        <w:t xml:space="preserve">.</w:t>
      </w:r>
    </w:p>
    <w:p>
      <w:pPr>
        <w:spacing w:line="20" w:lineRule="exact" w:before="0" w:after="0"/>
        <w:rPr>
          <w:sz w:val="2"/>
        </w:rPr>
      </w:pPr>
      <w:bookmarkStart w:id="5146" w:name="csv-tbl-model-hook-catalogue"/>
      <w:bookmarkEnd w:id="5146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:  The hook catalogue: each hook's kind, tier, the one return type, and when it fires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Hook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Kind(s)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Tier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Returns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When it fires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object, specification, float, view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Pandoc Block(s) / Inlines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EMIT, when the element of this type is being rendered.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render_block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Pandoc Block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EMIT, for a block view written as a fenced</w:t>
            </w:r>
            <w:r>
              <w:t xml:space="preserve"> </w:t>
            </w:r>
            <w:r>
              <w:rPr>
                <w:rStyle w:val="VerbatimChar"/>
              </w:rPr>
              <w:t xml:space="preserve">```prefix</w:t>
            </w:r>
            <w:r>
              <w:t xml:space="preserve"> </w:t>
            </w:r>
            <w:r>
              <w:t xml:space="preserve">code block.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render_link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display string (or</w:t>
            </w:r>
            <w:r>
              <w:t xml:space="preserve"> </w:t>
            </w:r>
            <w:r>
              <w:rPr>
                <w:rStyle w:val="VerbatimChar"/>
              </w:rPr>
              <w:t xml:space="preserve">nil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EMIT, to produce the visible text of a link of this relation type.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analyze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diagnostic 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ANALYZE, once per row the SQL view returns.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{ source | data | links }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When a chart/data view needs its dataset (</w:t>
            </w:r>
            <w:r>
              <w:rPr>
                <w:rStyle w:val="VerbatimChar"/>
              </w:rPr>
              <w:t xml:space="preserve">ctx.subject.params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build_block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Pandoc Block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When a</w:t>
            </w:r>
            <w:r>
              <w:t xml:space="preserve"> </w:t>
            </w:r>
            <w:r>
              <w:rPr>
                <w:rStyle w:val="VerbatimChar"/>
              </w:rPr>
              <w:t xml:space="preserve">TABLE_VIEW</w:t>
            </w:r>
            <w:r>
              <w:t xml:space="preserve"> </w:t>
            </w:r>
            <w:r>
              <w:t xml:space="preserve">subtype builds its generated table.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resolved-AST 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TRANSFORM, to resolve a float internally (</w:t>
            </w:r>
            <w:r>
              <w:rPr>
                <w:rStyle w:val="VerbatimChar"/>
              </w:rPr>
              <w:t xml:space="preserve">ctx.subject.raw_content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.float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prepare_task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task table (or</w:t>
            </w:r>
            <w:r>
              <w:t xml:space="preserve"> </w:t>
            </w:r>
            <w:r>
              <w:rPr>
                <w:rStyle w:val="VerbatimChar"/>
              </w:rPr>
              <w:t xml:space="preserve">nil</w:t>
            </w:r>
            <w:r>
              <w:t xml:space="preserve"> </w:t>
            </w:r>
            <w:r>
              <w:t xml:space="preserve">to skip)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TRANSFORM, to spawn an external tool (</w:t>
            </w:r>
            <w:r>
              <w:rPr>
                <w:rStyle w:val="VerbatimChar"/>
              </w:rPr>
              <w:t xml:space="preserve">ctx.subject.float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.build_dir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handle_result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(writes resolved AST)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After the external tool finishes (</w:t>
            </w:r>
            <w:r>
              <w:rPr>
                <w:rStyle w:val="VerbatimChar"/>
              </w:rPr>
              <w:t xml:space="preserve">ctx.subject.task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.stderr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format_link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link in the source’s native syntax (string)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TRANSFORM, before</w:t>
            </w:r>
            <w:r>
              <w:t xml:space="preserve"> </w:t>
            </w:r>
            <w:r>
              <w:rPr>
                <w:rStyle w:val="VerbatimChar"/>
              </w:rPr>
              <w:t xml:space="preserve">prepare_task</w:t>
            </w:r>
            <w:r>
              <w:t xml:space="preserve">, once per CommonSpec link in the float source (</w:t>
            </w:r>
            <w:r>
              <w:rPr>
                <w:rStyle w:val="VerbatimChar"/>
              </w:rPr>
              <w:t xml:space="preserve">ctx.subject.href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.display_text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mask_comments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source with comments blanked (string)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INITIALIZE, before links in the float source are registered (</w:t>
            </w:r>
            <w:r>
              <w:rPr>
                <w:rStyle w:val="VerbatimChar"/>
              </w:rPr>
              <w:t xml:space="preserve">ctx.subject.raw_content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.float</w:t>
            </w:r>
            <w:r>
              <w:t xml:space="preserve">). Keep length and newlines.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{ target, ambiguous }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ANALYZE, to resolve a link of this relation type (</w:t>
            </w:r>
            <w:r>
              <w:rPr>
                <w:rStyle w:val="VerbatimChar"/>
              </w:rPr>
              <w:t xml:space="preserve">ctx.subject.target_text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A float is internal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external: declaring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together with</w:t>
      </w:r>
      <w:r>
        <w:t xml:space="preserve"> </w:t>
      </w:r>
      <w:r>
        <w:rPr>
          <w:rStyle w:val="VerbatimChar"/>
        </w:rPr>
        <w:t xml:space="preserve">prepare_task</w:t>
      </w:r>
      <w:r>
        <w:t xml:space="preserve">/</w:t>
      </w:r>
      <w:r>
        <w:rPr>
          <w:rStyle w:val="VerbatimChar"/>
        </w:rPr>
        <w:t xml:space="preserve">handle_result</w:t>
      </w:r>
      <w:r>
        <w:t xml:space="preserve"> </w:t>
      </w:r>
      <w:r>
        <w:t xml:space="preserve">is a contradiction and the host rejects it.</w:t>
      </w:r>
    </w:p>
    <w:p>
      <w:pPr>
        <w:pStyle w:val="BodyText"/>
      </w:pPr>
      <w:r>
        <w:rPr>
          <w:bCs/>
          <w:b/>
        </w:rPr>
        <w:t xml:space="preserve">Context fields</w:t>
      </w:r>
    </w:p>
    <w:p>
      <w:pPr>
        <w:spacing w:line="20" w:lineRule="exact" w:before="0" w:after="0"/>
        <w:rPr>
          <w:sz w:val="2"/>
        </w:rPr>
      </w:pPr>
      <w:bookmarkStart w:id="43610" w:name="csv-tbl-model-ctx-fields"/>
      <w:bookmarkEnd w:id="43610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:  The frozen context fields, by tier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ctx.subject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hook-specific payload. Examples include an object, float, view parameters, relation target, or analyze-query row.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ctx.data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DataManager</w:t>
            </w:r>
            <w:r>
              <w:t xml:space="preserve"> </w:t>
            </w:r>
            <w:r>
              <w:t xml:space="preserve">(the SpecIR database) for custom queries. Present on both tiers.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ctx.spec_id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Identifier of the specification being processed. Present on both tiers.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ctx.log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Logger (</w:t>
            </w:r>
            <w:r>
              <w:rPr>
                <w:rStyle w:val="VerbatimChar"/>
              </w:rPr>
              <w:t xml:space="preserve">log.warn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log.debug</w:t>
            </w:r>
            <w:r>
              <w:t xml:space="preserve">, …). Present on both tiers.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ctx.pandoc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Pandoc module.</w:t>
            </w:r>
            <w:r>
              <w:t xml:space="preserve"> </w:t>
            </w:r>
            <w:r>
              <w:rPr>
                <w:bCs/>
                <w:b/>
              </w:rPr>
              <w:t xml:space="preserve">Render tier only</w:t>
            </w:r>
            <w:r>
              <w:t xml:space="preserve"> </w:t>
            </w:r>
            <w:r>
              <w:t xml:space="preserve">— a data hook has no Pandoc element yet.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ctx.format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Target output format (</w:t>
            </w:r>
            <w:r>
              <w:rPr>
                <w:rStyle w:val="VerbatimChar"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Render tier only.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ctx.diagnostics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ctx.model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ctx.config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Diagnostics sink, model name, and project config. These fields are always in the render tier. A data context contains them when available.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ctx.host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registry, for cross-hook dispatch (e.g. </w:t>
            </w:r>
            <w:r>
              <w:rPr>
                <w:rStyle w:val="VerbatimChar"/>
              </w:rPr>
              <w:t xml:space="preserve">ctx.host:get_hook("view", id, "build_block")</w:t>
            </w:r>
            <w:r>
              <w:t xml:space="preserve">). Render tier.</w:t>
            </w:r>
          </w:p>
        </w:tc>
      </w:tr>
    </w:tbl>
    <w:p>
      <w:pPr>
        <w:pStyle w:val="BlockText"/>
      </w:pPr>
      <w:r>
        <w:t xml:space="preserve">Read the resolved element and its attributes from</w:t>
      </w:r>
      <w:r>
        <w:t xml:space="preserve"> </w:t>
      </w:r>
      <w:r>
        <w:rPr>
          <w:rStyle w:val="VerbatimChar"/>
        </w:rPr>
        <w:t xml:space="preserve">ctx.subject</w:t>
      </w:r>
      <w:r>
        <w:t xml:space="preserve">. Query the database only for data that the subject does not contain.</w:t>
      </w:r>
    </w:p>
    <w:bookmarkEnd w:id="27"/>
    <w:bookmarkStart w:id="33" w:name="SPEC-sec8"/>
    <w:p>
      <w:pPr>
        <w:pStyle w:val="Heading1"/>
        <w:numPr>
          <w:ilvl w:val="0"/>
          <w:numId w:val="100"/>
        </w:numPr>
      </w:pPr>
      <w:r>
        <w:t xml:space="preserve">Five canonical templates</w:t>
      </w:r>
    </w:p>
    <w:bookmarkStart w:id="28" w:name="SPEC-sec8.1"/>
    <w:p>
      <w:pPr>
        <w:pStyle w:val="Heading2"/>
        <w:numPr>
          <w:ilvl w:val="1"/>
          <w:numId w:val="100"/>
        </w:numPr>
      </w:pPr>
      <w:r>
        <w:t xml:space="preserve">Object type</w:t>
      </w:r>
    </w:p>
    <w:p>
      <w:pPr>
        <w:pStyle w:val="FirstParagraph"/>
      </w:pPr>
      <w:r>
        <w:t xml:space="preserve">Create an object type with required attributes and a custom render. The render hook reads its element and attributes from</w:t>
      </w:r>
      <w:r>
        <w:t xml:space="preserve"> </w:t>
      </w:r>
      <w:r>
        <w:rPr>
          <w:rStyle w:val="VerbatimChar"/>
        </w:rPr>
        <w:t xml:space="preserve">ctx.subject</w:t>
      </w:r>
      <w:r>
        <w:t xml:space="preserve">:</w:t>
      </w:r>
    </w:p>
    <w:p>
      <w:pPr>
        <w:spacing w:line="20" w:lineRule="exact" w:before="0" w:after="0"/>
        <w:rPr>
          <w:sz w:val="2"/>
        </w:rPr>
      </w:pPr>
      <w:bookmarkStart w:id="99581" w:name="listing-src-model-template-object"/>
      <w:bookmarkEnd w:id="9958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7</w:t>
      </w:r>
      <w:r>
        <w:fldChar w:fldCharType="end"/>
      </w:r>
      <w:r>
        <w:t xml:space="preserve"> :  types/objects/hlr.lua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render_utils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"pipeline.shared.render_utils"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"High-Level Requirement"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top-level system requirement"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inherit the standard traceable card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pid_prefix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pid_format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"%s-%03d"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attributes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min_occurs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max_occurs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"rationale"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"XHTML"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EMIT: ctx.subject carries { object, attributes, element, ... } already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resolved by the pipeline, so no DB query is needed for our own item.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object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attrs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{}).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math.max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header_level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hdr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obj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obj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title_text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render_utils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add_header_blocks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table.insert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"Priority: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priority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spacing w:line="20" w:lineRule="exact" w:before="0" w:after="0"/>
        <w:rPr>
          <w:sz w:val="2"/>
        </w:rPr>
      </w:pPr>
      <w:bookmarkStart w:id="40209" w:name="listing-src-model-template-object-usage"/>
      <w:bookmarkEnd w:id="40209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8</w:t>
      </w:r>
      <w:r>
        <w:fldChar w:fldCharType="end"/>
      </w:r>
      <w:r>
        <w:t xml:space="preserve"> :  Authoring an HLR in Markdown</w:t>
      </w:r>
    </w:p>
    <w:p>
      <w:pPr>
        <w:pStyle w:val="SourceCode"/>
      </w:pPr>
      <w:r>
        <w:rPr>
          <w:rStyle w:val="FunctionTok"/>
        </w:rPr>
        <w:t xml:space="preserve">## HLR: User Authentication @HLR-001</w:t>
      </w:r>
      <w:r>
        <w:br/>
      </w:r>
      <w:r>
        <w:br/>
      </w:r>
      <w:r>
        <w:rPr>
          <w:rStyle w:val="AttributeTok"/>
        </w:rPr>
        <w:t xml:space="preserve">&gt; priority: High</w:t>
      </w:r>
      <w:r>
        <w:br/>
      </w:r>
      <w:r>
        <w:br/>
      </w:r>
      <w:r>
        <w:rPr>
          <w:rStyle w:val="AttributeTok"/>
        </w:rPr>
        <w:t xml:space="preserve">&gt; rationale: Required by security policy section 4.2</w:t>
      </w:r>
      <w:r>
        <w:br/>
      </w:r>
      <w:r>
        <w:br/>
      </w:r>
      <w:r>
        <w:rPr>
          <w:rStyle w:val="NormalTok"/>
        </w:rPr>
        <w:t xml:space="preserve">The system shall authenticate users via username and password.</w:t>
      </w:r>
    </w:p>
    <w:p>
      <w:pPr>
        <w:pStyle w:val="FirstParagraph"/>
      </w:pPr>
      <w:r>
        <w:t xml:space="preserve">Most object types do not require a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hook. Without this hook, the host emits the standard PID, attributes, and body. Add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only for a different layout.</w:t>
      </w:r>
    </w:p>
    <w:bookmarkEnd w:id="28"/>
    <w:bookmarkStart w:id="29" w:name="SPEC-sec8.2"/>
    <w:p>
      <w:pPr>
        <w:pStyle w:val="Heading2"/>
        <w:numPr>
          <w:ilvl w:val="1"/>
          <w:numId w:val="100"/>
        </w:numPr>
      </w:pPr>
      <w:r>
        <w:t xml:space="preserve">Relation type</w:t>
      </w:r>
    </w:p>
    <w:p>
      <w:pPr>
        <w:pStyle w:val="FirstParagraph"/>
      </w:pPr>
      <w:r>
        <w:t xml:space="preserve">The common case is a simple subtype that narrows a base relation (</w:t>
      </w:r>
      <w:r>
        <w:rPr>
          <w:rStyle w:val="VerbatimChar"/>
        </w:rPr>
        <w:t xml:space="preserve">PID_REF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LABEL_REF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#</w:t>
      </w:r>
      <w:r>
        <w:t xml:space="preserve">). No hooks needed —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inherits the selector, resolver, and default link display:</w:t>
      </w:r>
    </w:p>
    <w:p>
      <w:pPr>
        <w:spacing w:line="20" w:lineRule="exact" w:before="0" w:after="0"/>
        <w:rPr>
          <w:sz w:val="2"/>
        </w:rPr>
      </w:pPr>
      <w:bookmarkStart w:id="47527" w:name="listing-src-model-template-relation-simple"/>
      <w:bookmarkEnd w:id="47527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9</w:t>
      </w:r>
      <w:r>
        <w:fldChar w:fldCharType="end"/>
      </w:r>
      <w:r>
        <w:t xml:space="preserve"> :  types/relations/traces_to.lua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"TRACES_TO"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"PID_REF"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"Traces 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"Traceability link from one object to another"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source_type_ref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target_type_ref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link</w:t>
      </w:r>
      <w:r>
        <w:t xml:space="preserve"> </w:t>
      </w:r>
      <w:r>
        <w:rPr>
          <w:rStyle w:val="VerbatimChar"/>
        </w:rPr>
        <w:t xml:space="preserve">[HLR-001](@)</w:t>
      </w:r>
      <w:r>
        <w:t xml:space="preserve"> </w:t>
      </w:r>
      <w:r>
        <w:t xml:space="preserve">inside an LLR resolves as</w:t>
      </w:r>
      <w:r>
        <w:t xml:space="preserve"> </w:t>
      </w:r>
      <w:r>
        <w:rPr>
          <w:rStyle w:val="VerbatimChar"/>
        </w:rPr>
        <w:t xml:space="preserve">TRACES_TO</w:t>
      </w:r>
      <w:r>
        <w:t xml:space="preserve">.</w:t>
      </w:r>
    </w:p>
    <w:p>
      <w:pPr>
        <w:pStyle w:val="BodyText"/>
      </w:pPr>
      <w:r>
        <w:t xml:space="preserve">When the default display text (PID for objects,</w:t>
      </w:r>
      <w:r>
        <w:t xml:space="preserve"> </w:t>
      </w:r>
      <w:r>
        <w:rPr>
          <w:rStyle w:val="VerbatimChar"/>
        </w:rPr>
        <w:t xml:space="preserve">"&lt;caption&gt; &lt;number&gt;"</w:t>
      </w:r>
      <w:r>
        <w:t xml:space="preserve"> </w:t>
      </w:r>
      <w:r>
        <w:t xml:space="preserve">for floats) isn’t right, add a</w:t>
      </w:r>
      <w:r>
        <w:t xml:space="preserve"> </w:t>
      </w:r>
      <w:r>
        <w:rPr>
          <w:rStyle w:val="VerbatimChar"/>
        </w:rPr>
        <w:t xml:space="preserve">render_link</w:t>
      </w:r>
      <w:r>
        <w:t xml:space="preserve"> </w:t>
      </w:r>
      <w:r>
        <w:t xml:space="preserve">hook. It reads the pre-resolved target from</w:t>
      </w:r>
      <w:r>
        <w:t xml:space="preserve"> </w:t>
      </w:r>
      <w:r>
        <w:rPr>
          <w:rStyle w:val="VerbatimChar"/>
        </w:rPr>
        <w:t xml:space="preserve">ctx.subject.target</w:t>
      </w:r>
      <w:r>
        <w:t xml:space="preserve"> </w:t>
      </w:r>
      <w:r>
        <w:t xml:space="preserve">and returns the display string (or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to fall back to the base type):</w:t>
      </w:r>
    </w:p>
    <w:p>
      <w:pPr>
        <w:spacing w:line="20" w:lineRule="exact" w:before="0" w:after="0"/>
        <w:rPr>
          <w:sz w:val="2"/>
        </w:rPr>
      </w:pPr>
      <w:bookmarkStart w:id="59215" w:name="listing-src-model-template-relation-display"/>
      <w:bookmarkEnd w:id="59215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10</w:t>
      </w:r>
      <w:r>
        <w:fldChar w:fldCharType="end"/>
      </w:r>
      <w:r>
        <w:t xml:space="preserve"> :  Custom display text via a render_link hook</w:t>
      </w:r>
    </w:p>
    <w:p>
      <w:pPr>
        <w:pStyle w:val="SourceCode"/>
      </w:pP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Render section refs as "&lt;hierarchical-number&gt; &lt;title&gt;", e.g. "3.4 Introduction".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render_link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target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"sec([%d%.]+)$"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ctx.subject.target</w:t>
      </w:r>
      <w:r>
        <w:t xml:space="preserve"> </w:t>
      </w:r>
      <w:r>
        <w:t xml:space="preserve">contains the resolved target. Object targets contain the kind, PID, title, and type. Float targets contain the kind, caption, and number. Return a string to replace the display text. Return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to use inherited behavior.</w:t>
      </w:r>
      <w:r>
        <w:t xml:space="preserve"> </w:t>
      </w:r>
      <w:r>
        <w:rPr>
          <w:rStyle w:val="VerbatimChar"/>
        </w:rPr>
        <w:t xml:space="preserve">LABEL_REF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PID_REF</w:t>
      </w:r>
      <w:r>
        <w:t xml:space="preserve"> </w:t>
      </w:r>
      <w:r>
        <w:t xml:space="preserve">provide default link rendering.</w:t>
      </w:r>
    </w:p>
    <w:p>
      <w:pPr>
        <w:pStyle w:val="BodyText"/>
      </w:pPr>
      <w:r>
        <w:t xml:space="preserve">For custom relation resolution, declare a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data hook. It reads the target text and source identifier from</w:t>
      </w:r>
      <w:r>
        <w:t xml:space="preserve"> </w:t>
      </w:r>
      <w:r>
        <w:rPr>
          <w:rStyle w:val="VerbatimChar"/>
        </w:rPr>
        <w:t xml:space="preserve">ctx.subject</w:t>
      </w:r>
      <w:r>
        <w:t xml:space="preserve">. It returns</w:t>
      </w:r>
      <w:r>
        <w:t xml:space="preserve"> </w:t>
      </w:r>
      <w:r>
        <w:rPr>
          <w:rStyle w:val="VerbatimChar"/>
        </w:rPr>
        <w:t xml:space="preserve">{ target, ambiguous }</w:t>
      </w:r>
      <w:r>
        <w:t xml:space="preserve">. Subtypes of</w:t>
      </w:r>
      <w:r>
        <w:t xml:space="preserve"> </w:t>
      </w:r>
      <w:r>
        <w:rPr>
          <w:rStyle w:val="VerbatimChar"/>
        </w:rPr>
        <w:t xml:space="preserve">PID_REF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LABEL_REF</w:t>
      </w:r>
      <w:r>
        <w:t xml:space="preserve"> </w:t>
      </w:r>
      <w:r>
        <w:t xml:space="preserve">inherit their resolvers.</w:t>
      </w:r>
    </w:p>
    <w:bookmarkEnd w:id="29"/>
    <w:bookmarkStart w:id="30" w:name="SPEC-sec8.3"/>
    <w:p>
      <w:pPr>
        <w:pStyle w:val="Heading2"/>
        <w:numPr>
          <w:ilvl w:val="1"/>
          <w:numId w:val="100"/>
        </w:numPr>
      </w:pPr>
      <w:r>
        <w:t xml:space="preserve">Walkthrough custom view</w:t>
      </w:r>
    </w:p>
    <w:p>
      <w:pPr>
        <w:pStyle w:val="FirstParagraph"/>
      </w:pPr>
      <w:r>
        <w:t xml:space="preserve">Backtick syntax invokes views. An</w:t>
      </w:r>
      <w:r>
        <w:t xml:space="preserve"> </w:t>
      </w:r>
      <w:r>
        <w:rPr>
          <w:bCs/>
          <w:b/>
        </w:rPr>
        <w:t xml:space="preserve">inline</w:t>
      </w:r>
      <w:r>
        <w:t xml:space="preserve"> </w:t>
      </w:r>
      <w:r>
        <w:t xml:space="preserve">view uses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and returns inlines. A</w:t>
      </w:r>
      <w:r>
        <w:t xml:space="preserve"> </w:t>
      </w:r>
      <w:r>
        <w:rPr>
          <w:bCs/>
          <w:b/>
        </w:rPr>
        <w:t xml:space="preserve">block</w:t>
      </w:r>
      <w:r>
        <w:t xml:space="preserve"> </w:t>
      </w:r>
      <w:r>
        <w:t xml:space="preserve">view uses</w:t>
      </w:r>
      <w:r>
        <w:t xml:space="preserve"> </w:t>
      </w:r>
      <w:r>
        <w:rPr>
          <w:rStyle w:val="VerbatimChar"/>
        </w:rPr>
        <w:t xml:space="preserve">render_block</w:t>
      </w:r>
      <w:r>
        <w:t xml:space="preserve"> </w:t>
      </w:r>
      <w:r>
        <w:t xml:space="preserve">and returns a block. The</w:t>
      </w:r>
      <w:r>
        <w:t xml:space="preserve"> </w:t>
      </w:r>
      <w:r>
        <w:rPr>
          <w:rStyle w:val="VerbatimChar"/>
        </w:rPr>
        <w:t xml:space="preserve">inline_prefix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fields select the view.</w:t>
      </w:r>
    </w:p>
    <w:p>
      <w:pPr>
        <w:spacing w:line="20" w:lineRule="exact" w:before="0" w:after="0"/>
        <w:rPr>
          <w:sz w:val="2"/>
        </w:rPr>
      </w:pPr>
      <w:bookmarkStart w:id="84323" w:name="listing-src-model-template-view"/>
      <w:bookmarkEnd w:id="84323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11</w:t>
      </w:r>
      <w:r>
        <w:fldChar w:fldCharType="end"/>
      </w:r>
      <w:r>
        <w:t xml:space="preserve"> :  types/views/symbol.lua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"Engineering symbol with inline formatting"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inline_prefix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EMIT: ctx.subject.element is the Pandoc Code element.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"^symbol:%s*(.+)$"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"^sym:%s*(.+)$"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The force is defined as</w:t>
      </w:r>
      <w:r>
        <w:t xml:space="preserve"> </w:t>
      </w:r>
      <w:r>
        <w:rPr>
          <w:rStyle w:val="VerbatimChar"/>
        </w:rPr>
        <w:t xml:space="preserve">`symbol: F = ma`</w:t>
      </w:r>
      <w:r>
        <w:t xml:space="preserve">.</w:t>
      </w:r>
    </w:p>
    <w:p>
      <w:pPr>
        <w:pStyle w:val="BodyText"/>
      </w:pPr>
      <w:r>
        <w:t xml:space="preserve">Database-backed views usually render a</w:t>
      </w:r>
      <w:r>
        <w:t xml:space="preserve"> </w:t>
      </w:r>
      <w:r>
        <w:rPr>
          <w:bCs/>
          <w:b/>
        </w:rPr>
        <w:t xml:space="preserve">block</w:t>
      </w:r>
      <w:r>
        <w:t xml:space="preserve">. Extend</w:t>
      </w:r>
      <w:r>
        <w:t xml:space="preserve"> </w:t>
      </w:r>
      <w:r>
        <w:rPr>
          <w:rStyle w:val="VerbatimChar"/>
        </w:rPr>
        <w:t xml:space="preserve">TABLE_VIEW</w:t>
      </w:r>
      <w:r>
        <w:t xml:space="preserve"> </w:t>
      </w:r>
      <w:r>
        <w:t xml:space="preserve">and declare a</w:t>
      </w:r>
      <w:r>
        <w:t xml:space="preserve"> </w:t>
      </w:r>
      <w:r>
        <w:rPr>
          <w:rStyle w:val="VerbatimChar"/>
        </w:rPr>
        <w:t xml:space="preserve">build_block</w:t>
      </w:r>
      <w:r>
        <w:t xml:space="preserve"> </w:t>
      </w:r>
      <w:r>
        <w:t xml:space="preserve">data hook. The inherited</w:t>
      </w:r>
      <w:r>
        <w:t xml:space="preserve"> </w:t>
      </w:r>
      <w:r>
        <w:rPr>
          <w:rStyle w:val="VerbatimChar"/>
        </w:rPr>
        <w:t xml:space="preserve">render_block</w:t>
      </w:r>
      <w:r>
        <w:t xml:space="preserve"> </w:t>
      </w:r>
      <w:r>
        <w:t xml:space="preserve">hook dispatches</w:t>
      </w:r>
      <w:r>
        <w:t xml:space="preserve"> </w:t>
      </w:r>
      <w:r>
        <w:rPr>
          <w:rStyle w:val="VerbatimChar"/>
        </w:rPr>
        <w:t xml:space="preserve">build_block</w:t>
      </w:r>
      <w:r>
        <w:t xml:space="preserve">. A</w:t>
      </w:r>
      <w:r>
        <w:t xml:space="preserve"> </w:t>
      </w:r>
      <w:r>
        <w:rPr>
          <w:rStyle w:val="VerbatimChar"/>
        </w:rPr>
        <w:t xml:space="preserve">TABLE_VIEW</w:t>
      </w:r>
      <w:r>
        <w:t xml:space="preserve"> </w:t>
      </w:r>
      <w:r>
        <w:t xml:space="preserve">subtype without</w:t>
      </w:r>
      <w:r>
        <w:t xml:space="preserve"> </w:t>
      </w:r>
      <w:r>
        <w:rPr>
          <w:rStyle w:val="VerbatimChar"/>
        </w:rPr>
        <w:t xml:space="preserve">build_block</w:t>
      </w:r>
      <w:r>
        <w:t xml:space="preserve"> </w:t>
      </w:r>
      <w:r>
        <w:t xml:space="preserve">causes a load error.</w:t>
      </w:r>
    </w:p>
    <w:p>
      <w:pPr>
        <w:spacing w:line="20" w:lineRule="exact" w:before="0" w:after="0"/>
        <w:rPr>
          <w:sz w:val="2"/>
        </w:rPr>
      </w:pPr>
      <w:bookmarkStart w:id="33411" w:name="listing-src-model-template-view-block"/>
      <w:bookmarkEnd w:id="33411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12</w:t>
      </w:r>
      <w:r>
        <w:fldChar w:fldCharType="end"/>
      </w:r>
      <w:r>
        <w:t xml:space="preserve"> :  A generated table view via build_block (types/views/traceability_matrix.lua)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"TRACEABILITY_MATRIX"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"TABLE_VIEW"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inherits the shared render_block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"Traceability Matrix"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 to VC traceability with test results"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inline_prefix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"traceability_matrix"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DATA: build the generated table. dctx.data is the SpecIR database.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dctx.subject.params holds any view parameters.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build_block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query_all</w:t>
      </w:r>
      <w:r>
        <w:rPr>
          <w:rStyle w:val="OperatorTok"/>
        </w:rPr>
        <w:t xml:space="preserve">(</w:t>
      </w:r>
      <w:r>
        <w:rPr>
          <w:rStyle w:val="VerbatimStringTok"/>
        </w:rPr>
        <w:t xml:space="preserve">[[</w:t>
      </w:r>
      <w:r>
        <w:br/>
      </w:r>
      <w:r>
        <w:rPr>
          <w:rStyle w:val="VerbatimStringTok"/>
        </w:rPr>
        <w:t xml:space="preserve">                SELECT hlr.pid AS hlr_pid, vc.pid AS vc_pid</w:t>
      </w:r>
      <w:r>
        <w:br/>
      </w:r>
      <w:r>
        <w:rPr>
          <w:rStyle w:val="VerbatimStringTok"/>
        </w:rPr>
        <w:t xml:space="preserve">                FROM spec_relations r</w:t>
      </w:r>
      <w:r>
        <w:br/>
      </w:r>
      <w:r>
        <w:rPr>
          <w:rStyle w:val="VerbatimStringTok"/>
        </w:rPr>
        <w:t xml:space="preserve">                JOIN spec_objects vc  ON r.source_object_id = vc.id</w:t>
      </w:r>
      <w:r>
        <w:br/>
      </w:r>
      <w:r>
        <w:rPr>
          <w:rStyle w:val="VerbatimStringTok"/>
        </w:rPr>
        <w:t xml:space="preserve">                JOIN spec_objects hlr ON r.target_object_id = hlr.id</w:t>
      </w:r>
      <w:r>
        <w:br/>
      </w:r>
      <w:r>
        <w:rPr>
          <w:rStyle w:val="VerbatimStringTok"/>
        </w:rPr>
        <w:t xml:space="preserve">                WHERE vc.type_ref = 'VC' AND hlr.type_ref = 'HLR'</w:t>
      </w:r>
      <w:r>
        <w:br/>
      </w:r>
      <w:r>
        <w:rPr>
          <w:rStyle w:val="VerbatimStringTok"/>
        </w:rPr>
        <w:t xml:space="preserve">                  AND vc.specification_ref = :spec_id</w:t>
      </w:r>
      <w:r>
        <w:br/>
      </w:r>
      <w:r>
        <w:rPr>
          <w:rStyle w:val="VerbatimStringTok"/>
        </w:rPr>
        <w:t xml:space="preserve">                ORDER BY hlr.pid, vc.pid</w:t>
      </w:r>
      <w:r>
        <w:br/>
      </w:r>
      <w:r>
        <w:rPr>
          <w:rStyle w:val="VerbatimStringTok"/>
        </w:rPr>
        <w:t xml:space="preserve">            ]]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spec_id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HLR-VC traceability found."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ipairs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table.insert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hlr_pid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vc_pid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tbl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SimpleTable</w:t>
      </w:r>
      <w:r>
        <w:rPr>
          <w:rStyle w:val="OperatorTok"/>
        </w:rPr>
        <w:t xml:space="preserve">({},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lignLeft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lignLeft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from_simple_table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tbl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view that supplies chart data declares a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hook. The hook returns</w:t>
      </w:r>
      <w:r>
        <w:t xml:space="preserve"> </w:t>
      </w:r>
      <w:r>
        <w:rPr>
          <w:rStyle w:val="VerbatimChar"/>
        </w:rPr>
        <w:t xml:space="preserve">{ source = ... }</w:t>
      </w:r>
      <w:r>
        <w:t xml:space="preserve"> </w:t>
      </w:r>
      <w:r>
        <w:t xml:space="preserve">or the data shape required by the chart type.</w:t>
      </w:r>
    </w:p>
    <w:bookmarkEnd w:id="30"/>
    <w:bookmarkStart w:id="31" w:name="SPEC-sec8.4"/>
    <w:p>
      <w:pPr>
        <w:pStyle w:val="Heading2"/>
        <w:numPr>
          <w:ilvl w:val="1"/>
          <w:numId w:val="100"/>
        </w:numPr>
      </w:pPr>
      <w:r>
        <w:t xml:space="preserve">Walkthrough custom float type</w:t>
      </w:r>
    </w:p>
    <w:p>
      <w:pPr>
        <w:pStyle w:val="FirstParagraph"/>
      </w:pPr>
      <w:r>
        <w:t xml:space="preserve">Most floats require only a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:</w:t>
      </w:r>
    </w:p>
    <w:p>
      <w:pPr>
        <w:spacing w:line="20" w:lineRule="exact" w:before="0" w:after="0"/>
        <w:rPr>
          <w:sz w:val="2"/>
        </w:rPr>
      </w:pPr>
      <w:bookmarkStart w:id="36064" w:name="listing-src-model-template-float"/>
      <w:bookmarkEnd w:id="36064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13</w:t>
      </w:r>
      <w:r>
        <w:fldChar w:fldCharType="end"/>
      </w:r>
      <w:r>
        <w:t xml:space="preserve"> :  types/floats/sequence_diagram.lua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 Diagram"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caption_format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counter_group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shares numbering with FIGURE, PLANTUML, CHART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spacing w:line="20" w:lineRule="exact" w:before="0" w:after="0"/>
        <w:rPr>
          <w:sz w:val="2"/>
        </w:rPr>
      </w:pPr>
      <w:bookmarkStart w:id="34132" w:name="listing-src-model-template-float-usage"/>
      <w:bookmarkEnd w:id="34132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14</w:t>
      </w:r>
      <w:r>
        <w:fldChar w:fldCharType="end"/>
      </w:r>
      <w:r>
        <w:t xml:space="preserve"> :  Authoring a float</w:t>
      </w:r>
    </w:p>
    <w:p>
      <w:pPr>
        <w:pStyle w:val="SourceCode"/>
      </w:pPr>
      <w:r>
        <w:rPr>
          <w:rStyle w:val="InformationTok"/>
        </w:rPr>
        <w:t xml:space="preserve">```seq:auth-flow{caption="User authentication flow"}</w:t>
      </w:r>
      <w:r>
        <w:br/>
      </w:r>
      <w:r>
        <w:rPr>
          <w:rStyle w:val="InformationTok"/>
        </w:rPr>
        <w:t xml:space="preserve">sequence diagram content here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An internally rendered float can declare a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data hook. The hook reads</w:t>
      </w:r>
      <w:r>
        <w:t xml:space="preserve"> </w:t>
      </w:r>
      <w:r>
        <w:rPr>
          <w:rStyle w:val="VerbatimChar"/>
        </w:rPr>
        <w:t xml:space="preserve">ctx.subject.raw_content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ctx.subject.float</w:t>
      </w:r>
      <w:r>
        <w:t xml:space="preserve">. It returns a resolved-AST string. See</w:t>
      </w:r>
      <w:r>
        <w:t xml:space="preserve"> </w:t>
      </w:r>
      <w:hyperlink w:anchor="SPEC-sec12">
        <w:r>
          <w:rPr>
            <w:rStyle w:val="Hyperlink"/>
          </w:rPr>
          <w:t xml:space="preserve">12 External renderers</w:t>
        </w:r>
      </w:hyperlink>
      <w:r>
        <w:t xml:space="preserve"> </w:t>
      </w:r>
      <w:r>
        <w:t xml:space="preserve">for process-based rendering.</w:t>
      </w:r>
    </w:p>
    <w:bookmarkEnd w:id="31"/>
    <w:bookmarkStart w:id="32" w:name="SPEC-sec8.5"/>
    <w:p>
      <w:pPr>
        <w:pStyle w:val="Heading2"/>
        <w:numPr>
          <w:ilvl w:val="1"/>
          <w:numId w:val="100"/>
        </w:numPr>
      </w:pPr>
      <w:r>
        <w:t xml:space="preserve">Specification type</w:t>
      </w:r>
    </w:p>
    <w:p>
      <w:pPr>
        <w:pStyle w:val="FirstParagraph"/>
      </w:pPr>
      <w:r>
        <w:t xml:space="preserve">Specification types define the top-level document kinds (SRS, SDD, STD, …). They are pure-data — no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at all:</w:t>
      </w:r>
    </w:p>
    <w:p>
      <w:pPr>
        <w:spacing w:line="20" w:lineRule="exact" w:before="0" w:after="0"/>
        <w:rPr>
          <w:sz w:val="2"/>
        </w:rPr>
      </w:pPr>
      <w:bookmarkStart w:id="1657" w:name="listing-src-model-template-spec"/>
      <w:bookmarkEnd w:id="1657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15</w:t>
      </w:r>
      <w:r>
        <w:fldChar w:fldCharType="end"/>
      </w:r>
      <w:r>
        <w:t xml:space="preserve"> :  types/specifications/srs.lua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Requirements 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"MIL-STD-498 SRS document"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is_default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implicit_aliases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Requirements Specification"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attributes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# srs: My Project Requirements @SRS-MYPROJ-001</w:t>
      </w:r>
      <w:r>
        <w:t xml:space="preserve"> </w:t>
      </w:r>
      <w:r>
        <w:t xml:space="preserve">at the top of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bookmarkEnd w:id="32"/>
    <w:bookmarkEnd w:id="33"/>
    <w:bookmarkStart w:id="40" w:name="SPEC-sec9"/>
    <w:p>
      <w:pPr>
        <w:pStyle w:val="Heading1"/>
        <w:numPr>
          <w:ilvl w:val="0"/>
          <w:numId w:val="100"/>
        </w:numPr>
      </w:pPr>
      <w:r>
        <w:t xml:space="preserve">Schema field reference</w:t>
      </w:r>
    </w:p>
    <w:p>
      <w:pPr>
        <w:pStyle w:val="FirstParagraph"/>
      </w:pPr>
      <w:r>
        <w:t xml:space="preserve">The following tables define common schema fields. Some model hooks also read additional schema fields for rendering.</w:t>
      </w:r>
    </w:p>
    <w:bookmarkStart w:id="34" w:name="SPEC-sec9.1"/>
    <w:p>
      <w:pPr>
        <w:pStyle w:val="Heading2"/>
        <w:numPr>
          <w:ilvl w:val="1"/>
          <w:numId w:val="100"/>
        </w:numPr>
      </w:pPr>
      <w:r>
        <w:t xml:space="preserve">Object schema</w:t>
      </w:r>
    </w:p>
    <w:p>
      <w:pPr>
        <w:spacing w:line="20" w:lineRule="exact" w:before="0" w:after="0"/>
        <w:rPr>
          <w:sz w:val="2"/>
        </w:rPr>
      </w:pPr>
      <w:bookmarkStart w:id="1646" w:name="csv-tbl-model-object-fields"/>
      <w:bookmarkEnd w:id="1646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 xml:space="preserve"> :  Object 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Unique identifier (uppercase convention).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Human-readable name.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Description text.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Base type for attribute + hook inheritance (e.g. </w:t>
            </w:r>
            <w:r>
              <w:rPr>
                <w:rStyle w:val="VerbatimChar"/>
              </w:rPr>
              <w:t xml:space="preserve">TRACEABLE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Headers without an explicit type match this type.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is_composite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Hierarchical object (contains children with their own PIDs).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is_required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specification must contain at least one object of this type.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pid_prefix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Prefix for auto-generated PIDs.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pid_format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Printf format (e.g. </w:t>
            </w:r>
            <w:r>
              <w:rPr>
                <w:rStyle w:val="VerbatimChar"/>
              </w:rPr>
              <w:t xml:space="preserve">"%s-%03d"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Alternative identifiers for syntax matching.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implicit_aliases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Titles that auto-resolve to this type (e.g. </w:t>
            </w:r>
            <w:r>
              <w:rPr>
                <w:rStyle w:val="VerbatimChar"/>
              </w:rPr>
              <w:t xml:space="preserve">"References"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Attribute definitions (see below).</w:t>
            </w:r>
          </w:p>
        </w:tc>
      </w:tr>
    </w:tbl>
    <w:bookmarkEnd w:id="34"/>
    <w:bookmarkStart w:id="35" w:name="SPEC-sec9.2"/>
    <w:p>
      <w:pPr>
        <w:pStyle w:val="Heading2"/>
        <w:numPr>
          <w:ilvl w:val="1"/>
          <w:numId w:val="100"/>
        </w:numPr>
      </w:pPr>
      <w:r>
        <w:t xml:space="preserve">Attribute definitions</w:t>
      </w:r>
    </w:p>
    <w:p>
      <w:pPr>
        <w:spacing w:line="20" w:lineRule="exact" w:before="0" w:after="0"/>
        <w:rPr>
          <w:sz w:val="2"/>
        </w:rPr>
      </w:pPr>
      <w:bookmarkStart w:id="62565" w:name="csv-tbl-model-attribute-fields"/>
      <w:bookmarkEnd w:id="62565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r>
        <w:t xml:space="preserve"> :  Attribute definition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Attribute identifier.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"STRING"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accepted),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XHTML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min_occurs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0 = optional, 1 = required.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max_occurs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Maximum number of values.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min_value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max_value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Bounds for numeric types.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type = "ENUM"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datatype_ref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Override the auto-generated datatype id. For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the default is</w:t>
            </w:r>
            <w:r>
              <w:t xml:space="preserve"> </w:t>
            </w:r>
            <w:r>
              <w:rPr>
                <w:rStyle w:val="VerbatimChar"/>
              </w:rPr>
              <w:t xml:space="preserve">&lt;TYPE_ID&gt;_&lt;attr_name&gt;</w:t>
            </w:r>
            <w:r>
              <w:t xml:space="preserve">.</w:t>
            </w:r>
          </w:p>
        </w:tc>
      </w:tr>
    </w:tbl>
    <w:bookmarkEnd w:id="35"/>
    <w:bookmarkStart w:id="36" w:name="SPEC-sec9.3"/>
    <w:p>
      <w:pPr>
        <w:pStyle w:val="Heading2"/>
        <w:numPr>
          <w:ilvl w:val="1"/>
          <w:numId w:val="100"/>
        </w:numPr>
      </w:pPr>
      <w:r>
        <w:t xml:space="preserve">Float schema</w:t>
      </w:r>
    </w:p>
    <w:p>
      <w:pPr>
        <w:spacing w:line="20" w:lineRule="exact" w:before="0" w:after="0"/>
        <w:rPr>
          <w:sz w:val="2"/>
        </w:rPr>
      </w:pPr>
      <w:bookmarkStart w:id="38789" w:name="csv-tbl-model-float-fields"/>
      <w:bookmarkEnd w:id="38789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6</w:t>
      </w:r>
      <w:r>
        <w:fldChar w:fldCharType="end"/>
      </w:r>
      <w:r>
        <w:t xml:space="preserve"> :  Float 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Unique identifier.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Human-readable name.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Description text.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caption_format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Prefix used in output captions (e.g. </w:t>
            </w:r>
            <w:r>
              <w:rPr>
                <w:rStyle w:val="VerbatimChar"/>
              </w:rPr>
              <w:t xml:space="preserve">"Figure"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counter_group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Counter sharing group. Floats with the same</w:t>
            </w:r>
            <w:r>
              <w:t xml:space="preserve"> </w:t>
            </w:r>
            <w:r>
              <w:rPr>
                <w:rStyle w:val="VerbatimChar"/>
              </w:rPr>
              <w:t xml:space="preserve">counter_group</w:t>
            </w:r>
            <w:r>
              <w:t xml:space="preserve"> </w:t>
            </w:r>
            <w:r>
              <w:t xml:space="preserve">share one numbering sequence.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Alternative fence prefixes.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needs_external_render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See</w:t>
            </w:r>
            <w:r>
              <w:t xml:space="preserve"> </w:t>
            </w:r>
            <w:hyperlink w:anchor="SPEC-sec12">
              <w:r>
                <w:rPr>
                  <w:rStyle w:val="Hyperlink"/>
                </w:rPr>
                <w:t xml:space="preserve">12 External renderers</w:t>
              </w:r>
            </w:hyperlink>
            <w:r>
              <w:t xml:space="preserve">.</w:t>
            </w:r>
          </w:p>
        </w:tc>
      </w:tr>
    </w:tbl>
    <w:bookmarkEnd w:id="36"/>
    <w:bookmarkStart w:id="37" w:name="SPEC-sec9.4"/>
    <w:p>
      <w:pPr>
        <w:pStyle w:val="Heading2"/>
        <w:numPr>
          <w:ilvl w:val="1"/>
          <w:numId w:val="100"/>
        </w:numPr>
      </w:pPr>
      <w:r>
        <w:t xml:space="preserve">Relation schema</w:t>
      </w:r>
    </w:p>
    <w:p>
      <w:pPr>
        <w:spacing w:line="20" w:lineRule="exact" w:before="0" w:after="0"/>
        <w:rPr>
          <w:sz w:val="2"/>
        </w:rPr>
      </w:pPr>
      <w:bookmarkStart w:id="4017" w:name="csv-tbl-model-relation-fields"/>
      <w:bookmarkEnd w:id="4017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r>
        <w:t xml:space="preserve"> :  Relation 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Unique identifier.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Base relation type. Typically</w:t>
            </w:r>
            <w:r>
              <w:t xml:space="preserve"> </w:t>
            </w:r>
            <w:r>
              <w:rPr>
                <w:rStyle w:val="VerbatimChar"/>
              </w:rPr>
              <w:t xml:space="preserve">PID_REF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LABEL_REF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</w:t>
            </w:r>
            <w:r>
              <w:t xml:space="preserve">). Inherits selector,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, and default</w:t>
            </w:r>
            <w:r>
              <w:t xml:space="preserve"> </w:t>
            </w:r>
            <w:r>
              <w:rPr>
                <w:rStyle w:val="VerbatimChar"/>
              </w:rPr>
              <w:t xml:space="preserve">render_link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link_selector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inherited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Override the inherited selector (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). Rarely needed.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source_type_ref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Constrain the source object type (nil = any).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target_type_ref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Constrain the target type (nil = any). Comma-separated list accepted.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source_attribute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Constrain to links inside this attribute.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is_structural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Derive from the containment hierarchy instead of an explicit link.</w:t>
            </w:r>
          </w:p>
        </w:tc>
      </w:tr>
    </w:tbl>
    <w:bookmarkEnd w:id="37"/>
    <w:bookmarkStart w:id="38" w:name="SPEC-sec9.5"/>
    <w:p>
      <w:pPr>
        <w:pStyle w:val="Heading2"/>
        <w:numPr>
          <w:ilvl w:val="1"/>
          <w:numId w:val="100"/>
        </w:numPr>
      </w:pPr>
      <w:r>
        <w:t xml:space="preserve">Inference scoring</w:t>
      </w:r>
    </w:p>
    <w:p>
      <w:pPr>
        <w:pStyle w:val="FirstParagraph"/>
      </w:pPr>
      <w:r>
        <w:t xml:space="preserve">When multiple relation types match a link, the resolver scores each candidate. A matching constraint adds one point. A mismatch removes the candidate. A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constraint adds no points. The highest score wins. A tie produces an</w:t>
      </w:r>
      <w:r>
        <w:t xml:space="preserve"> </w:t>
      </w:r>
      <w:r>
        <w:rPr>
          <w:rStyle w:val="VerbatimChar"/>
        </w:rPr>
        <w:t xml:space="preserve">ambiguous_relation</w:t>
      </w:r>
      <w:r>
        <w:t xml:space="preserve"> </w:t>
      </w:r>
      <w:r>
        <w:t xml:space="preserve">diagnostic.</w:t>
      </w:r>
    </w:p>
    <w:bookmarkEnd w:id="38"/>
    <w:bookmarkStart w:id="39" w:name="SPEC-sec9.6"/>
    <w:p>
      <w:pPr>
        <w:pStyle w:val="Heading2"/>
        <w:numPr>
          <w:ilvl w:val="1"/>
          <w:numId w:val="100"/>
        </w:numPr>
      </w:pPr>
      <w:r>
        <w:t xml:space="preserve">View schema</w:t>
      </w:r>
    </w:p>
    <w:p>
      <w:pPr>
        <w:spacing w:line="20" w:lineRule="exact" w:before="0" w:after="0"/>
        <w:rPr>
          <w:sz w:val="2"/>
        </w:rPr>
      </w:pPr>
      <w:bookmarkStart w:id="48168" w:name="csv-tbl-model-view-fields"/>
      <w:bookmarkEnd w:id="48168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r>
        <w:t xml:space="preserve"> :  View 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Type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Default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Unique identifier.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Human-readable name.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inline_prefix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Prefix for inline-code dispatch (</w:t>
            </w:r>
            <w:r>
              <w:rPr>
                <w:rStyle w:val="VerbatimChar"/>
              </w:rPr>
              <w:t xml:space="preserve">"symbol"</w:t>
            </w:r>
            <w:r>
              <w:t xml:space="preserve"> </w:t>
            </w:r>
            <w:r>
              <w:t xml:space="preserve">enables</w:t>
            </w:r>
            <w:r>
              <w:t xml:space="preserve"> </w:t>
            </w:r>
            <w:r>
              <w:rPr>
                <w:rStyle w:val="VerbatimChar"/>
              </w:rPr>
              <w:t xml:space="preserve">`symbol: ...`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Alternative prefixes for the same view type.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materializer_type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Strategy (</w:t>
            </w:r>
            <w:r>
              <w:rPr>
                <w:rStyle w:val="VerbatimChar"/>
              </w:rPr>
              <w:t xml:space="preserve">'toc'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'lof'</w:t>
            </w:r>
            <w:r>
              <w:t xml:space="preserve">, …) for built-in materialised views.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counter_group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Counter group for numbered views.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view_subtype_ref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view-element subtype this view aggregates (e.g. </w:t>
            </w:r>
            <w:r>
              <w:rPr>
                <w:rStyle w:val="VerbatimChar"/>
              </w:rPr>
              <w:t xml:space="preserve">ABBREV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needs_external_render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See</w:t>
            </w:r>
            <w:r>
              <w:t xml:space="preserve"> </w:t>
            </w:r>
            <w:hyperlink w:anchor="SPEC-sec12">
              <w:r>
                <w:rPr>
                  <w:rStyle w:val="Hyperlink"/>
                </w:rPr>
                <w:t xml:space="preserve">12 External renderers</w:t>
              </w:r>
            </w:hyperlink>
            <w:r>
              <w:t xml:space="preserve">.</w:t>
            </w:r>
          </w:p>
        </w:tc>
      </w:tr>
    </w:tbl>
    <w:bookmarkEnd w:id="39"/>
    <w:bookmarkEnd w:id="40"/>
    <w:bookmarkStart w:id="41" w:name="SPEC-sec10"/>
    <w:p>
      <w:pPr>
        <w:pStyle w:val="Heading1"/>
        <w:numPr>
          <w:ilvl w:val="0"/>
          <w:numId w:val="100"/>
        </w:numPr>
      </w:pPr>
      <w:r>
        <w:t xml:space="preserve">Extension checklist</w:t>
      </w:r>
    </w:p>
    <w:p>
      <w:pPr>
        <w:numPr>
          <w:ilvl w:val="0"/>
          <w:numId w:val="1003"/>
        </w:numPr>
        <w:pStyle w:val="Compact"/>
      </w:pPr>
      <w:r>
        <w:t xml:space="preserve">Pick a model name (lowercase, matches the directory name).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models/&lt;name&gt;/types/…</w:t>
      </w:r>
      <w:r>
        <w:t xml:space="preserve"> </w:t>
      </w:r>
      <w:r>
        <w:t xml:space="preserve">with the categories you need.</w:t>
      </w:r>
    </w:p>
    <w:p>
      <w:pPr>
        <w:numPr>
          <w:ilvl w:val="0"/>
          <w:numId w:val="1003"/>
        </w:numPr>
        <w:pStyle w:val="Compact"/>
      </w:pPr>
      <w:r>
        <w:t xml:space="preserve">Return one descriptor with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fields.</w:t>
      </w:r>
    </w:p>
    <w:p>
      <w:pPr>
        <w:numPr>
          <w:ilvl w:val="0"/>
          <w:numId w:val="1003"/>
        </w:numPr>
        <w:pStyle w:val="Compact"/>
      </w:pPr>
      <w:r>
        <w:t xml:space="preserve">Add only the hooks that implement required custom behavior.</w:t>
      </w:r>
    </w:p>
    <w:p>
      <w:pPr>
        <w:numPr>
          <w:ilvl w:val="0"/>
          <w:numId w:val="1003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template: &lt;name&gt;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specc build</w:t>
      </w:r>
      <w:r>
        <w:t xml:space="preserve"> </w:t>
      </w:r>
      <w:r>
        <w:t xml:space="preserve">and inspect the output.</w:t>
      </w:r>
    </w:p>
    <w:p>
      <w:pPr>
        <w:numPr>
          <w:ilvl w:val="0"/>
          <w:numId w:val="1003"/>
        </w:numPr>
        <w:pStyle w:val="Compact"/>
      </w:pPr>
      <w:r>
        <w:t xml:space="preserve">Add an analyze descriptor if the domain has rules to enforce.</w:t>
      </w:r>
    </w:p>
    <w:bookmarkEnd w:id="41"/>
    <w:bookmarkStart w:id="42" w:name="SPEC-sec11"/>
    <w:p>
      <w:pPr>
        <w:pStyle w:val="Heading1"/>
        <w:numPr>
          <w:ilvl w:val="0"/>
          <w:numId w:val="100"/>
        </w:numPr>
      </w:pPr>
      <w:r>
        <w:t xml:space="preserve">Analyze queries</w:t>
      </w:r>
    </w:p>
    <w:p>
      <w:pPr>
        <w:pStyle w:val="FirstParagraph"/>
      </w:pPr>
      <w:r>
        <w:t xml:space="preserve">Analyze queries are SQL-based validation rules that run during ANALYZE. Each query uses a descriptor with</w:t>
      </w:r>
      <w:r>
        <w:t xml:space="preserve"> </w:t>
      </w:r>
      <w:r>
        <w:rPr>
          <w:rStyle w:val="VerbatimChar"/>
        </w:rPr>
        <w:t xml:space="preserve">kind = "analyze"</w:t>
      </w:r>
      <w:r>
        <w:t xml:space="preserve">. Its schema defines a SQL view. Its optional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hook converts a result row into a diagnostic.</w:t>
      </w:r>
    </w:p>
    <w:p>
      <w:pPr>
        <w:pStyle w:val="BodyText"/>
      </w:pPr>
      <w:r>
        <w:t xml:space="preserve">Place analyze descriptors under</w:t>
      </w:r>
      <w:r>
        <w:t xml:space="preserve"> </w:t>
      </w:r>
      <w:r>
        <w:rPr>
          <w:rStyle w:val="VerbatimChar"/>
        </w:rPr>
        <w:t xml:space="preserve">models/&lt;name&gt;/analyze_queries/</w:t>
      </w:r>
      <w:r>
        <w:t xml:space="preserve">. The loader scans all Lua files in this directory. Use the policy key as the file name when practical.</w:t>
      </w:r>
    </w:p>
    <w:p>
      <w:pPr>
        <w:spacing w:line="20" w:lineRule="exact" w:before="0" w:after="0"/>
        <w:rPr>
          <w:sz w:val="2"/>
        </w:rPr>
      </w:pPr>
      <w:bookmarkStart w:id="60226" w:name="listing-src-model-verification-view"/>
      <w:bookmarkEnd w:id="60226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16</w:t>
      </w:r>
      <w:r>
        <w:fldChar w:fldCharType="end"/>
      </w:r>
      <w:r>
        <w:t xml:space="preserve"> :  models/mymodel/analyze_queries/vc_missing_hlr.lua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"vc_missing_hlr"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"view_traceability_vc_missing_hlr"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policy_key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"traceability_vc_to_hlr"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[[</w:t>
      </w:r>
      <w:r>
        <w:br/>
      </w:r>
      <w:r>
        <w:rPr>
          <w:rStyle w:val="VerbatimStringTok"/>
        </w:rPr>
        <w:t xml:space="preserve">CREATE VIEW IF NOT EXISTS view_traceability_vc_missing_hlr AS</w:t>
      </w:r>
      <w:r>
        <w:br/>
      </w:r>
      <w:r>
        <w:rPr>
          <w:rStyle w:val="VerbatimStringTok"/>
        </w:rPr>
        <w:t xml:space="preserve">SELECT vc.identifier AS object_id, vc.pid AS object_pid,</w:t>
      </w:r>
      <w:r>
        <w:br/>
      </w:r>
      <w:r>
        <w:rPr>
          <w:rStyle w:val="VerbatimStringTok"/>
        </w:rPr>
        <w:t xml:space="preserve">       vc.title_text AS object_title, vc.from_file, vc.start_line</w:t>
      </w:r>
      <w:r>
        <w:br/>
      </w:r>
      <w:r>
        <w:rPr>
          <w:rStyle w:val="VerbatimStringTok"/>
        </w:rPr>
        <w:t xml:space="preserve">FROM spec_objects vc</w:t>
      </w:r>
      <w:r>
        <w:br/>
      </w:r>
      <w:r>
        <w:rPr>
          <w:rStyle w:val="VerbatimStringTok"/>
        </w:rPr>
        <w:t xml:space="preserve">WHERE vc.type_ref = 'VC'</w:t>
      </w:r>
      <w:r>
        <w:br/>
      </w:r>
      <w:r>
        <w:rPr>
          <w:rStyle w:val="VerbatimStringTok"/>
        </w:rPr>
        <w:t xml:space="preserve">  AND NOT EXISTS (</w:t>
      </w:r>
      <w:r>
        <w:br/>
      </w:r>
      <w:r>
        <w:rPr>
          <w:rStyle w:val="VerbatimStringTok"/>
        </w:rPr>
        <w:t xml:space="preserve">      SELECT 1 FROM spec_relations r</w:t>
      </w:r>
      <w:r>
        <w:br/>
      </w:r>
      <w:r>
        <w:rPr>
          <w:rStyle w:val="VerbatimStringTok"/>
        </w:rPr>
        <w:t xml:space="preserve">      JOIN spec_objects target ON target.identifier = r.target_ref</w:t>
      </w:r>
      <w:r>
        <w:br/>
      </w:r>
      <w:r>
        <w:rPr>
          <w:rStyle w:val="VerbatimStringTok"/>
        </w:rPr>
        <w:t xml:space="preserve">      WHERE r.source_ref = vc.identifier AND target.type_ref = 'HLR'</w:t>
      </w:r>
      <w:r>
        <w:br/>
      </w:r>
      <w:r>
        <w:rPr>
          <w:rStyle w:val="VerbatimStringTok"/>
        </w:rPr>
        <w:t xml:space="preserve">  );</w:t>
      </w:r>
      <w:r>
        <w:br/>
      </w:r>
      <w:r>
        <w:rPr>
          <w:rStyle w:val="VerbatimString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ANALYZE: one call per row. ctx.subject.row contains the query result.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object_pid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object_title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object_id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"Verification case '%s' has no traceability link to an HLR"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policy_key</w:t>
      </w:r>
      <w:r>
        <w:t xml:space="preserve"> </w:t>
      </w:r>
      <w:r>
        <w:t xml:space="preserve">controls diagnostic severity. An overlay descriptor with the same key replaces the earlier descriptor. A schema with</w:t>
      </w:r>
      <w:r>
        <w:t xml:space="preserve"> </w:t>
      </w:r>
      <w:r>
        <w:rPr>
          <w:rStyle w:val="VerbatimChar"/>
        </w:rPr>
        <w:t xml:space="preserve">disabled = true</w:t>
      </w:r>
      <w:r>
        <w:t xml:space="preserve"> </w:t>
      </w:r>
      <w:r>
        <w:t xml:space="preserve">removes the key. Set a policy to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to suppress its diagnostics:</w:t>
      </w:r>
    </w:p>
    <w:p>
      <w:pPr>
        <w:spacing w:line="20" w:lineRule="exact" w:before="0" w:after="0"/>
        <w:rPr>
          <w:sz w:val="2"/>
        </w:rPr>
      </w:pPr>
      <w:bookmarkStart w:id="31062" w:name="listing-src-model-suppress-verification-view"/>
      <w:bookmarkEnd w:id="31062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17</w:t>
      </w:r>
      <w:r>
        <w:fldChar w:fldCharType="end"/>
      </w:r>
      <w:r>
        <w:t xml:space="preserve"> :  Suppressing an analyze query</w:t>
      </w:r>
    </w:p>
    <w:p>
      <w:pPr>
        <w:pStyle w:val="SourceCode"/>
      </w:pP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traceability_vc_to_hlr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</w:p>
    <w:bookmarkEnd w:id="42"/>
    <w:bookmarkStart w:id="44" w:name="SPEC-sec12"/>
    <w:p>
      <w:pPr>
        <w:pStyle w:val="Heading1"/>
        <w:numPr>
          <w:ilvl w:val="0"/>
          <w:numId w:val="100"/>
        </w:numPr>
      </w:pPr>
      <w:r>
        <w:t xml:space="preserve">External renderers</w:t>
      </w:r>
    </w:p>
    <w:p>
      <w:pPr>
        <w:pStyle w:val="FirstParagraph"/>
      </w:pPr>
      <w:r>
        <w:t xml:space="preserve">Floats that require an external tool set</w:t>
      </w:r>
      <w:r>
        <w:t xml:space="preserve"> </w:t>
      </w:r>
      <w:r>
        <w:rPr>
          <w:rStyle w:val="VerbatimChar"/>
        </w:rPr>
        <w:t xml:space="preserve">needs_external_render = true</w:t>
      </w:r>
      <w:r>
        <w:t xml:space="preserve">. They declare</w:t>
      </w:r>
      <w:r>
        <w:t xml:space="preserve"> </w:t>
      </w:r>
      <w:r>
        <w:rPr>
          <w:rStyle w:val="VerbatimChar"/>
        </w:rPr>
        <w:t xml:space="preserve">prepare_task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handle_result</w:t>
      </w:r>
      <w:r>
        <w:t xml:space="preserve"> </w:t>
      </w:r>
      <w:r>
        <w:t xml:space="preserve">data hooks. The pipeline collects tasks, runs processes, and dispatches each result. A float may also declare</w:t>
      </w:r>
      <w:r>
        <w:t xml:space="preserve"> </w:t>
      </w:r>
      <w:r>
        <w:rPr>
          <w:rStyle w:val="VerbatimChar"/>
        </w:rPr>
        <w:t xml:space="preserve">format_link</w:t>
      </w:r>
      <w:r>
        <w:t xml:space="preserve"> </w:t>
      </w:r>
      <w:r>
        <w:t xml:space="preserve">to support CommonSpec links in its source (see</w:t>
      </w:r>
      <w:r>
        <w:t xml:space="preserve"> </w:t>
      </w:r>
      <w:r>
        <w:rPr>
          <w:iCs/>
          <w:i/>
        </w:rPr>
        <w:t xml:space="preserve">Links in float source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prepare_task</w:t>
      </w:r>
      <w:r>
        <w:t xml:space="preserve"> </w:t>
      </w:r>
      <w:r>
        <w:t xml:space="preserve">hook returns a task descriptor. The</w:t>
      </w:r>
      <w:r>
        <w:t xml:space="preserve"> </w:t>
      </w:r>
      <w:r>
        <w:rPr>
          <w:rStyle w:val="VerbatimChar"/>
        </w:rPr>
        <w:t xml:space="preserve">handle_result</w:t>
      </w:r>
      <w:r>
        <w:t xml:space="preserve"> </w:t>
      </w:r>
      <w:r>
        <w:t xml:space="preserve">hook stores the resolved result. A float cannot declare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with either external-render hook.</w:t>
      </w:r>
    </w:p>
    <w:p>
      <w:pPr>
        <w:spacing w:line="20" w:lineRule="exact" w:before="0" w:after="0"/>
        <w:rPr>
          <w:sz w:val="2"/>
        </w:rPr>
      </w:pPr>
      <w:bookmarkStart w:id="36387" w:name="listing-src-model-external-render"/>
      <w:bookmarkEnd w:id="36387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18</w:t>
      </w:r>
      <w:r>
        <w:fldChar w:fldCharType="end"/>
      </w:r>
      <w:r>
        <w:t xml:space="preserve"> :  types/floats/plantuml.lua — an external-render float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float_base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"pipeline.shared.float_base"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task_runner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"infra.process.task_runner"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"PLANTUML"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"PlantUML Diagram"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caption_format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counter_group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"plantuml"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needs_external_render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DATA: build the spawn task. dctx.subject contains { float, build_dir }.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dctx.log is the logger. Return the task descriptor, or nil to skip.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Because this type declares format_link, float.raw_content arrives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with its CommonSpec links already rewritten to [[href{tip} text]].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prepare_task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float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build_dir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raw_content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diagrams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"/diagrams"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puml_file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".puml"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svg_file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".svg"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task_runner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ensure_dir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diagrams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task_runner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puml_file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PNG (DOCX, LaTeX, Markdown) first, then SVG (clickable links in HTML)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'plantuml -tpng "$1" &amp;&amp; plantuml -tsvg "$1"'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puml_file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opts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output_path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cache key: written last, so both files exist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DATA: write the resolved AST. dctx.subject carries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{ task, success, stdout, stderr }. dctx.data is the SpecIR database.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handle_result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task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context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"PlantUML failed: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'{"png_paths":["diagrams/%s.png"],"svg_paths":["diagrams/%s.svg"]}'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float_base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update_resolved_ast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DATA: write one resolved CommonSpec link in PlantUML syntax.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dctx.subject carries { href, display_text }. Brackets and braces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would end the PlantUML link early, and backslashes start escapes,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so they are dropped or replaced; the URL ends at a space.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format_link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display_text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"[%[%]{}]"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href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"%%20"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"[[%s{%s} %s]]"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DATA: blank out comments so links in them are not registered.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Keep length and newlines: link line numbers come from this text.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mask_comments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blank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dctx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raw_content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"/'.-'/"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blank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"^%s*'"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blank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spacing w:line="20" w:lineRule="exact" w:before="0" w:after="0"/>
        <w:rPr>
          <w:sz w:val="2"/>
        </w:rPr>
      </w:pPr>
      <w:bookmarkStart w:id="11166" w:name="csv-tbl-model-task-descriptor"/>
      <w:bookmarkEnd w:id="11166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9</w:t>
      </w:r>
      <w:r>
        <w:fldChar w:fldCharType="end"/>
      </w:r>
      <w:r>
        <w:t xml:space="preserve"> :  Task descriptor returned by prepare_task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opts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Process and options.</w:t>
            </w:r>
            <w:r>
              <w:t xml:space="preserve"> </w:t>
            </w:r>
            <w:r>
              <w:rPr>
                <w:rStyle w:val="VerbatimChar"/>
              </w:rPr>
              <w:t xml:space="preserve">opts.timeout</w:t>
            </w:r>
            <w:r>
              <w:t xml:space="preserve"> </w:t>
            </w:r>
            <w:r>
              <w:t xml:space="preserve">is in milliseconds.</w:t>
            </w:r>
            <w:r>
              <w:t xml:space="preserve"> </w:t>
            </w:r>
            <w:r>
              <w:rPr>
                <w:rStyle w:val="VerbatimChar"/>
              </w:rPr>
              <w:t xml:space="preserve">opts.cwd</w:t>
            </w:r>
            <w:r>
              <w:t xml:space="preserve"> </w:t>
            </w:r>
            <w:r>
              <w:t xml:space="preserve">sets the working directory.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File-based cache key. If the file already exists, the process is not spawned —</w:t>
            </w:r>
            <w:r>
              <w:t xml:space="preserve"> </w:t>
            </w:r>
            <w:r>
              <w:rPr>
                <w:rStyle w:val="VerbatimChar"/>
              </w:rPr>
              <w:t xml:space="preserve">handle_result</w:t>
            </w:r>
            <w:r>
              <w:t xml:space="preserve"> </w:t>
            </w:r>
            <w:r>
              <w:t xml:space="preserve">runs immediately with the cached path. Put the content hash in the filename so input changes trigger a fresh render.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Arbitrary table passed through to</w:t>
            </w:r>
            <w:r>
              <w:t xml:space="preserve"> </w:t>
            </w:r>
            <w:r>
              <w:rPr>
                <w:rStyle w:val="VerbatimChar"/>
              </w:rPr>
              <w:t xml:space="preserve">handle_result</w:t>
            </w:r>
            <w:r>
              <w:t xml:space="preserve"> </w:t>
            </w:r>
            <w:r>
              <w:t xml:space="preserve">(read as</w:t>
            </w:r>
            <w:r>
              <w:t xml:space="preserve"> </w:t>
            </w:r>
            <w:r>
              <w:rPr>
                <w:rStyle w:val="VerbatimChar"/>
              </w:rPr>
              <w:t xml:space="preserve">task.context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resolved_ast</w:t>
      </w:r>
      <w:r>
        <w:t xml:space="preserve"> </w:t>
      </w:r>
      <w:r>
        <w:t xml:space="preserve">of an image float lists</w:t>
      </w:r>
      <w:r>
        <w:t xml:space="preserve"> </w:t>
      </w:r>
      <w:r>
        <w:rPr>
          <w:rStyle w:val="VerbatimChar"/>
        </w:rPr>
        <w:t xml:space="preserve">png_paths</w:t>
      </w:r>
      <w:r>
        <w:t xml:space="preserve"> </w:t>
      </w:r>
      <w:r>
        <w:t xml:space="preserve">and, optionally,</w:t>
      </w:r>
      <w:r>
        <w:t xml:space="preserve"> </w:t>
      </w:r>
      <w:r>
        <w:rPr>
          <w:rStyle w:val="VerbatimChar"/>
        </w:rPr>
        <w:t xml:space="preserve">svg_paths</w:t>
      </w:r>
      <w:r>
        <w:t xml:space="preserve">, relative to the build directory. EMIT uses the PNG for DOCX, LaTeX, and Markdown. When an SVG is present, the image carries its path in an</w:t>
      </w:r>
      <w:r>
        <w:t xml:space="preserve"> </w:t>
      </w:r>
      <w:r>
        <w:rPr>
          <w:rStyle w:val="VerbatimChar"/>
        </w:rPr>
        <w:t xml:space="preserve">svg</w:t>
      </w:r>
      <w:r>
        <w:t xml:space="preserve"> </w:t>
      </w:r>
      <w:r>
        <w:t xml:space="preserve">attribute that only HTML output sees (the emitter removes it for every other format), and the HTML filter inlines the SVG so that links inside it navigate.</w:t>
      </w:r>
    </w:p>
    <w:bookmarkStart w:id="43" w:name="SPEC-sec12.1"/>
    <w:p>
      <w:pPr>
        <w:pStyle w:val="Heading2"/>
        <w:numPr>
          <w:ilvl w:val="1"/>
          <w:numId w:val="100"/>
        </w:numPr>
      </w:pPr>
      <w:r>
        <w:t xml:space="preserve">Links in float source</w:t>
      </w:r>
    </w:p>
    <w:p>
      <w:pPr>
        <w:pStyle w:val="FirstParagraph"/>
      </w:pPr>
      <w:r>
        <w:t xml:space="preserve">A float type whose source is plain text (not Markdown) can let authors write CommonSpec links in it, such as</w:t>
      </w:r>
      <w:r>
        <w:t xml:space="preserve"> </w:t>
      </w:r>
      <w:r>
        <w:rPr>
          <w:rStyle w:val="VerbatimChar"/>
        </w:rPr>
        <w:t xml:space="preserve">Foo --&gt; Bar : [SEC-2](@)</w:t>
      </w:r>
      <w:r>
        <w:t xml:space="preserve">. Declaring the</w:t>
      </w:r>
      <w:r>
        <w:t xml:space="preserve"> </w:t>
      </w:r>
      <w:r>
        <w:rPr>
          <w:rStyle w:val="VerbatimChar"/>
        </w:rPr>
        <w:t xml:space="preserve">format_link</w:t>
      </w:r>
      <w:r>
        <w:t xml:space="preserve"> </w:t>
      </w:r>
      <w:r>
        <w:t xml:space="preserve">data hook turns this on. The pipeline then:</w:t>
      </w:r>
    </w:p>
    <w:p>
      <w:pPr>
        <w:numPr>
          <w:ilvl w:val="0"/>
          <w:numId w:val="1004"/>
        </w:numPr>
        <w:pStyle w:val="Compact"/>
      </w:pPr>
      <w:r>
        <w:t xml:space="preserve">Registers each</w:t>
      </w:r>
      <w:r>
        <w:t xml:space="preserve"> </w:t>
      </w:r>
      <w:r>
        <w:rPr>
          <w:rStyle w:val="VerbatimChar"/>
        </w:rPr>
        <w:t xml:space="preserve">[text](@...)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[text](#...)</w:t>
      </w:r>
      <w:r>
        <w:t xml:space="preserve"> </w:t>
      </w:r>
      <w:r>
        <w:t xml:space="preserve">in the source as a relation of the float’s parent object, at its exact line (INITIALIZE).</w:t>
      </w:r>
    </w:p>
    <w:p>
      <w:pPr>
        <w:numPr>
          <w:ilvl w:val="0"/>
          <w:numId w:val="1004"/>
        </w:numPr>
        <w:pStyle w:val="Compact"/>
      </w:pPr>
      <w:r>
        <w:t xml:space="preserve">Resolves it with the same rules and diagnostics as a body link (RESOLVE).</w:t>
      </w:r>
    </w:p>
    <w:p>
      <w:pPr>
        <w:numPr>
          <w:ilvl w:val="0"/>
          <w:numId w:val="1004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format_link</w:t>
      </w:r>
      <w:r>
        <w:t xml:space="preserve"> </w:t>
      </w:r>
      <w:r>
        <w:t xml:space="preserve">once per link and replaces the link with the returned string, before</w:t>
      </w:r>
      <w:r>
        <w:t xml:space="preserve"> </w:t>
      </w:r>
      <w:r>
        <w:rPr>
          <w:rStyle w:val="VerbatimChar"/>
        </w:rPr>
        <w:t xml:space="preserve">prepare_task</w:t>
      </w:r>
      <w:r>
        <w:t xml:space="preserve"> </w:t>
      </w:r>
      <w:r>
        <w:t xml:space="preserve">(TRANSFORM). The render cache therefore keys on the rewritten source.</w:t>
      </w:r>
    </w:p>
    <w:p>
      <w:pPr>
        <w:spacing w:line="20" w:lineRule="exact" w:before="0" w:after="0"/>
        <w:rPr>
          <w:sz w:val="2"/>
        </w:rPr>
      </w:pPr>
      <w:bookmarkStart w:id="59223" w:name="csv-tbl-model-format-link"/>
      <w:bookmarkEnd w:id="59223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10</w:t>
      </w:r>
      <w:r>
        <w:fldChar w:fldCharType="end"/>
      </w:r>
      <w:r>
        <w:t xml:space="preserve"> :  The format_link hook contract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pace="0" w:val="single" w:color="000000" w:sz="6"/>
          <w:left w:space="0" w:val="single" w:color="000000" w:sz="6"/>
          <w:bottom w:space="0" w:val="single" w:color="000000" w:sz="6"/>
          <w:right w:space="0" w:val="single" w:color="000000" w:sz="6"/>
          <w:insideH w:space="0" w:val="single" w:color="000000" w:sz="6"/>
          <w:insideV w:space="0" w:val="single" w:color="000000" w:sz="6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Field</w:t>
            </w:r>
          </w:p>
        </w:tc>
        <w:tc>
          <w:tcPr>
            <w:shd w:color="auto" w:val="clear" w:fill="E8E8E8"/>
          </w:tcPr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ctx.subject.href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Resolved target:</w:t>
            </w:r>
            <w:r>
              <w:t xml:space="preserve"> </w:t>
            </w:r>
            <w:r>
              <w:rPr>
                <w:rStyle w:val="VerbatimChar"/>
              </w:rPr>
              <w:t xml:space="preserve">#anchor</w:t>
            </w:r>
            <w:r>
              <w:t xml:space="preserve"> </w:t>
            </w:r>
            <w:r>
              <w:t xml:space="preserve">in the same document, or</w:t>
            </w:r>
            <w:r>
              <w:t xml:space="preserve"> </w:t>
            </w:r>
            <w:r>
              <w:rPr>
                <w:rStyle w:val="VerbatimChar"/>
              </w:rPr>
              <w:t xml:space="preserve">{spec}.ext#anchor</w:t>
            </w:r>
            <w:r>
              <w:t xml:space="preserve"> </w:t>
            </w:r>
            <w:r>
              <w:t xml:space="preserve">in another document. The output filter replaces</w:t>
            </w:r>
            <w:r>
              <w:t xml:space="preserve"> </w:t>
            </w:r>
            <w:r>
              <w:rPr>
                <w:rStyle w:val="VerbatimChar"/>
              </w:rPr>
              <w:t xml:space="preserve">.ext</w:t>
            </w:r>
            <w:r>
              <w:t xml:space="preserve"> </w:t>
            </w:r>
            <w:r>
              <w:t xml:space="preserve">with the output extension. For an unresolved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link, it is the same fallback anchor a body link gets.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rPr>
                <w:rStyle w:val="VerbatimChar"/>
              </w:rPr>
              <w:t xml:space="preserve">ctx.subject.display_text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The text a body link to the same target shows (e.g. </w:t>
            </w:r>
            <w:r>
              <w:t xml:space="preserve">“</w:t>
            </w:r>
            <w:r>
              <w:t xml:space="preserve">Figure 3</w:t>
            </w:r>
            <w:r>
              <w:t xml:space="preserve">”</w:t>
            </w:r>
            <w:r>
              <w:t xml:space="preserve">), with the specification prefix for another document. For an unresolved link, it is the authored text.</w:t>
            </w:r>
          </w:p>
        </w:tc>
      </w:tr>
      <w:tr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  <w:ind w:right="0" w:left="0" w:firstLine="0"/>
              <w:spacing w:after="40" w:lineRule="auto" w:before="40" w:line="240"/>
            </w:pPr>
            <w:r>
              <w:t xml:space="preserve">A string in the tool’s own hyperlink syntax that replaces the link in the source.</w:t>
            </w:r>
          </w:p>
        </w:tc>
      </w:tr>
    </w:tbl>
    <w:p>
      <w:pPr>
        <w:pStyle w:val="BodyText"/>
      </w:pPr>
      <w:r>
        <w:t xml:space="preserve">Citation links (</w:t>
      </w:r>
      <w:r>
        <w:rPr>
          <w:rStyle w:val="VerbatimChar"/>
        </w:rPr>
        <w:t xml:space="preserve">@cite</w:t>
      </w:r>
      <w:r>
        <w:t xml:space="preserve">,</w:t>
      </w:r>
      <w:r>
        <w:t xml:space="preserve"> </w:t>
      </w:r>
      <w:r>
        <w:rPr>
          <w:rStyle w:val="VerbatimChar"/>
        </w:rPr>
        <w:t xml:space="preserve">@citep</w:t>
      </w:r>
      <w:r>
        <w:t xml:space="preserve">) have no target anchor, so the pipeline leaves them verbatim and does not call the hook for them. A link preceded by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is literal text: it is neither registered nor rewritten (</w:t>
      </w:r>
      <w:r>
        <w:rPr>
          <w:rStyle w:val="VerbatimChar"/>
        </w:rPr>
        <w:t xml:space="preserve">~</w:t>
      </w:r>
      <w:r>
        <w:t xml:space="preserve"> </w:t>
      </w:r>
      <w:r>
        <w:t xml:space="preserve">is PlantUML’s escape, so the diagram shows the plain text). To ignore links inside the tool’s comments, also declare</w:t>
      </w:r>
      <w:r>
        <w:t xml:space="preserve"> </w:t>
      </w:r>
      <w:r>
        <w:rPr>
          <w:rStyle w:val="VerbatimChar"/>
        </w:rPr>
        <w:t xml:space="preserve">mask_comments</w:t>
      </w:r>
      <w:r>
        <w:t xml:space="preserve">; registration then scans its result.</w:t>
      </w:r>
    </w:p>
    <w:bookmarkEnd w:id="43"/>
    <w:bookmarkEnd w:id="44"/>
    <w:bookmarkStart w:id="45" w:name="SPEC-sec13"/>
    <w:p>
      <w:pPr>
        <w:pStyle w:val="Heading1"/>
        <w:numPr>
          <w:ilvl w:val="0"/>
          <w:numId w:val="100"/>
        </w:numPr>
      </w:pPr>
      <w:r>
        <w:t xml:space="preserve">Migrating models</w:t>
      </w:r>
    </w:p>
    <w:p>
      <w:pPr>
        <w:pStyle w:val="FirstParagraph"/>
      </w:pPr>
      <w:r>
        <w:t xml:space="preserve">Existing models keep working without changes. Use this list to check yours.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Override of PLANTUML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hooks = {}</w:t>
      </w:r>
      <w:r>
        <w:rPr>
          <w:bCs/>
          <w:b/>
        </w:rPr>
        <w:t xml:space="preserve">, or a type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extends</w:t>
      </w:r>
      <w:r>
        <w:rPr>
          <w:bCs/>
          <w:b/>
        </w:rPr>
        <w:t xml:space="preserve"> </w:t>
      </w:r>
      <w:r>
        <w:rPr>
          <w:bCs/>
          <w:b/>
        </w:rPr>
        <w:t xml:space="preserve">PLANTUML:</w:t>
      </w:r>
      <w:r>
        <w:t xml:space="preserve"> </w:t>
      </w:r>
      <w:r>
        <w:t xml:space="preserve">nothing to do. The type keeps or inherits every default hook, so it gets diagram links and the SVG rendition automatically.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Override with your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prepare_task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handle_result</w:t>
      </w:r>
      <w:r>
        <w:rPr>
          <w:bCs/>
          <w:b/>
        </w:rPr>
        <w:t xml:space="preserve">:</w:t>
      </w:r>
      <w:r>
        <w:t xml:space="preserve"> </w:t>
      </w:r>
      <w:r>
        <w:t xml:space="preserve">nothing breaks; output stays PNG, and the source already arrives with links rewritten. To get clickable links in HTML, also render an SVG and add</w:t>
      </w:r>
      <w:r>
        <w:t xml:space="preserve"> </w:t>
      </w:r>
      <w:r>
        <w:rPr>
          <w:rStyle w:val="VerbatimChar"/>
        </w:rPr>
        <w:t xml:space="preserve">"svg_paths":[...]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resolved_ast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prepare_task</w:t>
      </w:r>
      <w:r>
        <w:rPr>
          <w:bCs/>
          <w:b/>
        </w:rPr>
        <w:t xml:space="preserve"> </w:t>
      </w:r>
      <w:r>
        <w:rPr>
          <w:bCs/>
          <w:b/>
        </w:rPr>
        <w:t xml:space="preserve">only: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diagrams_path</w:t>
      </w:r>
      <w:r>
        <w:t xml:space="preserve"> </w:t>
      </w:r>
      <w:r>
        <w:t xml:space="preserve">(and, optionally,</w:t>
      </w:r>
      <w:r>
        <w:t xml:space="preserve"> </w:t>
      </w:r>
      <w:r>
        <w:rPr>
          <w:rStyle w:val="VerbatimChar"/>
        </w:rPr>
        <w:t xml:space="preserve">relative_dir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relative_path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task.context</w:t>
      </w:r>
      <w:r>
        <w:t xml:space="preserve">, and keep a PNG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. The default</w:t>
      </w:r>
      <w:r>
        <w:t xml:space="preserve"> </w:t>
      </w:r>
      <w:r>
        <w:rPr>
          <w:rStyle w:val="VerbatimChar"/>
        </w:rPr>
        <w:t xml:space="preserve">handle_result</w:t>
      </w:r>
      <w:r>
        <w:t xml:space="preserve"> </w:t>
      </w:r>
      <w:r>
        <w:t xml:space="preserve">then still finds the PNG.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html.lua</w:t>
      </w:r>
      <w:r>
        <w:rPr>
          <w:bCs/>
          <w:b/>
        </w:rPr>
        <w:t xml:space="preserve"> </w:t>
      </w:r>
      <w:r>
        <w:rPr>
          <w:bCs/>
          <w:b/>
        </w:rPr>
        <w:t xml:space="preserve">that replaces the default filter:</w:t>
      </w:r>
      <w:r>
        <w:t xml:space="preserve"> </w:t>
      </w:r>
      <w:r>
        <w:t xml:space="preserve">the diagram shows as the PNG. To get clickable links, port the default filter’s handling of images with an</w:t>
      </w:r>
      <w:r>
        <w:t xml:space="preserve"> </w:t>
      </w:r>
      <w:r>
        <w:rPr>
          <w:rStyle w:val="VerbatimChar"/>
        </w:rPr>
        <w:t xml:space="preserve">svg</w:t>
      </w:r>
      <w:r>
        <w:t xml:space="preserve"> </w:t>
      </w:r>
      <w:r>
        <w:t xml:space="preserve">attribute (</w:t>
      </w:r>
      <w:r>
        <w:rPr>
          <w:rStyle w:val="VerbatimChar"/>
        </w:rPr>
        <w:t xml:space="preserve">inline_svg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base.css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sidebar.js</w:t>
      </w:r>
      <w:r>
        <w:rPr>
          <w:bCs/>
          <w:b/>
        </w:rPr>
        <w:t xml:space="preserve"> </w:t>
      </w:r>
      <w:r>
        <w:rPr>
          <w:bCs/>
          <w:b/>
        </w:rPr>
        <w:t xml:space="preserve">overrides: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svg.speccompiler-diagram { max-width: 100%; height: auto; }</w:t>
      </w:r>
      <w:r>
        <w:t xml:space="preserve"> </w:t>
      </w:r>
      <w:r>
        <w:t xml:space="preserve">rule, and find the clicked anchor with</w:t>
      </w:r>
      <w:r>
        <w:t xml:space="preserve"> </w:t>
      </w:r>
      <w:r>
        <w:rPr>
          <w:rStyle w:val="VerbatimChar"/>
        </w:rPr>
        <w:t xml:space="preserve">closest('a')</w:t>
      </w:r>
      <w:r>
        <w:t xml:space="preserve">, reading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xlink:href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Traceability or coverage queries:</w:t>
      </w:r>
      <w:r>
        <w:t xml:space="preserve"> </w:t>
      </w:r>
      <w:r>
        <w:t xml:space="preserve">a diagram link is an ordinary relation of the enclosing object, so it counts like a body link. Use</w:t>
      </w:r>
      <w:r>
        <w:t xml:space="preserve"> </w:t>
      </w:r>
      <w:r>
        <w:rPr>
          <w:rStyle w:val="VerbatimChar"/>
        </w:rPr>
        <w:t xml:space="preserve">COUNT(DISTINCT ...)</w:t>
      </w:r>
      <w:r>
        <w:t xml:space="preserve"> </w:t>
      </w:r>
      <w:r>
        <w:t xml:space="preserve">where a body link and a diagram link to the same target must count once.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Other source-based float types: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format_link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mask_comments</w:t>
      </w:r>
      <w:r>
        <w:t xml:space="preserve"> </w:t>
      </w:r>
      <w:r>
        <w:t xml:space="preserve">for the tool’s comment syntax) to opt in.</w:t>
      </w:r>
    </w:p>
    <w:bookmarkEnd w:id="45"/>
    <w:bookmarkStart w:id="46" w:name="SPEC-sec14"/>
    <w:p>
      <w:pPr>
        <w:pStyle w:val="Heading1"/>
        <w:numPr>
          <w:ilvl w:val="0"/>
          <w:numId w:val="100"/>
        </w:numPr>
      </w:pPr>
      <w:r>
        <w:t xml:space="preserve">Project integration</w:t>
      </w:r>
    </w:p>
    <w:p>
      <w:pPr>
        <w:spacing w:line="20" w:lineRule="exact" w:before="0" w:after="0"/>
        <w:rPr>
          <w:sz w:val="2"/>
        </w:rPr>
      </w:pPr>
      <w:bookmarkStart w:id="53074" w:name="listing-src-model-project-yaml"/>
      <w:bookmarkEnd w:id="53074"/>
    </w:p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19</w:t>
      </w:r>
      <w:r>
        <w:fldChar w:fldCharType="end"/>
      </w:r>
      <w:r>
        <w:t xml:space="preserve"> :  Using a custom model in project.yaml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MYPROJ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Project</w:t>
      </w:r>
      <w:r>
        <w:br/>
      </w:r>
      <w:r>
        <w:br/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mymodel</w:t>
      </w:r>
      <w:r>
        <w:rPr>
          <w:rStyle w:val="CommentTok"/>
        </w:rPr>
        <w:t xml:space="preserve">   # Loads models/default/ then models/mymodel/</w:t>
      </w:r>
      <w:r>
        <w:br/>
      </w:r>
      <w:r>
        <w:br/>
      </w:r>
      <w:r>
        <w:rPr>
          <w:rStyle w:val="FunctionTok"/>
        </w:rPr>
        <w:t xml:space="preserve">doc_files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srs.md</w:t>
      </w:r>
    </w:p>
    <w:bookmarkEnd w:id="46"/>
    <w:bookmarkStart w:id="47" w:name="SPEC-sec15"/>
    <w:p>
      <w:pPr>
        <w:pStyle w:val="Heading1"/>
        <w:numPr>
          <w:ilvl w:val="0"/>
          <w:numId w:val="100"/>
        </w:numPr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A type does not load.</w:t>
      </w:r>
      <w:r>
        <w:t xml:space="preserve"> </w:t>
      </w:r>
      <w:r>
        <w:t xml:space="preserve">Check the file location and returned descriptor. The kind must match its category directory. Type-load errors stop the build. View module load errors produce warnings.</w:t>
      </w:r>
    </w:p>
    <w:p>
      <w:pPr>
        <w:pStyle w:val="BodyText"/>
      </w:pPr>
      <w:r>
        <w:rPr>
          <w:bCs/>
          <w:b/>
        </w:rPr>
        <w:t xml:space="preserve">The host rejects a hook.</w:t>
      </w:r>
      <w:r>
        <w:t xml:space="preserve"> </w:t>
      </w:r>
      <w:r>
        <w:t xml:space="preserve">Check that the hook is valid for the descriptor kind. Put all custom behavior in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 overlay does not replace a type.</w:t>
      </w:r>
      <w:r>
        <w:t xml:space="preserve"> </w:t>
      </w:r>
      <w:r>
        <w:t xml:space="preserve">Use the same case-sensitive</w:t>
      </w:r>
      <w:r>
        <w:t xml:space="preserve"> </w:t>
      </w:r>
      <w:r>
        <w:rPr>
          <w:rStyle w:val="VerbatimChar"/>
        </w:rPr>
        <w:t xml:space="preserve">schema.id</w:t>
      </w:r>
      <w:r>
        <w:t xml:space="preserve"> </w:t>
      </w:r>
      <w:r>
        <w:t xml:space="preserve">and kind as the base descriptor.</w:t>
      </w:r>
    </w:p>
    <w:p>
      <w:pPr>
        <w:pStyle w:val="BodyText"/>
      </w:pPr>
      <w:r>
        <w:rPr>
          <w:bCs/>
          <w:b/>
        </w:rPr>
        <w:t xml:space="preserve">A render hook produces no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TABLE_VIEW</w:t>
      </w:r>
      <w:r>
        <w:t xml:space="preserve"> </w:t>
      </w:r>
      <w:r>
        <w:t xml:space="preserve">subtype must declare</w:t>
      </w:r>
      <w:r>
        <w:t xml:space="preserve"> </w:t>
      </w:r>
      <w:r>
        <w:rPr>
          <w:rStyle w:val="VerbatimChar"/>
        </w:rPr>
        <w:t xml:space="preserve">build_block</w:t>
      </w:r>
      <w:r>
        <w:t xml:space="preserve">. An object hook that returns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retains the original element. Return the generated blocks to replace it.</w:t>
      </w:r>
    </w:p>
    <w:p>
      <w:pPr>
        <w:pStyle w:val="BodyText"/>
      </w:pPr>
      <w:r>
        <w:rPr>
          <w:bCs/>
          <w:b/>
        </w:rPr>
        <w:t xml:space="preserve">An external renderer runs for unchanged input.</w:t>
      </w:r>
      <w:r>
        <w:t xml:space="preserve"> </w:t>
      </w:r>
      <w:r>
        <w:t xml:space="preserve">Include the content hash in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to use the file cache.</w:t>
      </w:r>
    </w:p>
    <w:bookmarkEnd w:id="47"/>
    <w:bookmarkStart w:id="53" w:name="SPEC-sec16"/>
    <w:p>
      <w:pPr>
        <w:pStyle w:val="Heading1"/>
        <w:numPr>
          <w:ilvl w:val="0"/>
          <w:numId w:val="100"/>
        </w:numPr>
      </w:pPr>
      <w:r>
        <w:t xml:space="preserve">Pointers</w:t>
      </w:r>
    </w:p>
    <w:p>
      <w:pPr>
        <w:numPr>
          <w:ilvl w:val="0"/>
          <w:numId w:val="1006"/>
        </w:numPr>
        <w:pStyle w:val="Compact"/>
      </w:pPr>
      <w:hyperlink r:id="rId48">
        <w:r>
          <w:rPr>
            <w:rStyle w:val="Hyperlink"/>
          </w:rPr>
          <w:t xml:space="preserve">User manual</w:t>
        </w:r>
      </w:hyperlink>
      <w:r>
        <w:t xml:space="preserve"> </w:t>
      </w:r>
      <w:r>
        <w:t xml:space="preserve">— day-to-day authoring syntax.</w:t>
      </w:r>
    </w:p>
    <w:p>
      <w:pPr>
        <w:numPr>
          <w:ilvl w:val="0"/>
          <w:numId w:val="1006"/>
        </w:numPr>
        <w:pStyle w:val="Compact"/>
      </w:pPr>
      <w:r>
        <w:t xml:space="preserve">Engineering docs — the</w:t>
      </w:r>
      <w:r>
        <w:t xml:space="preserve"> </w:t>
      </w:r>
      <w:hyperlink r:id="rId49">
        <w:r>
          <w:rPr>
            <w:rStyle w:val="Hyperlink"/>
          </w:rPr>
          <w:t xml:space="preserve">type system SDD</w:t>
        </w:r>
      </w:hyperlink>
      <w:r>
        <w:t xml:space="preserve"> </w:t>
      </w:r>
      <w:r>
        <w:t xml:space="preserve">defines the contract.</w:t>
      </w:r>
      <w:r>
        <w:t xml:space="preserve"> </w:t>
      </w:r>
      <w:hyperlink r:id="rId50">
        <w:r>
          <w:rPr>
            <w:rStyle w:val="Hyperlink"/>
          </w:rPr>
          <w:t xml:space="preserve">Type discovery</w:t>
        </w:r>
      </w:hyperlink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model design</w:t>
        </w:r>
      </w:hyperlink>
      <w:r>
        <w:t xml:space="preserve"> </w:t>
      </w:r>
      <w:r>
        <w:t xml:space="preserve">define internal behavior.</w:t>
      </w:r>
    </w:p>
    <w:p>
      <w:pPr>
        <w:numPr>
          <w:ilvl w:val="0"/>
          <w:numId w:val="1006"/>
        </w:numPr>
        <w:pStyle w:val="Compact"/>
      </w:pPr>
      <w:hyperlink r:id="rId52">
        <w:r>
          <w:rPr>
            <w:rStyle w:val="Hyperlink"/>
          </w:rPr>
          <w:t xml:space="preserve">Concepts dictionary</w:t>
        </w:r>
      </w:hyperlink>
      <w:r>
        <w:t xml:space="preserve"> </w:t>
      </w:r>
      <w:r>
        <w:t xml:space="preserve">— vocabulary reference.</w:t>
      </w:r>
    </w:p>
    <w:bookmarkEnd w:id="53"/>
    <w:sectPr>
      <w:footerReference r:id="rId9200" w:type="default"/>
      <w:headerReference r:id="rId9101" w:type="default"/>
      <w:headerReference r:id="rId9100" w:type="first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Borders>
        <w:top w:space="1" w:val="single" w:color="CCCCCC" w:sz="4"/>
        <w:bottom w:space="0" w:val="none" w:color="auto" w:sz="0"/>
        <w:left w:space="0" w:val="none" w:color="auto" w:sz="0"/>
        <w:right w:space="0" w:val="none" w:color="auto" w:sz="0"/>
        <w:insideH w:space="0" w:val="none" w:color="auto" w:sz="0"/>
        <w:insideV w:space="0" w:val="none" w:color="auto" w:sz="0"/>
      </w:tblBorders>
      <w:tblLayout w:type="fixed"/>
    </w:tblPr>
    <w:tblGrid>
      <w:gridCol w:w="3009"/>
      <w:gridCol w:w="3009"/>
      <w:gridCol w:w="3009"/>
    </w:tblGrid>
    <w:tr>
      <w:tc>
        <w:tcPr>
          <w:tcW w:w="1667" w:type="pct"/>
        </w:tcPr>
        <w:p>
          <w:pPr>
            <w:pStyle w:val="Footer"/>
            <w:jc w:val="left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center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00">
    <w:nsid w:val="A0B1C2D3"/>
    <w:multiLevelType w:val="multilevel"/>
    <w:tmpl w:val="D3C2B1A0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hanging="0" w:left="0"/>
      </w:pPr>
    </w:lvl>
    <w:lvl w:ilvl="1">
      <w:start w:val="1"/>
      <w:numFmt w:val="decimal"/>
      <w:pStyle w:val="Heading2"/>
      <w:lvlRestart w:val="0"/>
      <w:suff w:val="space"/>
      <w:lvlText w:val="%1.%2"/>
      <w:lvlJc w:val="left"/>
      <w:pPr>
        <w:ind w:hanging="0" w:left="0"/>
      </w:pPr>
    </w:lvl>
    <w:lvl w:ilvl="2">
      <w:start w:val="1"/>
      <w:numFmt w:val="decimal"/>
      <w:pStyle w:val="Heading3"/>
      <w:lvlRestart w:val="1"/>
      <w:suff w:val="space"/>
      <w:lvlText w:val="%1.%2.%3"/>
      <w:lvlJc w:val="left"/>
      <w:pPr>
        <w:ind w:hanging="0" w:left="0"/>
      </w:pPr>
    </w:lvl>
    <w:lvl w:ilvl="3">
      <w:start w:val="1"/>
      <w:numFmt w:val="decimal"/>
      <w:pStyle w:val="Heading4"/>
      <w:lvlRestart w:val="2"/>
      <w:suff w:val="space"/>
      <w:lvlText w:val="%1.%2.%3.%4"/>
      <w:lvlJc w:val="left"/>
      <w:pPr>
        <w:ind w:hanging="0" w:left="0"/>
      </w:pPr>
    </w:lvl>
    <w:lvl w:ilvl="4">
      <w:start w:val="1"/>
      <w:numFmt w:val="decimal"/>
      <w:pStyle w:val="Heading5"/>
      <w:lvlRestart w:val="3"/>
      <w:suff w:val="space"/>
      <w:lvlText w:val="%1.%2.%3.%4.%5"/>
      <w:lvlJc w:val="left"/>
      <w:pPr>
        <w:ind w:hanging="0" w:left="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pageBreakBefore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styleId="SpecObjectHeader" w:customStyle="1" w:type="paragraph">
    <w:name w:val="Spec Object Header"/>
    <w:basedOn w:val="Normal"/>
    <w:next w:val="FirstParagraph"/>
    <w:qFormat/>
    <w:pPr>
      <w:keepNext/>
      <w:spacing w:after="120" w:lineRule="auto" w:before="280" w:line="276"/>
      <w:outlineLvl w:val="0"/>
    </w:pPr>
    <w:rPr>
      <w:rFonts w:hAnsi="Calibri Light" w:cs="Calibri Light" w:ascii="Calibri Light"/>
      <w:b/>
      <w:bCs/>
      <w:color w:val="0F4C64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51" Target="../../engineering_docs/architecture/model_design.md" TargetMode="External"/><Relationship Type="http://schemas.openxmlformats.org/officeDocument/2006/relationships/hyperlink" Id="rId50" Target="../../engineering_docs/architecture/type_discovery_design.md" TargetMode="External"/><Relationship Type="http://schemas.openxmlformats.org/officeDocument/2006/relationships/hyperlink" Id="rId49" Target="../../engineering_docs/architecture/type_system.md" TargetMode="External"/><Relationship Type="http://schemas.openxmlformats.org/officeDocument/2006/relationships/hyperlink" Id="rId52" Target="../../engineering_docs/dictionary/concepts.md" TargetMode="External"/><Relationship Type="http://schemas.openxmlformats.org/officeDocument/2006/relationships/hyperlink" Id="rId48" Target="../manual.md" TargetMode="External"/><Relationship Id="rId9100" Type="http://schemas.openxmlformats.org/officeDocument/2006/relationships/header" Target="header1.xml"/><Relationship Id="rId9101" Type="http://schemas.openxmlformats.org/officeDocument/2006/relationships/header" Target="header2.xml"/><Relationship Id="rId920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../engineering_docs/architecture/model_design.md" TargetMode="External" /><Relationship Type="http://schemas.openxmlformats.org/officeDocument/2006/relationships/hyperlink" Id="rId50" Target="../../engineering_docs/architecture/type_discovery_design.md" TargetMode="External" /><Relationship Type="http://schemas.openxmlformats.org/officeDocument/2006/relationships/hyperlink" Id="rId49" Target="../../engineering_docs/architecture/type_system.md" TargetMode="External" /><Relationship Type="http://schemas.openxmlformats.org/officeDocument/2006/relationships/hyperlink" Id="rId52" Target="../../engineering_docs/dictionary/concepts.md" TargetMode="External" /><Relationship Type="http://schemas.openxmlformats.org/officeDocument/2006/relationships/hyperlink" Id="rId48" Target="../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2026-10-22T00:18:51Z</dcterms:created>
  <dcterms:modified xsi:type="dcterms:W3CDTF">2026-10-22T00:18:51Z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