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PEC"/>
    <w:p>
      <w:pPr>
        <w:pStyle w:val="Title"/>
      </w:pPr>
      <w:r>
        <w:t xml:space="preserve">SpecIR: Specification Intermediate Representation</w:t>
      </w:r>
    </w:p>
    <w:bookmarkEnd w:id="9"/>
    <w:p>
      <w:pPr>
        <w:pStyle w:val="TOCHeading"/>
      </w:pPr>
      <w:r>
        <w:rPr>
          <w:color w:val="000000"/>
        </w:rPr>
        <w:t xml:space="preserve">INDEX</w:t>
      </w:r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13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10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/>
          <w:bCs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10"/>
    <w:bookmarkStart w:id="11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/>
          <w:bCs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/>
          <w:bCs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/>
          <w:bCs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/>
          <w:bCs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11"/>
    <w:bookmarkStart w:id="12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/>
          <w:bCs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12"/>
    <w:bookmarkEnd w:id="13"/>
    <w:bookmarkStart w:id="24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“What kinds of things can exist in this specification?”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14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lineRule="exact" w:line="20" w:after="0"/>
        <w:rPr>
          <w:sz w:val="2"/>
        </w:rPr>
      </w:pPr>
      <w:bookmarkStart w:name="csv-tbl-object-types" w:id="64546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Comma-wrapped aliases (e.g. ",hlr,req,")</w:t>
            </w:r>
          </w:p>
        </w:tc>
      </w:tr>
    </w:tbl>
    <w:bookmarkEnd w:id="14"/>
    <w:bookmarkStart w:id="15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lineRule="exact" w:line="20" w:after="0"/>
        <w:rPr>
          <w:sz w:val="2"/>
        </w:rPr>
      </w:pPr>
      <w:bookmarkStart w:name="csv-tbl-float-types" w:id="21619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1 = requires external tool</w:t>
            </w:r>
          </w:p>
        </w:tc>
      </w:tr>
    </w:tbl>
    <w:bookmarkEnd w:id="15"/>
    <w:bookmarkStart w:id="16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lineRule="exact" w:line="20" w:after="0"/>
        <w:rPr>
          <w:sz w:val="2"/>
        </w:rPr>
      </w:pPr>
      <w:bookmarkStart w:name="csv-tbl-relation-types" w:id="94847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Attribute name for inference</w:t>
            </w:r>
          </w:p>
        </w:tc>
      </w:tr>
    </w:tbl>
    <w:bookmarkEnd w:id="16"/>
    <w:bookmarkStart w:id="17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lineRule="exact" w:line="20" w:after="0"/>
        <w:rPr>
          <w:sz w:val="2"/>
        </w:rPr>
      </w:pPr>
      <w:bookmarkStart w:name="csv-tbl-view-types" w:id="16648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1 = requires external tool</w:t>
            </w:r>
          </w:p>
        </w:tc>
      </w:tr>
    </w:tbl>
    <w:bookmarkEnd w:id="17"/>
    <w:bookmarkStart w:id="18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lineRule="exact" w:line="20" w:after="0"/>
        <w:rPr>
          <w:sz w:val="2"/>
        </w:rPr>
      </w:pPr>
      <w:bookmarkStart w:name="csv-tbl-spec-types" w:id="23102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1 = default when no explicit type</w:t>
            </w:r>
          </w:p>
        </w:tc>
      </w:tr>
    </w:tbl>
    <w:bookmarkEnd w:id="18"/>
    <w:bookmarkStart w:id="19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lineRule="exact" w:line="20" w:after="0"/>
        <w:rPr>
          <w:sz w:val="2"/>
        </w:rPr>
      </w:pPr>
      <w:bookmarkStart w:name="csv-tbl-datatypes" w:id="92410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type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19"/>
    <w:bookmarkStart w:id="20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lineRule="exact" w:line="20" w:after="0"/>
        <w:rPr>
          <w:sz w:val="2"/>
        </w:rPr>
      </w:pPr>
      <w:bookmarkStart w:name="csv-tbl-attr-types" w:id="47668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20"/>
    <w:bookmarkStart w:id="21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lineRule="exact" w:line="20" w:after="0"/>
        <w:rPr>
          <w:sz w:val="2"/>
        </w:rPr>
      </w:pPr>
      <w:bookmarkStart w:name="csv-tbl-enum-values" w:id="93433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key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Display order</w:t>
            </w:r>
          </w:p>
        </w:tc>
      </w:tr>
    </w:tbl>
    <w:bookmarkEnd w:id="21"/>
    <w:bookmarkStart w:id="22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lineRule="exact" w:line="20" w:after="0"/>
        <w:rPr>
          <w:sz w:val="2"/>
        </w:rPr>
      </w:pPr>
      <w:bookmarkStart w:name="csv-tbl-type-aliases" w:id="44898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alias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Object type to assign</w:t>
            </w:r>
          </w:p>
        </w:tc>
      </w:tr>
    </w:tbl>
    <w:bookmarkEnd w:id="22"/>
    <w:bookmarkStart w:id="23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lineRule="exact" w:line="20" w:after="0"/>
        <w:rPr>
          <w:sz w:val="2"/>
        </w:rPr>
      </w:pPr>
      <w:bookmarkStart w:name="csv-tbl-spec-aliases" w:id="70595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alias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Specification type to assign</w:t>
            </w:r>
          </w:p>
        </w:tc>
      </w:tr>
    </w:tbl>
    <w:bookmarkEnd w:id="23"/>
    <w:bookmarkEnd w:id="24"/>
    <w:bookmarkStart w:id="31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“What does this specification contain?”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25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lineRule="exact" w:line="20" w:after="0"/>
        <w:rPr>
          <w:sz w:val="2"/>
        </w:rPr>
      </w:pPr>
      <w:bookmarkStart w:name="csv-tbl-specifications" w:id="46247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Body content between H1 and first H2</w:t>
            </w:r>
          </w:p>
        </w:tc>
      </w:tr>
    </w:tbl>
    <w:bookmarkEnd w:id="25"/>
    <w:bookmarkStart w:id="26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lineRule="exact" w:line="20" w:after="0"/>
        <w:rPr>
          <w:sz w:val="2"/>
        </w:rPr>
      </w:pPr>
      <w:bookmarkStart w:name="csv-tbl-objects" w:id="62591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label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level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ast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26"/>
    <w:bookmarkStart w:id="27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lineRule="exact" w:line="20" w:after="0"/>
        <w:rPr>
          <w:sz w:val="2"/>
        </w:rPr>
      </w:pPr>
      <w:bookmarkStart w:name="csv-tbl-floats" w:id="59214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label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number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caption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raw_ast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anchor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Original syntax from code block</w:t>
            </w:r>
          </w:p>
        </w:tc>
      </w:tr>
    </w:tbl>
    <w:bookmarkEnd w:id="27"/>
    <w:bookmarkStart w:id="28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lineRule="exact" w:line="20" w:after="0"/>
        <w:rPr>
          <w:sz w:val="2"/>
        </w:rPr>
      </w:pPr>
      <w:bookmarkStart w:name="csv-tbl-relations" w:id="66242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Selector syntax ("@" or "#")</w:t>
            </w:r>
          </w:p>
        </w:tc>
      </w:tr>
    </w:tbl>
    <w:bookmarkEnd w:id="28"/>
    <w:bookmarkStart w:id="29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lineRule="exact" w:line="20" w:after="0"/>
        <w:rPr>
          <w:sz w:val="2"/>
        </w:rPr>
      </w:pPr>
      <w:bookmarkStart w:name="csv-tbl-views" w:id="86393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raw_ast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Pre-computed view data</w:t>
            </w:r>
          </w:p>
        </w:tc>
      </w:tr>
    </w:tbl>
    <w:bookmarkEnd w:id="29"/>
    <w:bookmarkStart w:id="30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lineRule="exact" w:line="20" w:after="0"/>
        <w:rPr>
          <w:sz w:val="2"/>
        </w:rPr>
      </w:pPr>
      <w:bookmarkStart w:name="csv-tbl-attributes" w:id="58030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name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ast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firstLine="0" w:left="0" w:right="0"/>
              <w:spacing w:line="240" w:after="40" w:before="40" w:lineRule="auto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30"/>
    <w:bookmarkEnd w:id="31"/>
    <w:bookmarkStart w:id="34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/>
          <w:bCs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32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32"/>
    <w:bookmarkStart w:id="33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33"/>
    <w:bookmarkEnd w:id="34"/>
    <w:bookmarkStart w:id="37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35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35"/>
    <w:bookmarkStart w:id="36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36"/>
    <w:bookmarkEnd w:id="37"/>
    <w:bookmarkStart w:id="38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38"/>
    <w:sectPr>
      <w:footerReference r:id="rId9200" w:type="default"/>
      <w:headerReference r:id="rId9101" w:type="default"/>
      <w:headerReference r:id="rId9100" w:type="firs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space="1" w:sz="4" w:color="CCCCCC" w:val="single"/>
        <w:bottom w:space="0" w:sz="0" w:color="auto" w:val="none"/>
        <w:left w:space="0" w:sz="0" w:color="auto" w:val="none"/>
        <w:right w:space="0" w:sz="0" w:color="auto" w:val="none"/>
        <w:insideH w:space="0" w:sz="0" w:color="auto" w:val="none"/>
        <w:insideV w:space="0" w:sz="0" w:color="auto" w:val="none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customStyle="1" w:type="paragraph" w:styleId="SpecObjectHeader">
    <w:name w:val="Spec Object Header"/>
    <w:basedOn w:val="Normal"/>
    <w:next w:val="FirstParagraph"/>
    <w:qFormat/>
    <w:pPr>
      <w:keepNext/>
      <w:spacing w:line="276" w:after="120" w:before="280" w:lineRule="auto"/>
      <w:outlineLvl w:val="0"/>
    </w:pPr>
    <w:rPr>
      <w:rFonts w:cs="Calibri Light" w:hAnsi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2026-07-07T01:18:10Z</dcterms:created>
  <dcterms:modified xsi:type="dcterms:W3CDTF">2026-07-07T01:18:10Z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