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id="28179" w:name="SPEC-sec1"/>
      <w:r>
        <w:rPr>
          <w:color w:val="000000"/>
        </w:rPr>
        <w:t xml:space="preserve">INDEX</w:t>
      </w:r>
      <w:bookmarkEnd w:id="28179"/>
    </w:p>
    <w:p>
      <w:r>
        <w:fldChar w:fldCharType="begin"/>
      </w:r>
      <w:r>
        <w:instrText xml:space="preserve"> TOC \o "1-3" </w:instrText>
      </w:r>
      <w:r>
        <w:fldChar w:fldCharType="separate"/>
      </w:r>
    </w:p>
    <w:p>
      <w:r>
        <w:fldChar w:fldCharType="end"/>
      </w:r>
    </w:p>
    <w:p>
      <w:r>
        <w:br w:type="page"/>
      </w:r>
    </w:p>
    <w:bookmarkStart w:id="24" w:name="SPEC-sec2"/>
    <w:p>
      <w:pPr>
        <w:pStyle w:val="Heading1"/>
        <w:numPr>
          <w:ilvl w:val="0"/>
          <w:numId w:val="100"/>
        </w:numPr>
      </w:pPr>
      <w:r>
        <w:t xml:space="preserve">Introduction</w:t>
      </w:r>
    </w:p>
    <w:bookmarkStart w:id="21" w:name="SPEC-sec2.1"/>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SPEC-sec2.2"/>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SPEC-sec2.3"/>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SPEC-sec3"/>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SPEC-sec3.1"/>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sec3.2"/>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SPEC-sec3.2.1"/>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SPEC-sec3.2.2"/>
    <w:p>
      <w:pPr>
        <w:pStyle w:val="Heading3"/>
        <w:numPr>
          <w:ilvl w:val="2"/>
          <w:numId w:val="100"/>
        </w:numPr>
      </w:pPr>
      <w:r>
        <w:t xml:space="preserve">Grammar</w:t>
      </w:r>
    </w:p>
    <w:p>
      <w:pPr>
        <w:spacing w:after="0" w:before="0" w:lineRule="exact" w:line="20"/>
        <w:rPr>
          <w:sz w:val="2"/>
        </w:rPr>
      </w:pPr>
      <w:bookmarkStart w:id="36907" w:name="puml-grammar-spec"/>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SPEC-sec3.2.3"/>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sec3.3"/>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SPEC-sec3.3.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SPEC-sec3.3.2"/>
    <w:p>
      <w:pPr>
        <w:pStyle w:val="Heading3"/>
        <w:numPr>
          <w:ilvl w:val="2"/>
          <w:numId w:val="100"/>
        </w:numPr>
      </w:pPr>
      <w:r>
        <w:t xml:space="preserve">Grammar</w:t>
      </w:r>
    </w:p>
    <w:p>
      <w:pPr>
        <w:spacing w:after="0" w:before="0" w:lineRule="exact" w:line="20"/>
        <w:rPr>
          <w:sz w:val="2"/>
        </w:rPr>
      </w:pPr>
      <w:bookmarkStart w:id="45123" w:name="puml-grammar-spec-object"/>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SPEC-sec3.3.3"/>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SPEC-sec3.3.4"/>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SPEC-sec3.3.5"/>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PEC-sec3.3.6"/>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sec3.4"/>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SPEC-sec3.4.1"/>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SPEC-sec3.4.2"/>
    <w:p>
      <w:pPr>
        <w:pStyle w:val="Heading3"/>
        <w:numPr>
          <w:ilvl w:val="2"/>
          <w:numId w:val="100"/>
        </w:numPr>
      </w:pPr>
      <w:r>
        <w:t xml:space="preserve">Grammar</w:t>
      </w:r>
    </w:p>
    <w:p>
      <w:pPr>
        <w:spacing w:after="0" w:before="0" w:lineRule="exact" w:line="20"/>
        <w:rPr>
          <w:sz w:val="2"/>
        </w:rPr>
      </w:pPr>
      <w:bookmarkStart w:id="89146" w:name="puml-grammar-spec-float"/>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SPEC-sec3.4.3"/>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SPEC-sec3.4.4"/>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SPEC-sec3.5"/>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SPEC-sec3.5.1"/>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SPEC-sec3.5.2"/>
    <w:p>
      <w:pPr>
        <w:pStyle w:val="Heading3"/>
        <w:numPr>
          <w:ilvl w:val="2"/>
          <w:numId w:val="100"/>
        </w:numPr>
      </w:pPr>
      <w:r>
        <w:t xml:space="preserve">Grammar</w:t>
      </w:r>
    </w:p>
    <w:p>
      <w:pPr>
        <w:spacing w:after="0" w:before="0" w:lineRule="exact" w:line="20"/>
        <w:rPr>
          <w:sz w:val="2"/>
        </w:rPr>
      </w:pPr>
      <w:bookmarkStart w:id="27150" w:name="puml-grammar-attribute"/>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SPEC-sec3.5.3"/>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SPEC-sec3.5.4"/>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SPEC-sec3.5.5"/>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SPEC-sec3.5.6"/>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sec3.6"/>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SPEC-sec3.6.1"/>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SPEC-sec3.6.2"/>
    <w:p>
      <w:pPr>
        <w:pStyle w:val="Heading3"/>
        <w:numPr>
          <w:ilvl w:val="2"/>
          <w:numId w:val="100"/>
        </w:numPr>
      </w:pPr>
      <w:r>
        <w:t xml:space="preserve">Grammar</w:t>
      </w:r>
    </w:p>
    <w:p>
      <w:pPr>
        <w:spacing w:after="0" w:before="0" w:lineRule="exact" w:line="20"/>
        <w:rPr>
          <w:sz w:val="2"/>
        </w:rPr>
      </w:pPr>
      <w:bookmarkStart w:id="79264" w:name="puml-grammar-spec-relation"/>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SPEC-sec3.6.3"/>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SPEC-sec3.6.4"/>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color="auto" w:fill="E8E8E8" w:val="clear"/>
          </w:tcPr>
          <w:p>
            <w:pPr>
              <w:pStyle w:val="Compact"/>
              <w:jc w:val="left"/>
              <w:ind w:right="0" w:firstLine="0" w:left="0"/>
              <w:spacing w:line="240" w:after="40" w:lineRule="auto" w:before="40"/>
            </w:pPr>
            <w:r>
              <w:rPr>
                <w:b/>
              </w:rPr>
              <w:t xml:space="preserve">Type</w:t>
            </w:r>
          </w:p>
        </w:tc>
        <w:tc>
          <w:tcPr>
            <w:shd w:color="auto" w:fill="E8E8E8" w:val="clear"/>
          </w:tcPr>
          <w:p>
            <w:pPr>
              <w:pStyle w:val="Compact"/>
              <w:jc w:val="left"/>
              <w:ind w:right="0" w:firstLine="0" w:left="0"/>
              <w:spacing w:line="240" w:after="40" w:lineRule="auto" w:before="40"/>
            </w:pPr>
            <w:r>
              <w:rPr>
                <w:b/>
              </w:rPr>
              <w:t xml:space="preserve">selector</w:t>
            </w:r>
          </w:p>
        </w:tc>
        <w:tc>
          <w:tcPr>
            <w:shd w:color="auto" w:fill="E8E8E8" w:val="clear"/>
          </w:tcPr>
          <w:p>
            <w:pPr>
              <w:pStyle w:val="Compact"/>
              <w:jc w:val="left"/>
              <w:ind w:right="0" w:firstLine="0" w:left="0"/>
              <w:spacing w:line="240" w:after="40" w:lineRule="auto" w:before="40"/>
            </w:pPr>
            <w:r>
              <w:rPr>
                <w:b/>
              </w:rPr>
              <w:t xml:space="preserve">source_attr</w:t>
            </w:r>
          </w:p>
        </w:tc>
        <w:tc>
          <w:tcPr>
            <w:shd w:color="auto" w:fill="E8E8E8" w:val="clear"/>
          </w:tcPr>
          <w:p>
            <w:pPr>
              <w:pStyle w:val="Compact"/>
              <w:jc w:val="left"/>
              <w:ind w:right="0" w:firstLine="0" w:left="0"/>
              <w:spacing w:line="240" w:after="40" w:lineRule="auto" w:before="40"/>
            </w:pPr>
            <w:r>
              <w:rPr>
                <w:b/>
              </w:rPr>
              <w:t xml:space="preserve">source_type</w:t>
            </w:r>
          </w:p>
        </w:tc>
        <w:tc>
          <w:tcPr>
            <w:shd w:color="auto" w:fill="E8E8E8" w:val="clear"/>
          </w:tcPr>
          <w:p>
            <w:pPr>
              <w:pStyle w:val="Compact"/>
              <w:jc w:val="left"/>
              <w:ind w:right="0" w:firstLine="0" w:left="0"/>
              <w:spacing w:line="240" w:after="40" w:lineRule="auto" w:before="40"/>
            </w:pPr>
            <w:r>
              <w:rPr>
                <w:b/>
              </w:rPr>
              <w:t xml:space="preserve">target_type</w:t>
            </w:r>
          </w:p>
        </w:tc>
        <w:tc>
          <w:tcPr>
            <w:shd w:color="auto" w:fill="E8E8E8" w:val="clear"/>
          </w:tcPr>
          <w:p>
            <w:pPr>
              <w:pStyle w:val="Compact"/>
              <w:jc w:val="left"/>
              <w:ind w:right="0" w:firstLine="0" w:left="0"/>
              <w:spacing w:line="240" w:after="40" w:lineRule="auto" w:before="40"/>
            </w:pPr>
            <w:r>
              <w:rPr>
                <w:b/>
              </w:rPr>
              <w:t xml:space="preserve">Score</w:t>
            </w:r>
          </w:p>
        </w:tc>
      </w:tr>
      <w:tr>
        <w:tc>
          <w:tcPr/>
          <w:p>
            <w:pPr>
              <w:pStyle w:val="Compact"/>
              <w:jc w:val="left"/>
              <w:ind w:right="0" w:firstLine="0" w:left="0"/>
              <w:spacing w:line="240" w:after="40" w:lineRule="auto" w:before="40"/>
            </w:pPr>
            <w:r>
              <w:t xml:space="preserve">VERIFIES</w:t>
            </w:r>
          </w:p>
        </w:tc>
        <w:tc>
          <w:tcPr/>
          <w:p>
            <w:pPr>
              <w:pStyle w:val="Compact"/>
              <w:jc w:val="left"/>
              <w:ind w:right="0" w:firstLine="0" w:left="0"/>
              <w:spacing w:line="240" w:after="40" w:lineRule="auto" w:before="40"/>
            </w:pPr>
            <w:r>
              <w:rPr>
                <w:rStyle w:val="VerbatimChar"/>
              </w:rPr>
              <w:t xml:space="preserve">@</w:t>
            </w:r>
          </w:p>
        </w:tc>
        <w:tc>
          <w:tcPr/>
          <w:p>
            <w:pPr>
              <w:pStyle w:val="Compact"/>
              <w:jc w:val="left"/>
              <w:ind w:right="0" w:firstLine="0" w:left="0"/>
              <w:spacing w:line="240" w:after="40" w:lineRule="auto" w:before="40"/>
            </w:pPr>
            <w:r>
              <w:rPr>
                <w:rStyle w:val="VerbatimChar"/>
              </w:rPr>
              <w:t xml:space="preserve">traceability</w:t>
            </w:r>
          </w:p>
        </w:tc>
        <w:tc>
          <w:tcPr/>
          <w:p>
            <w:pPr>
              <w:pStyle w:val="Compact"/>
              <w:jc w:val="left"/>
              <w:ind w:right="0" w:firstLine="0" w:left="0"/>
              <w:spacing w:line="240" w:after="40" w:lineRule="auto" w:before="40"/>
            </w:pPr>
            <w:r>
              <w:rPr>
                <w:rStyle w:val="VerbatimChar"/>
              </w:rPr>
              <w:t xml:space="preserve">VC</w:t>
            </w:r>
          </w:p>
        </w:tc>
        <w:tc>
          <w:tcPr/>
          <w:p>
            <w:pPr>
              <w:pStyle w:val="Compact"/>
              <w:jc w:val="left"/>
              <w:ind w:right="0" w:firstLine="0" w:left="0"/>
              <w:spacing w:line="240" w:after="40" w:lineRule="auto" w:before="40"/>
            </w:pPr>
            <w:r>
              <w:rPr>
                <w:rStyle w:val="VerbatimChar"/>
              </w:rPr>
              <w:t xml:space="preserve">HLR</w:t>
            </w:r>
          </w:p>
        </w:tc>
        <w:tc>
          <w:tcPr/>
          <w:p>
            <w:pPr>
              <w:pStyle w:val="Compact"/>
              <w:jc w:val="left"/>
              <w:ind w:right="0" w:firstLine="0" w:left="0"/>
              <w:spacing w:line="240" w:after="40" w:lineRule="auto" w:before="40"/>
            </w:pPr>
            <w:r>
              <w:rPr>
                <w:bCs/>
                <w:b/>
              </w:rPr>
              <w:t xml:space="preserve">4</w:t>
            </w:r>
          </w:p>
        </w:tc>
      </w:tr>
      <w:tr>
        <w:tc>
          <w:tcPr/>
          <w:p>
            <w:pPr>
              <w:pStyle w:val="Compact"/>
              <w:jc w:val="left"/>
              <w:ind w:right="0" w:firstLine="0" w:left="0"/>
              <w:spacing w:line="240" w:after="40" w:lineRule="auto" w:before="40"/>
            </w:pPr>
            <w:r>
              <w:t xml:space="preserve">TRACES_TO</w:t>
            </w:r>
          </w:p>
        </w:tc>
        <w:tc>
          <w:tcPr/>
          <w:p>
            <w:pPr>
              <w:pStyle w:val="Compact"/>
              <w:jc w:val="left"/>
              <w:ind w:right="0" w:firstLine="0" w:left="0"/>
              <w:spacing w:line="240" w:after="40" w:lineRule="auto" w:before="40"/>
            </w:pPr>
            <w:r>
              <w:rPr>
                <w:rStyle w:val="VerbatimChar"/>
              </w:rPr>
              <w:t xml:space="preserve">@</w:t>
            </w:r>
          </w:p>
        </w:tc>
        <w:tc>
          <w:tcPr/>
          <w:p>
            <w:pPr>
              <w:pStyle w:val="Compact"/>
              <w:jc w:val="left"/>
              <w:ind w:right="0" w:firstLine="0" w:left="0"/>
              <w:spacing w:line="240" w:after="40" w:lineRule="auto" w:before="40"/>
            </w:pPr>
            <w:r>
              <w:t xml:space="preserve">—</w:t>
            </w:r>
          </w:p>
        </w:tc>
        <w:tc>
          <w:tcPr/>
          <w:p>
            <w:pPr>
              <w:pStyle w:val="Compact"/>
              <w:jc w:val="left"/>
              <w:ind w:right="0" w:firstLine="0" w:left="0"/>
              <w:spacing w:line="240" w:after="40" w:lineRule="auto" w:before="40"/>
            </w:pPr>
            <w:r>
              <w:t xml:space="preserve">—</w:t>
            </w:r>
          </w:p>
        </w:tc>
        <w:tc>
          <w:tcPr/>
          <w:p>
            <w:pPr>
              <w:pStyle w:val="Compact"/>
              <w:jc w:val="left"/>
              <w:ind w:right="0" w:firstLine="0" w:left="0"/>
              <w:spacing w:line="240" w:after="40" w:lineRule="auto" w:before="40"/>
            </w:pPr>
            <w:r>
              <w:t xml:space="preserve">—</w:t>
            </w:r>
          </w:p>
        </w:tc>
        <w:tc>
          <w:tcPr/>
          <w:p>
            <w:pPr>
              <w:pStyle w:val="Compact"/>
              <w:jc w:val="left"/>
              <w:ind w:right="0" w:firstLine="0" w:left="0"/>
              <w:spacing w:line="240" w:after="40" w:lineRule="auto" w:before="40"/>
            </w:pPr>
            <w:r>
              <w:t xml:space="preserve">1</w:t>
            </w:r>
          </w:p>
        </w:tc>
      </w:tr>
      <w:tr>
        <w:tc>
          <w:tcPr/>
          <w:p>
            <w:pPr>
              <w:pStyle w:val="Compact"/>
              <w:jc w:val="left"/>
              <w:ind w:right="0" w:firstLine="0" w:left="0"/>
              <w:spacing w:line="240" w:after="40" w:lineRule="auto" w:before="40"/>
            </w:pPr>
            <w:r>
              <w:t xml:space="preserve">XREF_SEC</w:t>
            </w:r>
          </w:p>
        </w:tc>
        <w:tc>
          <w:tcPr/>
          <w:p>
            <w:pPr>
              <w:pStyle w:val="Compact"/>
              <w:jc w:val="left"/>
              <w:ind w:right="0" w:firstLine="0" w:left="0"/>
              <w:spacing w:line="240" w:after="40" w:lineRule="auto" w:before="40"/>
            </w:pPr>
            <w:r>
              <w:rPr>
                <w:rStyle w:val="VerbatimChar"/>
              </w:rPr>
              <w:t xml:space="preserve">@</w:t>
            </w:r>
          </w:p>
        </w:tc>
        <w:tc>
          <w:tcPr/>
          <w:p>
            <w:pPr>
              <w:pStyle w:val="Compact"/>
              <w:jc w:val="left"/>
              <w:ind w:right="0" w:firstLine="0" w:left="0"/>
              <w:spacing w:line="240" w:after="40" w:lineRule="auto" w:before="40"/>
            </w:pPr>
            <w:r>
              <w:t xml:space="preserve">—</w:t>
            </w:r>
          </w:p>
        </w:tc>
        <w:tc>
          <w:tcPr/>
          <w:p>
            <w:pPr>
              <w:pStyle w:val="Compact"/>
              <w:jc w:val="left"/>
              <w:ind w:right="0" w:firstLine="0" w:left="0"/>
              <w:spacing w:line="240" w:after="40" w:lineRule="auto" w:before="40"/>
            </w:pPr>
            <w:r>
              <w:t xml:space="preserve">—</w:t>
            </w:r>
          </w:p>
        </w:tc>
        <w:tc>
          <w:tcPr/>
          <w:p>
            <w:pPr>
              <w:pStyle w:val="Compact"/>
              <w:jc w:val="left"/>
              <w:ind w:right="0" w:firstLine="0" w:left="0"/>
              <w:spacing w:line="240" w:after="40" w:lineRule="auto" w:before="40"/>
            </w:pPr>
            <w:r>
              <w:rPr>
                <w:rStyle w:val="VerbatimChar"/>
                <w:strike/>
              </w:rPr>
              <w:t xml:space="preserve">SECTION</w:t>
            </w:r>
          </w:p>
        </w:tc>
        <w:tc>
          <w:tcPr/>
          <w:p>
            <w:pPr>
              <w:pStyle w:val="Compact"/>
              <w:jc w:val="left"/>
              <w:ind w:right="0" w:firstLine="0" w:left="0"/>
              <w:spacing w:line="240" w:after="40" w:lineRule="auto" w:before="40"/>
            </w:pPr>
            <w:r>
              <w:t xml:space="preserve">eliminated</w:t>
            </w:r>
          </w:p>
        </w:tc>
      </w:tr>
    </w:tbl>
    <w:p>
      <w:pPr>
        <w:pStyle w:val="BodyText"/>
      </w:pPr>
      <w:r>
        <w:t xml:space="preserve">VERIFIES wins with the highest specificity (4 non-NULL constraints matched).</w:t>
      </w:r>
    </w:p>
    <w:bookmarkEnd w:id="67"/>
    <w:bookmarkStart w:id="68" w:name="SPEC-sec3.6.5"/>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sec3.7"/>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SPEC-sec3.7.1"/>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SPEC-sec3.7.2"/>
    <w:p>
      <w:pPr>
        <w:pStyle w:val="Heading3"/>
        <w:numPr>
          <w:ilvl w:val="2"/>
          <w:numId w:val="100"/>
        </w:numPr>
      </w:pPr>
      <w:r>
        <w:t xml:space="preserve">Grammar</w:t>
      </w:r>
    </w:p>
    <w:p>
      <w:pPr>
        <w:spacing w:after="0" w:before="0" w:lineRule="exact" w:line="20"/>
        <w:rPr>
          <w:sz w:val="2"/>
        </w:rPr>
      </w:pPr>
      <w:bookmarkStart w:id="24745" w:name="puml-grammar-spec-view"/>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SPEC-sec3.7.3"/>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SPEC-sec3.7.4"/>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SPEC-sec3.8"/>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 (own or inherited through the type’s</w:t>
      </w:r>
      <w:r>
        <w:t xml:space="preserve"> </w:t>
      </w:r>
      <w:r>
        <w:rPr>
          <w:rStyle w:val="VerbatimChar"/>
        </w:rPr>
        <w:t xml:space="preserve">extends</w:t>
      </w:r>
      <w:r>
        <w:t xml:space="preserve"> </w:t>
      </w:r>
      <w:r>
        <w:t xml:space="preserve">chain; matching is case-insensitive).</w:t>
      </w:r>
    </w:p>
    <w:p>
      <w:pPr>
        <w:numPr>
          <w:ilvl w:val="0"/>
          <w:numId w:val="1017"/>
        </w:numPr>
        <w:pStyle w:val="Compact"/>
      </w:pPr>
      <w:r>
        <w:t xml:space="preserve">It belongs to the most recently opened Specification or Spec Object header (it need not appear immediately after it). Each attribute is a separate Markdown blockquote, so distinct attributes must be separated by a blank line; every later line or paragraph within the same blockquote — including lines that themselves look like</w:t>
      </w:r>
      <w:r>
        <w:t xml:space="preserve"> </w:t>
      </w:r>
      <w:r>
        <w:rPr>
          <w:rStyle w:val="VerbatimChar"/>
        </w:rPr>
        <w:t xml:space="preserve">key: value</w:t>
      </w:r>
      <w:r>
        <w:t xml:space="preserve"> </w:t>
      </w:r>
      <w:r>
        <w:t xml:space="preserve">— continues the first attribute’s value.</w:t>
      </w:r>
    </w:p>
    <w:p>
      <w:pPr>
        <w:pStyle w:val="FirstParagraph"/>
      </w:pPr>
      <w:r>
        <w:t xml:space="preserve">If the first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 the compiler emits an</w:t>
      </w:r>
      <w:r>
        <w:t xml:space="preserve"> </w:t>
      </w:r>
      <w:r>
        <w:rPr>
          <w:rStyle w:val="VerbatimChar"/>
        </w:rPr>
        <w:t xml:space="preserve">unknown_attribute</w:t>
      </w:r>
      <w:r>
        <w:t xml:space="preserve"> </w:t>
      </w:r>
      <w:r>
        <w:t xml:space="preserve">warning so mistyped attribute names are visible.</w:t>
      </w:r>
    </w:p>
    <w:p>
      <w:pPr>
        <w:pStyle w:val="BodyText"/>
      </w:pPr>
      <w:r>
        <w:rPr>
          <w:iCs/>
          <w:i/>
        </w:rPr>
        <w:t xml:space="preserve">Specification-level exception.</w:t>
      </w:r>
      <w:r>
        <w:t xml:space="preserve"> </w:t>
      </w:r>
      <w:r>
        <w:t xml:space="preserve">Blockquotes belonging to the H1 header (document metadata such as</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are permissive: any</w:t>
      </w:r>
      <w:r>
        <w:t xml:space="preserve"> </w:t>
      </w:r>
      <w:r>
        <w:rPr>
          <w:rStyle w:val="VerbatimChar"/>
        </w:rPr>
        <w:t xml:space="preserve">key: value</w:t>
      </w:r>
      <w:r>
        <w:t xml:space="preserve"> </w:t>
      </w:r>
      <w:r>
        <w:t xml:space="preserve">blockquote is stored as specification metadata, with an</w:t>
      </w:r>
      <w:r>
        <w:t xml:space="preserve"> </w:t>
      </w:r>
      <w:r>
        <w:rPr>
          <w:rStyle w:val="VerbatimChar"/>
        </w:rPr>
        <w:t xml:space="preserve">unknown_spec_attribute</w:t>
      </w:r>
      <w:r>
        <w:t xml:space="preserve"> </w:t>
      </w:r>
      <w:r>
        <w:t xml:space="preserve">warning when the key is not declared for the specification’s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SPEC-sec4"/>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SPEC-sec4.1"/>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SPEC-sec4.2"/>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SPEC-sec4.3"/>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SPEC-sec4.4"/>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SPEC-sec4.5"/>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SPEC-sec5"/>
    <w:p>
      <w:pPr>
        <w:pStyle w:val="Heading1"/>
        <w:numPr>
          <w:ilvl w:val="0"/>
          <w:numId w:val="100"/>
        </w:numPr>
      </w:pPr>
      <w:r>
        <w:t xml:space="preserve">Datatypes</w:t>
      </w:r>
    </w:p>
    <w:bookmarkStart w:id="86" w:name="SPEC-sec5.1"/>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after="0" w:before="0" w:lineRule="exact" w:line="20"/>
        <w:rPr>
          <w:sz w:val="2"/>
        </w:rPr>
      </w:pPr>
      <w:bookmarkStart w:id="46083" w:name="csv-primitive-datatypes"/>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right="0" w:firstLine="0" w:left="0"/>
              <w:spacing w:line="240" w:after="40" w:lineRule="auto" w:before="40"/>
            </w:pPr>
            <w:r>
              <w:rPr>
                <w:b/>
              </w:rPr>
              <w:t xml:space="preserve">Datatype</w:t>
            </w:r>
          </w:p>
        </w:tc>
        <w:tc>
          <w:tcPr>
            <w:shd w:color="auto" w:fill="E8E8E8" w:val="clear"/>
          </w:tcPr>
          <w:p>
            <w:pPr>
              <w:pStyle w:val="Compact"/>
              <w:jc w:val="left"/>
              <w:ind w:right="0" w:firstLine="0" w:left="0"/>
              <w:spacing w:line="240" w:after="40" w:lineRule="auto" w:before="40"/>
            </w:pPr>
            <w:r>
              <w:rPr>
                <w:b/>
              </w:rPr>
              <w:t xml:space="preserve">Syntax</w:t>
            </w:r>
          </w:p>
        </w:tc>
        <w:tc>
          <w:tcPr>
            <w:shd w:color="auto" w:fill="E8E8E8" w:val="clear"/>
          </w:tcPr>
          <w:p>
            <w:pPr>
              <w:pStyle w:val="Compact"/>
              <w:jc w:val="left"/>
              <w:ind w:right="0" w:firstLine="0" w:left="0"/>
              <w:spacing w:line="240" w:after="40" w:lineRule="auto" w:before="40"/>
            </w:pPr>
            <w:r>
              <w:rPr>
                <w:b/>
              </w:rPr>
              <w:t xml:space="preserve">Description</w:t>
            </w:r>
          </w:p>
        </w:tc>
      </w:tr>
      <w:tr>
        <w:tc>
          <w:tcPr/>
          <w:p>
            <w:pPr>
              <w:pStyle w:val="Compact"/>
              <w:jc w:val="left"/>
              <w:ind w:right="0" w:firstLine="0" w:left="0"/>
              <w:spacing w:line="240" w:after="40" w:lineRule="auto" w:before="40"/>
            </w:pPr>
            <w:r>
              <w:t xml:space="preserve">STRING</w:t>
            </w:r>
          </w:p>
        </w:tc>
        <w:tc>
          <w:tcPr/>
          <w:p>
            <w:pPr>
              <w:pStyle w:val="Compact"/>
              <w:jc w:val="left"/>
              <w:ind w:right="0" w:firstLine="0" w:left="0"/>
              <w:spacing w:line="240" w:after="40" w:lineRule="auto" w:before="40"/>
            </w:pPr>
            <w:r>
              <w:t xml:space="preserve">Plain text</w:t>
            </w:r>
          </w:p>
        </w:tc>
        <w:tc>
          <w:tcPr/>
          <w:p>
            <w:pPr>
              <w:pStyle w:val="Compact"/>
              <w:jc w:val="left"/>
              <w:ind w:right="0" w:firstLine="0" w:left="0"/>
              <w:spacing w:line="240" w:after="40" w:lineRule="auto" w:before="40"/>
            </w:pPr>
            <w:r>
              <w:t xml:space="preserve">Unformatted text value</w:t>
            </w:r>
          </w:p>
        </w:tc>
      </w:tr>
      <w:tr>
        <w:tc>
          <w:tcPr/>
          <w:p>
            <w:pPr>
              <w:pStyle w:val="Compact"/>
              <w:jc w:val="left"/>
              <w:ind w:right="0" w:firstLine="0" w:left="0"/>
              <w:spacing w:line="240" w:after="40" w:lineRule="auto" w:before="40"/>
            </w:pPr>
            <w:r>
              <w:t xml:space="preserve">INTEGER</w:t>
            </w:r>
          </w:p>
        </w:tc>
        <w:tc>
          <w:tcPr/>
          <w:p>
            <w:pPr>
              <w:pStyle w:val="Compact"/>
              <w:jc w:val="left"/>
              <w:ind w:right="0" w:firstLine="0" w:left="0"/>
              <w:spacing w:line="240" w:after="40" w:lineRule="auto" w:before="40"/>
            </w:pPr>
            <w:r>
              <w:t xml:space="preserve">Whole number</w:t>
            </w:r>
          </w:p>
        </w:tc>
        <w:tc>
          <w:tcPr/>
          <w:p>
            <w:pPr>
              <w:pStyle w:val="Compact"/>
              <w:jc w:val="left"/>
              <w:ind w:right="0" w:firstLine="0" w:left="0"/>
              <w:spacing w:line="240" w:after="40" w:lineRule="auto" w:before="40"/>
            </w:pPr>
            <w:r>
              <w:t xml:space="preserve">Numeric value (supports min/max bounds)</w:t>
            </w:r>
          </w:p>
        </w:tc>
      </w:tr>
      <w:tr>
        <w:tc>
          <w:tcPr/>
          <w:p>
            <w:pPr>
              <w:pStyle w:val="Compact"/>
              <w:jc w:val="left"/>
              <w:ind w:right="0" w:firstLine="0" w:left="0"/>
              <w:spacing w:line="240" w:after="40" w:lineRule="auto" w:before="40"/>
            </w:pPr>
            <w:r>
              <w:t xml:space="preserve">REAL</w:t>
            </w:r>
          </w:p>
        </w:tc>
        <w:tc>
          <w:tcPr/>
          <w:p>
            <w:pPr>
              <w:pStyle w:val="Compact"/>
              <w:jc w:val="left"/>
              <w:ind w:right="0" w:firstLine="0" w:left="0"/>
              <w:spacing w:line="240" w:after="40" w:lineRule="auto" w:before="40"/>
            </w:pPr>
            <w:r>
              <w:t xml:space="preserve">Decimal number</w:t>
            </w:r>
          </w:p>
        </w:tc>
        <w:tc>
          <w:tcPr/>
          <w:p>
            <w:pPr>
              <w:pStyle w:val="Compact"/>
              <w:jc w:val="left"/>
              <w:ind w:right="0" w:firstLine="0" w:left="0"/>
              <w:spacing w:line="240" w:after="40" w:lineRule="auto" w:before="40"/>
            </w:pPr>
            <w:r>
              <w:t xml:space="preserve">Floating-point value (supports min/max bounds)</w:t>
            </w:r>
          </w:p>
        </w:tc>
      </w:tr>
      <w:tr>
        <w:tc>
          <w:tcPr/>
          <w:p>
            <w:pPr>
              <w:pStyle w:val="Compact"/>
              <w:jc w:val="left"/>
              <w:ind w:right="0" w:firstLine="0" w:left="0"/>
              <w:spacing w:line="240" w:after="40" w:lineRule="auto" w:before="40"/>
            </w:pPr>
            <w:r>
              <w:t xml:space="preserve">BOOLEAN</w:t>
            </w:r>
          </w:p>
        </w:tc>
        <w:tc>
          <w:tcPr/>
          <w:p>
            <w:pPr>
              <w:pStyle w:val="Compact"/>
              <w:jc w:val="left"/>
              <w:ind w:right="0" w:firstLine="0" w:left="0"/>
              <w:spacing w:line="240" w:after="40" w:lineRule="auto" w:before="40"/>
            </w:pPr>
            <w:r>
              <w:t xml:space="preserve">true / false</w:t>
            </w:r>
          </w:p>
        </w:tc>
        <w:tc>
          <w:tcPr/>
          <w:p>
            <w:pPr>
              <w:pStyle w:val="Compact"/>
              <w:jc w:val="left"/>
              <w:ind w:right="0" w:firstLine="0" w:left="0"/>
              <w:spacing w:line="240" w:after="40" w:lineRule="auto" w:before="40"/>
            </w:pPr>
            <w:r>
              <w:t xml:space="preserve">Boolean flag</w:t>
            </w:r>
          </w:p>
        </w:tc>
      </w:tr>
      <w:tr>
        <w:tc>
          <w:tcPr/>
          <w:p>
            <w:pPr>
              <w:pStyle w:val="Compact"/>
              <w:jc w:val="left"/>
              <w:ind w:right="0" w:firstLine="0" w:left="0"/>
              <w:spacing w:line="240" w:after="40" w:lineRule="auto" w:before="40"/>
            </w:pPr>
            <w:r>
              <w:t xml:space="preserve">DATE</w:t>
            </w:r>
          </w:p>
        </w:tc>
        <w:tc>
          <w:tcPr/>
          <w:p>
            <w:pPr>
              <w:pStyle w:val="Compact"/>
              <w:jc w:val="left"/>
              <w:ind w:right="0" w:firstLine="0" w:left="0"/>
              <w:spacing w:line="240" w:after="40" w:lineRule="auto" w:before="40"/>
            </w:pPr>
            <w:r>
              <w:t xml:space="preserve">YYYY-MM-DD</w:t>
            </w:r>
          </w:p>
        </w:tc>
        <w:tc>
          <w:tcPr/>
          <w:p>
            <w:pPr>
              <w:pStyle w:val="Compact"/>
              <w:jc w:val="left"/>
              <w:ind w:right="0" w:firstLine="0" w:left="0"/>
              <w:spacing w:line="240" w:after="40" w:lineRule="auto" w:before="40"/>
            </w:pPr>
            <w:r>
              <w:t xml:space="preserve">ISO 8601 date</w:t>
            </w:r>
          </w:p>
        </w:tc>
      </w:tr>
      <w:tr>
        <w:tc>
          <w:tcPr/>
          <w:p>
            <w:pPr>
              <w:pStyle w:val="Compact"/>
              <w:jc w:val="left"/>
              <w:ind w:right="0" w:firstLine="0" w:left="0"/>
              <w:spacing w:line="240" w:after="40" w:lineRule="auto" w:before="40"/>
            </w:pPr>
            <w:r>
              <w:t xml:space="preserve">ENUM</w:t>
            </w:r>
          </w:p>
        </w:tc>
        <w:tc>
          <w:tcPr/>
          <w:p>
            <w:pPr>
              <w:pStyle w:val="Compact"/>
              <w:jc w:val="left"/>
              <w:ind w:right="0" w:firstLine="0" w:left="0"/>
              <w:spacing w:line="240" w:after="40" w:lineRule="auto" w:before="40"/>
            </w:pPr>
            <w:r>
              <w:t xml:space="preserve">Named value</w:t>
            </w:r>
          </w:p>
        </w:tc>
        <w:tc>
          <w:tcPr/>
          <w:p>
            <w:pPr>
              <w:pStyle w:val="Compact"/>
              <w:jc w:val="left"/>
              <w:ind w:right="0" w:firstLine="0" w:left="0"/>
              <w:spacing w:line="240" w:after="40" w:lineRule="auto" w:before="40"/>
            </w:pPr>
            <w:r>
              <w:t xml:space="preserve">One of a model-declared set of values</w:t>
            </w:r>
          </w:p>
        </w:tc>
      </w:tr>
      <w:tr>
        <w:tc>
          <w:tcPr/>
          <w:p>
            <w:pPr>
              <w:pStyle w:val="Compact"/>
              <w:jc w:val="left"/>
              <w:ind w:right="0" w:firstLine="0" w:left="0"/>
              <w:spacing w:line="240" w:after="40" w:lineRule="auto" w:before="40"/>
            </w:pPr>
            <w:r>
              <w:t xml:space="preserve">XHTML</w:t>
            </w:r>
          </w:p>
        </w:tc>
        <w:tc>
          <w:tcPr/>
          <w:p>
            <w:pPr>
              <w:pStyle w:val="Compact"/>
              <w:jc w:val="left"/>
              <w:ind w:right="0" w:firstLine="0" w:left="0"/>
              <w:spacing w:line="240" w:after="40" w:lineRule="auto" w:before="40"/>
            </w:pPr>
            <w:r>
              <w:t xml:space="preserve">Markdown text</w:t>
            </w:r>
          </w:p>
        </w:tc>
        <w:tc>
          <w:tcPr/>
          <w:p>
            <w:pPr>
              <w:pStyle w:val="Compact"/>
              <w:jc w:val="left"/>
              <w:ind w:right="0" w:firstLine="0" w:left="0"/>
              <w:spacing w:line="240" w:after="40" w:lineRule="auto" w:before="40"/>
            </w:pPr>
            <w:r>
              <w:t xml:space="preserve">Rich text preserving block and inline formatting</w:t>
            </w:r>
          </w:p>
        </w:tc>
      </w:tr>
    </w:tbl>
    <w:bookmarkEnd w:id="86"/>
    <w:bookmarkStart w:id="87" w:name="SPEC-sec5.2"/>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SPEC-sec5.3"/>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PEC-sec6"/>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w="5000" w:type="pct"/>
      <w:tblBorders>
        <w:top w:color="CCCCCC" w:space="1" w:sz="4" w:val="single"/>
        <w:bottom w:color="auto" w:space="0" w:sz="0" w:val="none"/>
        <w:left w:color="auto" w:space="0" w:sz="0" w:val="none"/>
        <w:right w:color="auto" w:space="0" w:sz="0" w:val="none"/>
        <w:insideH w:color="auto" w:space="0" w:sz="0" w:val="none"/>
        <w:insideV w:color="auto" w:space="0" w:sz="0" w:val="none"/>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line="276" w:after="120"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Id="rId9100" Target="header1.xml" Type="http://schemas.openxmlformats.org/officeDocument/2006/relationships/header"/><Relationship Id="rId9101" Target="header2.xml" Type="http://schemas.openxmlformats.org/officeDocument/2006/relationships/header"/><Relationship Id="rId9200" Target="footer1.xml" Type="http://schemas.openxmlformats.org/officeDocument/2006/relationships/footer"/></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2026-10-05T23:12:59Z</dcterms:created>
  <dcterms:modified xsi:type="dcterms:W3CDTF">2026-10-05T23:12:59Z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