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Blockquotes</w:t>
      </w:r>
      <w:r>
        <w:t xml:space="preserve"> </w:t>
      </w:r>
      <w:r>
        <w:t xml:space="preserve">whose first paragraph matches</w:t>
      </w:r>
      <w:r>
        <w:t xml:space="preserve"> </w:t>
      </w:r>
      <w:r>
        <w:rPr>
          <w:rStyle w:val="VerbatimChar"/>
        </w:rPr>
        <w:t xml:space="preserve">key: value</w:t>
      </w:r>
      <w:r>
        <w:t xml:space="preserve"> </w:t>
      </w:r>
      <w:r>
        <w:t xml:space="preserve">AND whose key is a declared</w:t>
      </w:r>
      <w:r>
        <w:t xml:space="preserve"> </w:t>
      </w:r>
      <w:hyperlink w:anchor="SpecIR-04">
        <w:r>
          <w:rPr>
            <w:rStyle w:val="Hyperlink"/>
          </w:rPr>
          <w:t xml:space="preserve">&lt;Attribute&gt;</w:t>
        </w:r>
      </w:hyperlink>
      <w:r>
        <w:t xml:space="preserve"> </w:t>
      </w:r>
      <w:r>
        <w:t xml:space="preserve">of the enclosing object’s type (own or inherited, case-insensitive) register as attribute records attached to that object — one blockquote per attribute, with every later line or paragraph of the same blockquote continuing the value. A</w:t>
      </w:r>
      <w:r>
        <w:t xml:space="preserve"> </w:t>
      </w:r>
      <w:r>
        <w:rPr>
          <w:rStyle w:val="VerbatimChar"/>
        </w:rPr>
        <w:t xml:space="preserve">key:</w:t>
      </w:r>
      <w:r>
        <w:t xml:space="preserve">-shaped blockquote with an undeclared key stays plain prose and raises an</w:t>
      </w:r>
      <w:r>
        <w:t xml:space="preserve"> </w:t>
      </w:r>
      <w:r>
        <w:rPr>
          <w:rStyle w:val="VerbatimChar"/>
        </w:rPr>
        <w:t xml:space="preserve">unknown_attribute</w:t>
      </w:r>
      <w:r>
        <w:t xml:space="preserve"> </w:t>
      </w:r>
      <w:r>
        <w:t xml:space="preserve">warning. Blockquotes under the H1 (specification level) are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name="HLR-EXT-001" w:id="17127"/>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name="HLR-EXT-006" w:id="17132"/>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name="HLR-EXT-009" w:id="17135"/>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before="280" w:line="276" w:lineRule="auto" w:after="120"/>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2026-10-05T23:12:24Z</dcterms:created>
  <dcterms:modified xsi:type="dcterms:W3CDTF">2026-10-05T23:12:24Z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