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id="50443" w:name="SpecIR-01"/>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id="50444" w:name="SpecIR-02"/>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id="50445" w:name="SpecIR-03"/>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id="50446" w:name="SpecIR-04"/>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id="50447" w:name="SpecIR-05"/>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id="50448" w:name="SpecIR-06"/>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id="54264" w:name="SF-001"/>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id="89458" w:name="HLR-PIPE-001"/>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id="89459" w:name="HLR-PIPE-002"/>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id="89460" w:name="HLR-PIPE-003"/>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id="89461" w:name="HLR-PIPE-004"/>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id="89462" w:name="HLR-PIPE-005"/>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id="89463" w:name="HLR-PIPE-006"/>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id="89464" w:name="HLR-PIPE-007"/>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&lt;Attribute&gt;</w:t>
        </w:r>
      </w:hyperlink>
      <w:r>
        <w:t xml:space="preserve"> </w:t>
      </w:r>
      <w:r>
        <w:t xml:space="preserve">records attached to the enclosing spec object</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id="89465" w:name="HLR-PIPE-008"/>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id="89466" w:name="HLR-PIPE-009"/>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id="89488" w:name="HLR-PIPE-010"/>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id="89489" w:name="HLR-PIPE-011"/>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id="89490" w:name="HLR-PIPE-012"/>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id="54265" w:name="SF-002"/>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id="48904" w:name="HLR-STOR-001"/>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id="48905" w:name="HLR-STOR-002"/>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id="48906" w:name="HLR-STOR-003"/>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48907" w:name="HLR-STOR-004"/>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id="48909" w:name="HLR-STOR-006"/>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id="48908" w:name="HLR-STOR-005"/>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id="54266" w:name="SF-003"/>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id="4798" w:name="HLR-TYPE-001"/>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id="4799" w:name="HLR-TYPE-002"/>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id="4800" w:name="HLR-TYPE-003"/>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id="4801" w:name="HLR-TYPE-004"/>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id="4802" w:name="HLR-TYPE-005"/>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4803" w:name="HLR-TYPE-006"/>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id="4804" w:name="HLR-TYPE-007"/>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id="54268" w:name="SF-005"/>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id="17127" w:name="HLR-EXT-001"/>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id="17128" w:name="HLR-EXT-002"/>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id="17129" w:name="HLR-EXT-003"/>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id="17130" w:name="HLR-EXT-004"/>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id="17131" w:name="HLR-EXT-005"/>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id="17132" w:name="HLR-EXT-006"/>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id="17133" w:name="HLR-EXT-007"/>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id="17134" w:name="HLR-EXT-008"/>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id="17135" w:name="HLR-EXT-009"/>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id="17157" w:name="HLR-EXT-010"/>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id="17158" w:name="HLR-EXT-011"/>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id="17159" w:name="HLR-EXT-012"/>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id="79274" w:name="HLR-CFG-001"/>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id="54267" w:name="SF-004"/>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id="66484" w:name="HLR-OUT-001"/>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id="66485" w:name="HLR-OUT-002"/>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id="66486" w:name="HLR-OUT-003"/>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id="66487" w:name="HLR-OUT-004"/>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id="66488" w:name="HLR-OUT-005"/>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66489" w:name="HLR-OUT-006"/>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66490" w:name="HLR-OUT-007"/>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id="54269" w:name="SF-006"/>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id="81281" w:name="HLR-AUDIT-00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id="81282" w:name="HLR-AUDIT-00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id="81283" w:name="HLR-AUDIT-00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id="81284" w:name="HLR-AUDIT-00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id="81285" w:name="HLR-AUDIT-00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id="16264" w:name="TERM-COMMONSPEC"/>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id="19462" w:name="TERM-SPECIR"/>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id="88096" w:name="TERM-20"/>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id="88127" w:name="TERM-30"/>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id="88104" w:name="TERM-28"/>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id="88133" w:name="TERM-36"/>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id="88134" w:name="TERM-37"/>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id="88132" w:name="TERM-35"/>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id="49818" w:name="TERM-EAV"/>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id="88099" w:name="TERM-23"/>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id="88038" w:name="TERM-04"/>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id="88131" w:name="TERM-34"/>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id="88071" w:name="TERM-16"/>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id="88074" w:name="TERM-19"/>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id="88130" w:name="TERM-33"/>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id="88128" w:name="TERM-31"/>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id="88072" w:name="TERM-17"/>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id="88070" w:name="TERM-15"/>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id="88100" w:name="TERM-24"/>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id="88101" w:name="TERM-25"/>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id="88098" w:name="TERM-22"/>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id="88103" w:name="TERM-27"/>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id="88135" w:name="TERM-38"/>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id="88102" w:name="TERM-26"/>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id="88097" w:name="TERM-21"/>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id="46530" w:name="TERM-AST"/>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id="51365" w:name="TERM-FTS"/>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id="53038" w:name="TERM-HLR"/>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id="88843" w:name="TERM-IR"/>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id="60619" w:name="TERM-PID"/>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id="69762" w:name="TERM-VERIFICATIONVIEW"/>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id="57614" w:name="TERM-SQLITE"/>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id="78911" w:name="TERM-TRACEABLE"/>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id="14140" w:name="TERM-TYPE"/>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id="89231" w:name="TERM-VC"/>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id="1639" w:name="TERM-COMPOSITE"/>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id="38337" w:name="TERM-SELECTOR"/>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id="43676" w:name="TERM-SPECIFICITY"/>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id="60633" w:name="TERM-PIR"/>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id="55968" w:name="TERM-NDJSON"/>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id="10349" w:name="TERM-VALIDATIONPOLICY"/>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id="59209" w:name="TERM-DIAGNOSTIC"/>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id="90946" w:name="TERM-BUILDGRAPH"/>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id="36444" w:name="TERM-PLACEHOLDERBLOCK"/>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before="280" w:lineRule="auto" w:line="276"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2026-08-17T23:05:55Z</dcterms:created>
  <dcterms:modified xsi:type="dcterms:W3CDTF">2026-08-17T23:05:55Z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