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31.png" ContentType="image/png"/>
  <Override PartName="/word/media/rId146.png" ContentType="image/png"/>
  <Override PartName="/word/media/rId43.png" ContentType="image/png"/>
  <Override PartName="/word/media/rId100.png" ContentType="image/png"/>
  <Override PartName="/word/media/rId23.png" ContentType="image/png"/>
  <Override PartName="/word/media/rId31.png" ContentType="image/png"/>
  <Override PartName="/word/media/rId113.png" ContentType="image/png"/>
  <Override PartName="/word/media/rId8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7"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line="20" w:before="0" w:lineRule="exact" w:after="0"/>
        <w:rPr>
          <w:sz w:val="2"/>
        </w:rPr>
      </w:pPr>
      <w:bookmarkStart w:name="puml-comp-pipeline" w:id="73432"/>
      <w:bookmarkEnd w:id="73432"/>
    </w:p>
    <w:p>
      <w:pPr>
        <w:pStyle w:val="BodyText"/>
      </w:pPr>
      <w:r>
        <w:drawing>
          <wp:inline>
            <wp:extent cx="5334000" cy="2750695"/>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50695"/>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line="20" w:before="0" w:lineRule="exact" w:after="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81614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81614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line="20" w:before="0" w:lineRule="exact" w:after="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line="20" w:before="0" w:lineRule="exact" w:after="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line="20" w:before="0" w:lineRule="exact" w:after="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line="20" w:before="0" w:lineRule="exact" w:after="0"/>
        <w:rPr>
          <w:sz w:val="2"/>
        </w:rPr>
      </w:pPr>
      <w:bookmarkStart w:name="SpecIR-puml-er-SpecIR-core" w:id="32777"/>
      <w:bookmarkEnd w:id="32777"/>
    </w:p>
    <w:p>
      <w:pPr>
        <w:pStyle w:val="BodyText"/>
      </w:pPr>
      <w:r>
        <w:drawing>
          <wp:inline>
            <wp:extent cx="5334000" cy="5617761"/>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7761"/>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line="20" w:before="0" w:lineRule="exact" w:after="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814758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81475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a Pandoc BlockQuote whose first paragraph matches</w:t>
      </w:r>
      <w:r>
        <w:t xml:space="preserve"> </w:t>
      </w:r>
      <w:r>
        <w:rPr>
          <w:rStyle w:val="VerbatimChar"/>
        </w:rPr>
        <w:t xml:space="preserve">&gt; key: value</w:t>
      </w:r>
      <w:r>
        <w:t xml:space="preserve"> </w:t>
      </w:r>
      <w:r>
        <w:t xml:space="preserve">and</w:t>
      </w:r>
      <w:r>
        <w:t xml:space="preserve"> </w:t>
      </w:r>
      <w:r>
        <w:t xml:space="preserve">whose key is a declared attribute of the enclosing object’s type (own or</w:t>
      </w:r>
      <w:r>
        <w:t xml:space="preserve"> </w:t>
      </w:r>
      <w:r>
        <w:t xml:space="preserve">inherited, case-insensitive),</w:t>
      </w:r>
      <w:r>
        <w:t xml:space="preserve"> </w:t>
      </w:r>
      <w:hyperlink w:anchor="CSU-044">
        <w:r>
          <w:rPr>
            <w:rStyle w:val="Hyperlink"/>
          </w:rPr>
          <w:t xml:space="preserve">CSU Attribute Parser</w:t>
        </w:r>
      </w:hyperlink>
      <w:r>
        <w:t xml:space="preserve"> </w:t>
      </w:r>
      <w:r>
        <w:t xml:space="preserve">shall insert exactly ONE</w:t>
      </w:r>
      <w:r>
        <w:t xml:space="preserve"> </w:t>
      </w:r>
      <w:hyperlink r:id="rId74">
        <w:r>
          <w:rPr>
            <w:rStyle w:val="Hyperlink"/>
          </w:rPr>
          <w:t xml:space="preserve">&lt;Attribute&gt;</w:t>
        </w:r>
      </w:hyperlink>
      <w:r>
        <w:t xml:space="preserve"> </w:t>
      </w:r>
      <w:r>
        <w:t xml:space="preserve">record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 with every later line or paragraph</w:t>
      </w:r>
      <w:r>
        <w:t xml:space="preserve"> </w:t>
      </w:r>
      <w:r>
        <w:t xml:space="preserve">of the same BlockQuote continuing that attribute’s value. A BlockQuote with an</w:t>
      </w:r>
      <w:r>
        <w:t xml:space="preserve"> </w:t>
      </w:r>
      <w:r>
        <w:t xml:space="preserve">undeclared key shall remain plain prose and raise an</w:t>
      </w:r>
      <w:r>
        <w:t xml:space="preserve"> </w:t>
      </w:r>
      <w:r>
        <w:rPr>
          <w:rStyle w:val="VerbatimChar"/>
        </w:rPr>
        <w:t xml:space="preserve">unknown_attribute</w:t>
      </w:r>
      <w:r>
        <w:t xml:space="preserve"> </w:t>
      </w:r>
      <w:r>
        <w:t xml:space="preserve">warning; specification-level BlockQuotes (owner is the specification) are</w:t>
      </w:r>
      <w:r>
        <w:t xml:space="preserve"> </w:t>
      </w:r>
      <w:r>
        <w:t xml:space="preserve">stored permissively, with an</w:t>
      </w:r>
      <w:r>
        <w:t xml:space="preserve"> </w:t>
      </w:r>
      <w:r>
        <w:rPr>
          <w:rStyle w:val="VerbatimChar"/>
        </w:rPr>
        <w:t xml:space="preserve">unknown_spec_attribute</w:t>
      </w:r>
      <w:r>
        <w:t xml:space="preserve"> </w:t>
      </w:r>
      <w:r>
        <w:t xml:space="preserve">warning for keys not</w:t>
      </w:r>
      <w:r>
        <w:t xml:space="preserve"> </w:t>
      </w:r>
      <w:r>
        <w:t xml:space="preserve">declared on the specification’s type.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line="20" w:before="0" w:lineRule="exact" w:after="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line="20" w:before="0" w:lineRule="exact" w:after="0"/>
        <w:rPr>
          <w:sz w:val="2"/>
        </w:rPr>
      </w:pPr>
      <w:bookmarkStart w:name="FD-002-puml-seq-type-loading" w:id="60599"/>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6232"/>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623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CSC-001</w:t>
        </w:r>
      </w:hyperlink>
    </w:p>
    <w:p>
      <w:pPr>
        <w:pStyle w:val="Definition"/>
      </w:pPr>
      <w:r>
        <w:t xml:space="preserve">,</w:t>
      </w:r>
    </w:p>
    <w:p>
      <w:pPr>
        <w:pStyle w:val="Definition"/>
      </w:pPr>
      <w:r>
        <w:t xml:space="preserve"> </w:t>
      </w:r>
    </w:p>
    <w:p>
      <w:pPr>
        <w:pStyle w:val="Definition"/>
      </w:pPr>
      <w:hyperlink w:anchor="CSU-008">
        <w:r>
          <w:rPr>
            <w:rStyle w:val="Hyperlink"/>
          </w:rPr>
          <w:t xml:space="preserve">CSU-008</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HLR-EXT-002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2" w:id="62856"/>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2-01" w:id="92646"/>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HLR-EXT-004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1" w:id="52228"/>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2" w:id="52229"/>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3" w:id="52230"/>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4" w:id="12497"/>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HLR-EXT-001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5" w:id="12498"/>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HLR-EXT-007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6" w:id="12499"/>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HLR-EXT-008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6" w:id="42774"/>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line="20" w:before="0" w:lineRule="exact" w:after="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160729"/>
            <wp:effectExtent b="0" l="0" r="0" t="0"/>
            <wp:docPr descr="" title="" id="101" name="Picture"/>
            <a:graphic>
              <a:graphicData uri="http://schemas.openxmlformats.org/drawingml/2006/picture">
                <pic:pic>
                  <pic:nvPicPr>
                    <pic:cNvPr descr="diagrams/cff5b489e98bf4f22e4e82e6deebf3d8aab175eb.png" id="102" name="Picture"/>
                    <pic:cNvPicPr>
                      <a:picLocks noChangeArrowheads="1" noChangeAspect="1"/>
                    </pic:cNvPicPr>
                  </pic:nvPicPr>
                  <pic:blipFill>
                    <a:blip r:embed="rId100"/>
                    <a:stretch>
                      <a:fillRect/>
                    </a:stretch>
                  </pic:blipFill>
                  <pic:spPr bwMode="auto">
                    <a:xfrm>
                      <a:off x="0" y="0"/>
                      <a:ext cx="5334000" cy="5160729"/>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HLR-STOR-002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29" w:name="SDD-001-sec1.6"/>
    <w:p>
      <w:pPr>
        <w:pStyle w:val="Heading2"/>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line="20" w:before="0" w:lineRule="exact" w:after="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6039970"/>
            <wp:effectExtent b="0" l="0" r="0" t="0"/>
            <wp:docPr descr="" title="" id="114" name="Picture"/>
            <a:graphic>
              <a:graphicData uri="http://schemas.openxmlformats.org/drawingml/2006/picture">
                <pic:pic>
                  <pic:nvPicPr>
                    <pic:cNvPr descr="diagrams/e28d080ddc0180b8fc9bfd866dceadcca81c365e.png" id="115" name="Picture"/>
                    <pic:cNvPicPr>
                      <a:picLocks noChangeArrowheads="1" noChangeAspect="1"/>
                    </pic:cNvPicPr>
                  </pic:nvPicPr>
                  <pic:blipFill>
                    <a:blip r:embed="rId113"/>
                    <a:stretch>
                      <a:fillRect/>
                    </a:stretch>
                  </pic:blipFill>
                  <pic:spPr bwMode="auto">
                    <a:xfrm>
                      <a:off x="0" y="0"/>
                      <a:ext cx="5334000" cy="6039970"/>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HLR-OUT-005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bookmarkEnd w:id="129"/>
    <w:bookmarkStart w:id="145" w:name="SDD-001-sec1.7"/>
    <w:p>
      <w:pPr>
        <w:pStyle w:val="Heading2"/>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0">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CSC-017</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CSC-022</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CSC-023</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CSC-024</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CSC-018</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CSC-019</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CSC-021</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line="20" w:before="0" w:lineRule="exact" w:after="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719247"/>
            <wp:effectExtent b="0" l="0" r="0" t="0"/>
            <wp:docPr descr="" title="" id="132" name="Picture"/>
            <a:graphic>
              <a:graphicData uri="http://schemas.openxmlformats.org/drawingml/2006/picture">
                <pic:pic>
                  <pic:nvPicPr>
                    <pic:cNvPr descr="diagrams/3c17da8a9162d501aab06b7d153eee622567f6fd.png" id="133" name="Picture"/>
                    <pic:cNvPicPr>
                      <a:picLocks noChangeArrowheads="1" noChangeAspect="1"/>
                    </pic:cNvPicPr>
                  </pic:nvPicPr>
                  <pic:blipFill>
                    <a:blip r:embed="rId131"/>
                    <a:stretch>
                      <a:fillRect/>
                    </a:stretch>
                  </pic:blipFill>
                  <pic:spPr bwMode="auto">
                    <a:xfrm>
                      <a:off x="0" y="0"/>
                      <a:ext cx="5334000" cy="6719247"/>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4">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CSC-017</w:t>
        </w:r>
      </w:hyperlink>
    </w:p>
    <w:p>
      <w:pPr>
        <w:pStyle w:val="Definition"/>
      </w:pPr>
      <w:r>
        <w:t xml:space="preserve">,</w:t>
      </w:r>
    </w:p>
    <w:p>
      <w:pPr>
        <w:pStyle w:val="Definition"/>
      </w:pPr>
      <w:r>
        <w:t xml:space="preserve"> </w:t>
      </w:r>
    </w:p>
    <w:p>
      <w:pPr>
        <w:pStyle w:val="Definition"/>
      </w:pPr>
      <w:hyperlink w:anchor="CSC-018">
        <w:r>
          <w:rPr>
            <w:rStyle w:val="Hyperlink"/>
          </w:rPr>
          <w:t xml:space="preserve">CSC-018</w:t>
        </w:r>
      </w:hyperlink>
    </w:p>
    <w:p>
      <w:pPr>
        <w:pStyle w:val="Definition"/>
      </w:pPr>
      <w:r>
        <w:t xml:space="preserve">,</w:t>
      </w:r>
    </w:p>
    <w:p>
      <w:pPr>
        <w:pStyle w:val="Definition"/>
      </w:pPr>
      <w:r>
        <w:t xml:space="preserve"> </w:t>
      </w:r>
    </w:p>
    <w:p>
      <w:pPr>
        <w:pStyle w:val="Definition"/>
      </w:pPr>
      <w:hyperlink w:anchor="CSC-019">
        <w:r>
          <w:rPr>
            <w:rStyle w:val="Hyperlink"/>
          </w:rPr>
          <w:t xml:space="preserve">CSC-019</w:t>
        </w:r>
      </w:hyperlink>
    </w:p>
    <w:p>
      <w:pPr>
        <w:pStyle w:val="Definition"/>
      </w:pPr>
      <w:r>
        <w:t xml:space="preserve">,</w:t>
      </w:r>
    </w:p>
    <w:p>
      <w:pPr>
        <w:pStyle w:val="Definition"/>
      </w:pPr>
      <w:r>
        <w:t xml:space="preserve"> </w:t>
      </w:r>
    </w:p>
    <w:p>
      <w:pPr>
        <w:pStyle w:val="Definition"/>
      </w:pPr>
      <w:hyperlink w:anchor="CSC-021">
        <w:r>
          <w:rPr>
            <w:rStyle w:val="Hyperlink"/>
          </w:rPr>
          <w:t xml:space="preserve">CSC-021</w:t>
        </w:r>
      </w:hyperlink>
    </w:p>
    <w:p>
      <w:pPr>
        <w:pStyle w:val="Definition"/>
      </w:pPr>
      <w:r>
        <w:t xml:space="preserve">,</w:t>
      </w:r>
    </w:p>
    <w:p>
      <w:pPr>
        <w:pStyle w:val="Definition"/>
      </w:pPr>
      <w:r>
        <w:t xml:space="preserve"> </w:t>
      </w:r>
    </w:p>
    <w:p>
      <w:pPr>
        <w:pStyle w:val="Definition"/>
      </w:pPr>
      <w:hyperlink w:anchor="CSC-022">
        <w:r>
          <w:rPr>
            <w:rStyle w:val="Hyperlink"/>
          </w:rPr>
          <w:t xml:space="preserve">CSC-022</w:t>
        </w:r>
      </w:hyperlink>
    </w:p>
    <w:p>
      <w:pPr>
        <w:pStyle w:val="Definition"/>
      </w:pPr>
      <w:r>
        <w:t xml:space="preserve">,</w:t>
      </w:r>
    </w:p>
    <w:p>
      <w:pPr>
        <w:pStyle w:val="Definition"/>
      </w:pPr>
      <w:r>
        <w:t xml:space="preserve"> </w:t>
      </w:r>
    </w:p>
    <w:p>
      <w:pPr>
        <w:pStyle w:val="Definition"/>
      </w:pPr>
      <w:hyperlink w:anchor="CSC-023">
        <w:r>
          <w:rPr>
            <w:rStyle w:val="Hyperlink"/>
          </w:rPr>
          <w:t xml:space="preserve">CSC-023</w:t>
        </w:r>
      </w:hyperlink>
    </w:p>
    <w:p>
      <w:pPr>
        <w:pStyle w:val="Definition"/>
      </w:pPr>
      <w:r>
        <w:t xml:space="preserve">,</w:t>
      </w:r>
    </w:p>
    <w:p>
      <w:pPr>
        <w:pStyle w:val="Definition"/>
      </w:pPr>
      <w:r>
        <w:t xml:space="preserve"> </w:t>
      </w:r>
    </w:p>
    <w:p>
      <w:pPr>
        <w:pStyle w:val="Definition"/>
      </w:pPr>
      <w:hyperlink w:anchor="CSC-024">
        <w:r>
          <w:rPr>
            <w:rStyle w:val="Hyperlink"/>
          </w:rPr>
          <w:t xml:space="preserve">CSC-024</w:t>
        </w:r>
      </w:hyperlink>
    </w:p>
    <w:p>
      <w:pPr>
        <w:pStyle w:val="Definition"/>
      </w:pPr>
      <w:r>
        <w:t xml:space="preserve">,</w:t>
      </w:r>
    </w:p>
    <w:p>
      <w:pPr>
        <w:pStyle w:val="Definition"/>
      </w:pPr>
      <w:r>
        <w:t xml:space="preserve"> </w:t>
      </w:r>
    </w:p>
    <w:p>
      <w:pPr>
        <w:pStyle w:val="Definition"/>
      </w:pPr>
      <w:hyperlink w:anchor="CSU-081">
        <w:r>
          <w:rPr>
            <w:rStyle w:val="Hyperlink"/>
          </w:rPr>
          <w:t xml:space="preserve">CSU-081</w:t>
        </w:r>
      </w:hyperlink>
    </w:p>
    <w:p>
      <w:pPr>
        <w:pStyle w:val="Definition"/>
      </w:pPr>
      <w:r>
        <w:t xml:space="preserve">,</w:t>
      </w:r>
    </w:p>
    <w:p>
      <w:pPr>
        <w:pStyle w:val="Definition"/>
      </w:pPr>
      <w:r>
        <w:t xml:space="preserve"> </w:t>
      </w:r>
    </w:p>
    <w:p>
      <w:pPr>
        <w:pStyle w:val="Definition"/>
      </w:pPr>
      <w:hyperlink w:anchor="CSU-082">
        <w:r>
          <w:rPr>
            <w:rStyle w:val="Hyperlink"/>
          </w:rPr>
          <w:t xml:space="preserve">CSU-082</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41">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2">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44">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8"/>
        </w:numPr>
        <w:pStyle w:val="Compact"/>
      </w:pPr>
      <w:r>
        <w:t xml:space="preserve">Default model loads first, establishing baseline types (SECTION, SPEC, float types, relations, views)</w:t>
      </w:r>
    </w:p>
    <w:p>
      <w:pPr>
        <w:numPr>
          <w:ilvl w:val="0"/>
          <w:numId w:val="1018"/>
        </w:numPr>
        <w:pStyle w:val="Compact"/>
      </w:pPr>
      <w:r>
        <w:t xml:space="preserve">Domain model loads second; types with matching IDs replace defaults, new IDs add to the registry</w:t>
      </w:r>
    </w:p>
    <w:p>
      <w:pPr>
        <w:numPr>
          <w:ilvl w:val="0"/>
          <w:numId w:val="1018"/>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8"/>
        </w:numPr>
        <w:pStyle w:val="Compact"/>
      </w:pPr>
      <w:r>
        <w:t xml:space="preserve">Attribute inheritance propagated iteratively after all types are loaded, enabling parent attributes to flow to child types across model boundaries</w:t>
      </w:r>
    </w:p>
    <w:p>
      <w:pPr>
        <w:numPr>
          <w:ilvl w:val="0"/>
          <w:numId w:val="1018"/>
        </w:numPr>
        <w:pStyle w:val="Compact"/>
      </w:pPr>
      <w:r>
        <w:t xml:space="preserve">Filter, postprocessor, and style directories follow conventional naming for predictable discovery</w:t>
      </w:r>
    </w:p>
    <w:p>
      <w:pPr>
        <w:numPr>
          <w:ilvl w:val="0"/>
          <w:numId w:val="1018"/>
        </w:numPr>
        <w:pStyle w:val="Compact"/>
      </w:pPr>
      <w:r>
        <w:t xml:space="preserve">Alternative of mixin composition rejected: ordering ambiguity when multiple mixins define the same attribute</w:t>
      </w:r>
    </w:p>
    <w:bookmarkEnd w:id="145"/>
    <w:bookmarkStart w:id="156" w:name="SDD-001-sec1.8"/>
    <w:p>
      <w:pPr>
        <w:pStyle w:val="Heading2"/>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line="20" w:before="0" w:lineRule="exact" w:after="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line="20" w:before="0" w:lineRule="exact" w:after="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line="20" w:before="0" w:lineRule="exact" w:after="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line="20" w:before="0" w:lineRule="exact" w:after="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line="20" w:before="0" w:lineRule="exact" w:after="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4617585"/>
            <wp:effectExtent b="0" l="0" r="0" t="0"/>
            <wp:docPr descr="" title="" id="147" name="Picture"/>
            <a:graphic>
              <a:graphicData uri="http://schemas.openxmlformats.org/drawingml/2006/picture">
                <pic:pic>
                  <pic:nvPicPr>
                    <pic:cNvPr descr="diagrams/8a9a1a3a64d598fbe686356c5a14f42310b91963.png" id="148" name="Picture"/>
                    <pic:cNvPicPr>
                      <a:picLocks noChangeArrowheads="1" noChangeAspect="1"/>
                    </pic:cNvPicPr>
                  </pic:nvPicPr>
                  <pic:blipFill>
                    <a:blip r:embed="rId146"/>
                    <a:stretch>
                      <a:fillRect/>
                    </a:stretch>
                  </pic:blipFill>
                  <pic:spPr bwMode="auto">
                    <a:xfrm>
                      <a:off x="0" y="0"/>
                      <a:ext cx="5334000" cy="4617585"/>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49">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3">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bookmarkEnd w:id="156"/>
    <w:bookmarkStart w:id="160" w:name="SDD-001-sec1.9"/>
    <w:p>
      <w:pPr>
        <w:pStyle w:val="Heading2"/>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line="20" w:before="0" w:lineRule="exact" w:after="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559124"/>
            <wp:effectExtent b="0" l="0" r="0" t="0"/>
            <wp:docPr descr="" title="" id="158" name="Picture"/>
            <a:graphic>
              <a:graphicData uri="http://schemas.openxmlformats.org/drawingml/2006/picture">
                <pic:pic>
                  <pic:nvPicPr>
                    <pic:cNvPr descr="diagrams/255f1aa383a39b8db159b489e9b4c1743f42aa24.png" id="159" name="Picture"/>
                    <pic:cNvPicPr>
                      <a:picLocks noChangeArrowheads="1" noChangeAspect="1"/>
                    </pic:cNvPicPr>
                  </pic:nvPicPr>
                  <pic:blipFill>
                    <a:blip r:embed="rId157"/>
                    <a:stretch>
                      <a:fillRect/>
                    </a:stretch>
                  </pic:blipFill>
                  <pic:spPr bwMode="auto">
                    <a:xfrm>
                      <a:off x="0" y="0"/>
                      <a:ext cx="5334000" cy="5559124"/>
                    </a:xfrm>
                    <a:prstGeom prst="rect">
                      <a:avLst/>
                    </a:prstGeom>
                    <a:noFill/>
                    <a:ln w="9525">
                      <a:noFill/>
                      <a:headEnd/>
                      <a:tailEnd/>
                    </a:ln>
                  </pic:spPr>
                </pic:pic>
              </a:graphicData>
            </a:graphic>
          </wp:inline>
        </w:drawing>
      </w:r>
    </w:p>
    <w:bookmarkEnd w:id="160"/>
    <w:bookmarkStart w:id="196"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19"/>
        </w:numPr>
        <w:pStyle w:val="Compact"/>
      </w:pPr>
      <w:r>
        <w:rPr>
          <w:rStyle w:val="VerbatimChar"/>
        </w:rPr>
        <w:t xml:space="preserve">CSC</w:t>
      </w:r>
      <w:r>
        <w:t xml:space="preserve"> </w:t>
      </w:r>
      <w:r>
        <w:t xml:space="preserve">(</w:t>
      </w:r>
      <w:hyperlink r:id="rId161">
        <w:r>
          <w:rPr>
            <w:rStyle w:val="Hyperlink"/>
          </w:rPr>
          <w:t xml:space="preserve">&lt;CSC (Computer Software Component)&gt;</w:t>
        </w:r>
      </w:hyperlink>
      <w:r>
        <w:t xml:space="preserve">) identifies structural subsystems/layers.</w:t>
      </w:r>
    </w:p>
    <w:p>
      <w:pPr>
        <w:numPr>
          <w:ilvl w:val="0"/>
          <w:numId w:val="1019"/>
        </w:numPr>
        <w:pStyle w:val="Compact"/>
      </w:pPr>
      <w:r>
        <w:rPr>
          <w:rStyle w:val="VerbatimChar"/>
        </w:rPr>
        <w:t xml:space="preserve">CSU</w:t>
      </w:r>
      <w:r>
        <w:t xml:space="preserve"> </w:t>
      </w:r>
      <w:r>
        <w:t xml:space="preserve">(</w:t>
      </w:r>
      <w:hyperlink r:id="rId162">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9" w:name="SDD-001-sec1.10.1"/>
    <w:p>
      <w:pPr>
        <w:pStyle w:val="Heading3"/>
      </w:pPr>
      <w:r>
        <w:t xml:space="preserve">Core Software Components</w:t>
      </w:r>
    </w:p>
    <w:bookmarkStart w:id="163" w:name="SDD-001-sec1.10.1.1"/>
    <w:p>
      <w:pPr>
        <w:pStyle w:val="Heading4"/>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2" w:id="53707"/>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3" w:id="53708"/>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4" w:id="53709"/>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5" w:id="53710"/>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0">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6" w:id="53711"/>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7" w:id="53712"/>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8" w:id="53713"/>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9" w:id="53714"/>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bookmarkEnd w:id="163"/>
    <w:bookmarkStart w:id="167" w:name="SDD-001-sec1.10.1.2"/>
    <w:p>
      <w:pPr>
        <w:pStyle w:val="Heading4"/>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1" w:id="53737"/>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2" w:id="53738"/>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3" w:id="53739"/>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4" w:id="53740"/>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bookmarkStart w:id="164" w:name="SDD-001-sec1.10.1.2.1"/>
    <w:p>
      <w:pPr>
        <w:pStyle w:val="Heading5"/>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6" w:id="53742"/>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7" w:id="53743"/>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8" w:id="53744"/>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9" w:id="53745"/>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20" w:id="53767"/>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bookmarkEnd w:id="164"/>
    <w:bookmarkStart w:id="165" w:name="SDD-001-sec1.10.1.2.2"/>
    <w:p>
      <w:pPr>
        <w:pStyle w:val="Heading5"/>
      </w:pPr>
      <w:r>
        <w:t xml:space="preserve">DB Schema Package</w:t>
      </w:r>
    </w:p>
    <w:p>
      <w:pPr>
        <w:pStyle w:val="SpecObjectHeader"/>
        <w:keepNext/>
        <w:outlineLvl w:val="0"/>
      </w:pPr>
      <w:bookmarkStart w:name="CSC-006" w:id="30333"/>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2" w:id="53769"/>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3" w:id="53770"/>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4" w:id="53771"/>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5" w:id="53772"/>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bookmarkEnd w:id="165"/>
    <w:bookmarkStart w:id="166" w:name="SDD-001-sec1.10.1.2.3"/>
    <w:p>
      <w:pPr>
        <w:pStyle w:val="Heading5"/>
      </w:pPr>
      <w:r>
        <w:t xml:space="preserve">DB Views Package</w:t>
      </w:r>
    </w:p>
    <w:p>
      <w:pPr>
        <w:pStyle w:val="SpecObjectHeader"/>
        <w:keepNext/>
        <w:outlineLvl w:val="0"/>
      </w:pPr>
      <w:bookmarkStart w:name="CSC-007" w:id="30334"/>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7" w:id="53774"/>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8" w:id="53775"/>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9" w:id="53776"/>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bookmarkEnd w:id="166"/>
    <w:bookmarkEnd w:id="167"/>
    <w:bookmarkStart w:id="173" w:name="SDD-001-sec1.10.1.3"/>
    <w:p>
      <w:pPr>
        <w:pStyle w:val="Heading4"/>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p>
      <w:pPr>
        <w:pStyle w:val="SpecObjectHeader"/>
        <w:keepNext/>
        <w:outlineLvl w:val="0"/>
      </w:pPr>
      <w:bookmarkStart w:name="CSU-031" w:id="53799"/>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bookmarkStart w:id="168" w:name="SDD-001-sec1.10.1.3.1"/>
    <w:p>
      <w:pPr>
        <w:pStyle w:val="Heading5"/>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033" w:id="53801"/>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161" w:id="54853"/>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bookmarkEnd w:id="168"/>
    <w:bookmarkStart w:id="169" w:name="SDD-001-sec1.10.1.3.2"/>
    <w:p>
      <w:pPr>
        <w:pStyle w:val="Heading5"/>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5" w:id="53803"/>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6" w:id="53804"/>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7" w:id="53805"/>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8" w:id="53806"/>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9" w:id="53807"/>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0" w:id="53829"/>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1" w:id="53830"/>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2" w:id="53831"/>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3" w:id="53832"/>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bookmarkEnd w:id="169"/>
    <w:bookmarkStart w:id="170" w:name="SDD-001-sec1.10.1.3.3"/>
    <w:p>
      <w:pPr>
        <w:pStyle w:val="Heading5"/>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5" w:id="53834"/>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46" w:id="53835"/>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7" w:id="53836"/>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8" w:id="53837"/>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9" w:id="53838"/>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50" w:id="5386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bookmarkEnd w:id="170"/>
    <w:bookmarkStart w:id="171" w:name="SDD-001-sec1.10.1.3.4"/>
    <w:p>
      <w:pPr>
        <w:pStyle w:val="Heading5"/>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2" w:id="5386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3" w:id="5386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4" w:id="5386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5" w:id="5386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6" w:id="5386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7" w:id="5386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8" w:id="5386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9" w:id="5386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bookmarkEnd w:id="171"/>
    <w:bookmarkStart w:id="172" w:name="SDD-001-sec1.10.1.3.5"/>
    <w:p>
      <w:pPr>
        <w:pStyle w:val="Heading5"/>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1" w:id="53892"/>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162" w:id="54854"/>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2" w:id="53893"/>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3" w:id="53894"/>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bookmarkEnd w:id="172"/>
    <w:bookmarkEnd w:id="173"/>
    <w:bookmarkStart w:id="178" w:name="SDD-001-sec1.10.1.4"/>
    <w:p>
      <w:pPr>
        <w:pStyle w:val="Heading4"/>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6" w:id="53897"/>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7" w:id="53898"/>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8" w:id="53899"/>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9" w:id="53900"/>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bookmarkStart w:id="174" w:name="SDD-001-sec1.10.1.4.1"/>
    <w:p>
      <w:pPr>
        <w:pStyle w:val="Heading5"/>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1" w:id="53923"/>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2" w:id="53924"/>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bookmarkEnd w:id="174"/>
    <w:bookmarkStart w:id="175" w:name="SDD-001-sec1.10.1.4.2"/>
    <w:p>
      <w:pPr>
        <w:pStyle w:val="Heading5"/>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4" w:id="53926"/>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5" w:id="53927"/>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6" w:id="53928"/>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bookmarkEnd w:id="175"/>
    <w:bookmarkStart w:id="176" w:name="SDD-001-sec1.10.1.4.3"/>
    <w:p>
      <w:pPr>
        <w:pStyle w:val="Heading5"/>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p>
      <w:pPr>
        <w:pStyle w:val="SpecObjectHeader"/>
        <w:keepNext/>
        <w:outlineLvl w:val="0"/>
      </w:pPr>
      <w:bookmarkStart w:name="CSU-078" w:id="53930"/>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bookmarkEnd w:id="176"/>
    <w:bookmarkStart w:id="177" w:name="SDD-001-sec1.10.1.4.4"/>
    <w:p>
      <w:pPr>
        <w:pStyle w:val="Heading5"/>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p>
      <w:pPr>
        <w:pStyle w:val="SpecObjectHeader"/>
        <w:keepNext/>
        <w:outlineLvl w:val="0"/>
      </w:pPr>
      <w:bookmarkStart w:name="CSU-080" w:id="53953"/>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bookmarkEnd w:id="177"/>
    <w:bookmarkEnd w:id="178"/>
    <w:bookmarkEnd w:id="179"/>
    <w:bookmarkStart w:id="188" w:name="SDD-001-sec1.10.2"/>
    <w:p>
      <w:pPr>
        <w:pStyle w:val="Heading3"/>
      </w:pPr>
      <w:r>
        <w:t xml:space="preserve">Default Model Components</w:t>
      </w:r>
    </w:p>
    <w:bookmarkStart w:id="187" w:name="SDD-001-sec1.10.2.1"/>
    <w:p>
      <w:pPr>
        <w:pStyle w:val="Heading4"/>
      </w:pPr>
      <w:r>
        <w:t xml:space="preserve">Default Model</w:t>
      </w:r>
    </w:p>
    <w:p>
      <w:pPr>
        <w:pStyle w:val="SpecObjectHeader"/>
        <w:keepNext/>
        <w:outlineLvl w:val="0"/>
      </w:pPr>
      <w:bookmarkStart w:name="CSC-017" w:id="30365"/>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p>
      <w:pPr>
        <w:pStyle w:val="SpecObjectHeader"/>
        <w:keepNext/>
        <w:outlineLvl w:val="0"/>
      </w:pPr>
      <w:bookmarkStart w:name="CSU-082" w:id="53955"/>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bookmarkStart w:id="180" w:name="SDD-001-sec1.10.2.1.1"/>
    <w:p>
      <w:pPr>
        <w:pStyle w:val="Heading5"/>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4" w:id="53957"/>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5" w:id="53958"/>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bookmarkEnd w:id="180"/>
    <w:bookmarkStart w:id="181" w:name="SDD-001-sec1.10.2.1.2"/>
    <w:p>
      <w:pPr>
        <w:pStyle w:val="Heading5"/>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p>
      <w:pPr>
        <w:pStyle w:val="SpecObjectHeader"/>
        <w:keepNext/>
        <w:outlineLvl w:val="0"/>
      </w:pPr>
      <w:bookmarkStart w:name="CSU-087" w:id="53960"/>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bookmarkEnd w:id="181"/>
    <w:bookmarkStart w:id="182" w:name="SDD-001-sec1.10.2.1.3"/>
    <w:p>
      <w:pPr>
        <w:pStyle w:val="Heading5"/>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0" w:id="53984"/>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1" w:id="53985"/>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2" w:id="53986"/>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3" w:id="53987"/>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4" w:id="53988"/>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5" w:id="53989"/>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6" w:id="53990"/>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7" w:id="53991"/>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8" w:id="53992"/>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9" w:id="53993"/>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0" w:id="54666"/>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1" w:id="54667"/>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2" w:id="54668"/>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3" w:id="54669"/>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bookmarkEnd w:id="182"/>
    <w:bookmarkStart w:id="183" w:name="SDD-001-sec1.10.2.1.4"/>
    <w:p>
      <w:pPr>
        <w:pStyle w:val="Heading5"/>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p>
      <w:pPr>
        <w:pStyle w:val="SpecObjectHeader"/>
        <w:keepNext/>
        <w:outlineLvl w:val="0"/>
      </w:pPr>
      <w:bookmarkStart w:name="CSU-107" w:id="54673"/>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bookmarkEnd w:id="183"/>
    <w:bookmarkStart w:id="184" w:name="SDD-001-sec1.10.2.1.5"/>
    <w:p>
      <w:pPr>
        <w:pStyle w:val="Heading5"/>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09" w:id="54675"/>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0" w:id="54697"/>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1" w:id="54698"/>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2" w:id="54699"/>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3" w:id="54700"/>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bookmarkEnd w:id="184"/>
    <w:bookmarkStart w:id="185" w:name="SDD-001-sec1.10.2.1.6"/>
    <w:p>
      <w:pPr>
        <w:pStyle w:val="Heading5"/>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5" w:id="54702"/>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6" w:id="54703"/>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7" w:id="54704"/>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8" w:id="54705"/>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bookmarkEnd w:id="185"/>
    <w:bookmarkStart w:id="186" w:name="SDD-001-sec1.10.2.1.7"/>
    <w:p>
      <w:pPr>
        <w:pStyle w:val="Heading5"/>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0" w:id="54728"/>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1" w:id="54729"/>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2" w:id="54730"/>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3" w:id="54731"/>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4" w:id="54732"/>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bookmarkEnd w:id="186"/>
    <w:bookmarkEnd w:id="187"/>
    <w:bookmarkEnd w:id="188"/>
    <w:bookmarkStart w:id="195" w:name="SDD-001-sec1.10.3"/>
    <w:p>
      <w:pPr>
        <w:pStyle w:val="Heading3"/>
      </w:pPr>
      <w:r>
        <w:t xml:space="preserve">SW Docs Model Components</w:t>
      </w:r>
    </w:p>
    <w:bookmarkStart w:id="194" w:name="SDD-001-sec1.10.3.1"/>
    <w:p>
      <w:pPr>
        <w:pStyle w:val="Heading4"/>
      </w:pPr>
      <w:r>
        <w:t xml:space="preserve">SW Docs Model</w:t>
      </w:r>
    </w:p>
    <w:p>
      <w:pPr>
        <w:pStyle w:val="SpecObjectHeader"/>
        <w:keepNext/>
        <w:outlineLvl w:val="0"/>
      </w:pPr>
      <w:bookmarkStart w:name="CSC-025" w:id="30394"/>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CSC-025</w:t>
        </w:r>
      </w:hyperlink>
    </w:p>
    <w:bookmarkStart w:id="189" w:name="SDD-001-sec1.10.3.1.1"/>
    <w:p>
      <w:pPr>
        <w:pStyle w:val="Heading5"/>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7" w:id="54735"/>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8" w:id="54736"/>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1" w:id="54760"/>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2" w:id="54761"/>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3" w:id="54855"/>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4" w:id="54856"/>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bookmarkEnd w:id="189"/>
    <w:bookmarkStart w:id="190" w:name="SDD-001-sec1.10.3.1.2"/>
    <w:p>
      <w:pPr>
        <w:pStyle w:val="Heading5"/>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4" w:id="54763"/>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5" w:id="54764"/>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6" w:id="54765"/>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7" w:id="54766"/>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8" w:id="54767"/>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9" w:id="54768"/>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0" w:id="5479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1" w:id="5479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2" w:id="5479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3" w:id="5479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4" w:id="5479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5" w:id="5479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bookmarkEnd w:id="190"/>
    <w:bookmarkStart w:id="191" w:name="SDD-001-sec1.10.3.1.3"/>
    <w:p>
      <w:pPr>
        <w:pStyle w:val="Heading5"/>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7" w:id="5479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8" w:id="5479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9" w:id="5479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bookmarkEnd w:id="191"/>
    <w:bookmarkStart w:id="192" w:name="SDD-001-sec1.10.3.1.4"/>
    <w:p>
      <w:pPr>
        <w:pStyle w:val="Heading5"/>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1" w:id="54822"/>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2" w:id="54823"/>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3" w:id="54824"/>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4" w:id="54825"/>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bookmarkEnd w:id="192"/>
    <w:bookmarkStart w:id="193" w:name="SDD-001-sec1.10.3.1.5"/>
    <w:p>
      <w:pPr>
        <w:pStyle w:val="Heading5"/>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6" w:id="54827"/>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7" w:id="54828"/>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8" w:id="54829"/>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9" w:id="54830"/>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bookmarkEnd w:id="193"/>
    <w:bookmarkEnd w:id="194"/>
    <w:bookmarkEnd w:id="195"/>
    <w:bookmarkEnd w:id="196"/>
    <w:bookmarkEnd w:id="197"/>
    <w:bookmarkStart w:id="205"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lineRule="auto" w:after="120" w:before="28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43" Target="media/rId43.png" /><Relationship Type="http://schemas.openxmlformats.org/officeDocument/2006/relationships/image" Id="rId100" Target="media/rId10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56" Target="media/rId56.png" /><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2026-10-21T14:55:07Z</dcterms:created>
  <dcterms:modified xsi:type="dcterms:W3CDTF">2026-10-21T14:55:07Z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