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id="50443" w:name="SpecIR-01"/>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id="50444" w:name="SpecIR-02"/>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id="50445" w:name="SpecIR-03"/>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id="50446" w:name="SpecIR-04"/>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id="50447" w:name="SpecIR-05"/>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id="50448" w:name="SpecIR-06"/>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id="54264" w:name="SF-001"/>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id="89458" w:name="HLR-PIPE-001"/>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id="89459" w:name="HLR-PIPE-002"/>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id="89460" w:name="HLR-PIPE-003"/>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id="89461" w:name="HLR-PIPE-004"/>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id="89462" w:name="HLR-PIPE-005"/>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id="89463" w:name="HLR-PIPE-006"/>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id="89464" w:name="HLR-PIPE-007"/>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&lt;Attribute&gt;</w:t>
        </w:r>
      </w:hyperlink>
      <w:r>
        <w:t xml:space="preserve"> </w:t>
      </w:r>
      <w:r>
        <w:t xml:space="preserve">records attached to the enclosing spec object</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id="89465" w:name="HLR-PIPE-008"/>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id="89466" w:name="HLR-PIPE-009"/>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id="89488" w:name="HLR-PIPE-010"/>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id="89489" w:name="HLR-PIPE-011"/>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id="89490" w:name="HLR-PIPE-012"/>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id="54265" w:name="SF-002"/>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id="48904" w:name="HLR-STOR-001"/>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id="48905" w:name="HLR-STOR-002"/>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id="48906" w:name="HLR-STOR-003"/>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48907" w:name="HLR-STOR-004"/>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id="48909" w:name="HLR-STOR-006"/>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id="48908" w:name="HLR-STOR-005"/>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id="54266" w:name="SF-003"/>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id="4798" w:name="HLR-TYPE-001"/>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id="4799" w:name="HLR-TYPE-002"/>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id="4800" w:name="HLR-TYPE-003"/>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id="4801" w:name="HLR-TYPE-004"/>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id="4802" w:name="HLR-TYPE-005"/>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4803" w:name="HLR-TYPE-006"/>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id="4804" w:name="HLR-TYPE-007"/>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id="54268" w:name="SF-005"/>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id="17127" w:name="HLR-EXT-001"/>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id="17128" w:name="HLR-EXT-002"/>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id="17129" w:name="HLR-EXT-003"/>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id="17130" w:name="HLR-EXT-004"/>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id="17131" w:name="HLR-EXT-005"/>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id="17132" w:name="HLR-EXT-006"/>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id="17133" w:name="HLR-EXT-007"/>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id="17134" w:name="HLR-EXT-008"/>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id="17135" w:name="HLR-EXT-009"/>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id="17157" w:name="HLR-EXT-010"/>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id="17158" w:name="HLR-EXT-011"/>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id="17159" w:name="HLR-EXT-012"/>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id="79274" w:name="HLR-CFG-001"/>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id="54267" w:name="SF-004"/>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id="66484" w:name="HLR-OUT-001"/>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id="66485" w:name="HLR-OUT-002"/>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id="66486" w:name="HLR-OUT-003"/>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id="66487" w:name="HLR-OUT-004"/>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id="66488" w:name="HLR-OUT-005"/>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66489" w:name="HLR-OUT-006"/>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66490" w:name="HLR-OUT-007"/>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id="54269" w:name="SF-006"/>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id="81281" w:name="HLR-AUDIT-00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id="81282" w:name="HLR-AUDIT-00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id="81283" w:name="HLR-AUDIT-00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id="81284" w:name="HLR-AUDIT-00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id="81285" w:name="HLR-AUDIT-00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id="16264" w:name="TERM-COMMONSPEC"/>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id="19462" w:name="TERM-SPECIR"/>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id="88096" w:name="TERM-20"/>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id="88127" w:name="TERM-30"/>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id="88104" w:name="TERM-28"/>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id="88133" w:name="TERM-36"/>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id="88134" w:name="TERM-37"/>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id="88132" w:name="TERM-35"/>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id="49818" w:name="TERM-EAV"/>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id="88099" w:name="TERM-23"/>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id="88038" w:name="TERM-04"/>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id="88131" w:name="TERM-34"/>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id="88071" w:name="TERM-16"/>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id="88074" w:name="TERM-19"/>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id="88130" w:name="TERM-33"/>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id="88128" w:name="TERM-31"/>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id="88072" w:name="TERM-17"/>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id="88070" w:name="TERM-15"/>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id="88100" w:name="TERM-24"/>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id="88101" w:name="TERM-25"/>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id="88098" w:name="TERM-22"/>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id="88103" w:name="TERM-27"/>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id="88135" w:name="TERM-38"/>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id="88102" w:name="TERM-26"/>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id="88097" w:name="TERM-21"/>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id="46530" w:name="TERM-AST"/>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id="51365" w:name="TERM-FTS"/>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id="53038" w:name="TERM-HLR"/>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id="88843" w:name="TERM-IR"/>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id="60619" w:name="TERM-PID"/>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id="69762" w:name="TERM-VERIFICATIONVIEW"/>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id="57614" w:name="TERM-SQLITE"/>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id="78911" w:name="TERM-TRACEABLE"/>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id="14140" w:name="TERM-TYPE"/>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id="89231" w:name="TERM-VC"/>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id="1639" w:name="TERM-COMPOSITE"/>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id="38337" w:name="TERM-SELECTOR"/>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id="43676" w:name="TERM-SPECIFICITY"/>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id="60633" w:name="TERM-PIR"/>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id="55968" w:name="TERM-NDJSON"/>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id="10349" w:name="TERM-VALIDATIONPOLICY"/>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id="59209" w:name="TERM-DIAGNOSTIC"/>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id="90946" w:name="TERM-BUILDGRAPH"/>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id="36444" w:name="TERM-PLACEHOLDERBLOCK"/>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276" w:after="120"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2026-08-18T00:27:33Z</dcterms:created>
  <dcterms:modified xsi:type="dcterms:W3CDTF">2026-08-18T00:27:33Z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