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5"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name="HLR-PIPE-004" w:id="89461"/>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&lt;Attribute&gt;</w:t>
        </w:r>
      </w:hyperlink>
      <w:r>
        <w:t xml:space="preserve"> </w:t>
      </w:r>
      <w:r>
        <w:t xml:space="preserve">records attached to the enclosing spec object</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 mistyped prerequisite silently never applied under the old behavior, so a missing cross-phase ordering constraint could corrupt output with no signal. Surfacing only the truly-unresolvable case avoids false positives on legitimate cross-phase prerequisites. (Verified by the pipeline suite’s prereq-not-found test.)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2" w:id="89490"/>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When the INITIALIZE phase delimits each header’s section, the scope (the</w:t>
      </w:r>
      <w:r>
        <w:t xml:space="preserve"> </w:t>
      </w:r>
      <w:r>
        <w:rPr>
          <w:rStyle w:val="VerbatimChar"/>
        </w:rPr>
        <w:t xml:space="preserve">end_line</w:t>
      </w:r>
      <w:r>
        <w:t xml:space="preserve"> </w:t>
      </w:r>
      <w:r>
        <w:t xml:space="preserve">that governs which trailing content and floats the object contains) ends at the first</w:t>
      </w:r>
      <w:r>
        <w:t xml:space="preserve"> </w:t>
      </w:r>
      <w:r>
        <w:rPr>
          <w:rStyle w:val="VerbatimChar"/>
        </w:rPr>
        <w:t xml:space="preserve">----</w:t>
      </w:r>
      <w:r>
        <w:t xml:space="preserve"> </w:t>
      </w:r>
      <w:r>
        <w:t xml:space="preserve">thematic break inside the section, if present, rather than only at the next header. The thematic break is consumed — it is removed from the rendered body and produces no horizontal rule. Content between the marker and the next header keeps its document position but is contained by the parent section. This gives authors an explicit way to close a section without introducing a heading, replacing the anti-pattern of an empty</w:t>
      </w:r>
      <w:r>
        <w:t xml:space="preserve"> </w:t>
      </w:r>
      <w:r>
        <w:rPr>
          <w:rStyle w:val="VerbatimChar"/>
        </w:rPr>
        <w:t xml:space="preserve">##</w:t>
      </w:r>
      <w:r>
        <w:t xml:space="preserve"> </w:t>
      </w:r>
      <w:r>
        <w:t xml:space="preserve">used as a</w:t>
      </w:r>
      <w:r>
        <w:t xml:space="preserve"> </w:t>
      </w:r>
      <w:r>
        <w:t xml:space="preserve">“</w:t>
      </w:r>
      <w:r>
        <w:t xml:space="preserve">section reset</w:t>
      </w:r>
      <w:r>
        <w:t xml:space="preserve">”</w:t>
      </w:r>
      <w:r>
        <w:t xml:space="preserve">.</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Section scope previously closed only at the next header, so authors who wanted trailing content to belong to a parent section resorted to an empty heading, which renders as a blank numbered chapter and shifts all subsequent numbering. A consumed thematic break expresses the intent precisely with no rendering artifact, and rejecting empty headings removes the failure mode entirely.</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8" w:name="SRS-001-sec2.4"/>
    <w:p>
      <w:pPr>
        <w:pStyle w:val="Heading2"/>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Model-based extensibility for type</w:t>
      </w:r>
      <w:r>
        <w:t xml:space="preserve"> </w:t>
      </w:r>
      <w:hyperlink w:anchor="TERM-16">
        <w:r>
          <w:rPr>
            <w:rStyle w:val="Hyperlink"/>
          </w:rPr>
          <w:t xml:space="preserve">&lt;Handler&gt;</w:t>
        </w:r>
      </w:hyperlink>
      <w:r>
        <w:t xml:space="preserve">, renderers, and</w:t>
      </w:r>
      <w:r>
        <w:t xml:space="preserve"> </w:t>
      </w:r>
      <w:hyperlink w:anchor="TERM-35">
        <w:r>
          <w:rPr>
            <w:rStyle w:val="Hyperlink"/>
          </w:rPr>
          <w:t xml:space="preserve">&lt;Data View&gt;</w:t>
        </w:r>
      </w:hyperlink>
      <w:r>
        <w:t xml:space="preserve">.</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extension</w:t>
      </w:r>
    </w:p>
    <w:p>
      <w:pPr>
        <w:pStyle w:val="Definition"/>
      </w:pPr>
      <w:r>
        <w:t xml:space="preserve"> </w:t>
      </w:r>
    </w:p>
    <w:p>
      <w:pPr>
        <w:pStyle w:val="Definition"/>
      </w:pPr>
      <w:r>
        <w:t xml:space="preserve">mechanism</w:t>
      </w:r>
    </w:p>
    <w:p>
      <w:pPr>
        <w:pStyle w:val="Definition"/>
      </w:pPr>
      <w:r>
        <w:t xml:space="preserve"> </w:t>
      </w:r>
    </w:p>
    <w:p>
      <w:pPr>
        <w:pStyle w:val="Definition"/>
      </w:pPr>
      <w:r>
        <w:t xml:space="preserve">that</w:t>
      </w:r>
    </w:p>
    <w:p>
      <w:pPr>
        <w:pStyle w:val="Definition"/>
      </w:pPr>
      <w:r>
        <w:t xml:space="preserve"> </w:t>
      </w:r>
    </w:p>
    <w:p>
      <w:pPr>
        <w:pStyle w:val="Definition"/>
      </w:pPr>
      <w:r>
        <w:t xml:space="preserve">enables</w:t>
      </w:r>
    </w:p>
    <w:p>
      <w:pPr>
        <w:pStyle w:val="Definition"/>
      </w:pPr>
      <w:r>
        <w:t xml:space="preserve"> </w:t>
      </w:r>
    </w:p>
    <w:p>
      <w:pPr>
        <w:pStyle w:val="Definition"/>
      </w:pPr>
      <w:r>
        <w:t xml:space="preserve">custom</w:t>
      </w:r>
    </w:p>
    <w:p>
      <w:pPr>
        <w:pStyle w:val="Definition"/>
      </w:pPr>
      <w:r>
        <w:t xml:space="preserve"> </w:t>
      </w:r>
    </w:p>
    <w:p>
      <w:pPr>
        <w:pStyle w:val="Definition"/>
      </w:pPr>
      <w:r>
        <w:t xml:space="preserve">models</w:t>
      </w:r>
    </w:p>
    <w:p>
      <w:pPr>
        <w:pStyle w:val="Definition"/>
      </w:pPr>
      <w:r>
        <w:t xml:space="preserve"> </w:t>
      </w:r>
    </w:p>
    <w:p>
      <w:pPr>
        <w:pStyle w:val="Definition"/>
      </w:pPr>
      <w:r>
        <w:t xml:space="preserve">to</w:t>
      </w:r>
    </w:p>
    <w:p>
      <w:pPr>
        <w:pStyle w:val="Definition"/>
      </w:pPr>
      <w:r>
        <w:t xml:space="preserve"> </w:t>
      </w:r>
    </w:p>
    <w:p>
      <w:pPr>
        <w:pStyle w:val="Definition"/>
      </w:pPr>
      <w:r>
        <w:t xml:space="preserve">provide</w:t>
      </w:r>
    </w:p>
    <w:p>
      <w:pPr>
        <w:pStyle w:val="Definition"/>
      </w:pPr>
      <w:r>
        <w:t xml:space="preserve"> </w:t>
      </w:r>
    </w:p>
    <w:p>
      <w:pPr>
        <w:pStyle w:val="Definition"/>
      </w:pPr>
      <w:r>
        <w:t xml:space="preserve">type</w:t>
      </w:r>
    </w:p>
    <w:p>
      <w:pPr>
        <w:pStyle w:val="Definition"/>
      </w:pPr>
      <w:r>
        <w:t xml:space="preserve"> </w:t>
      </w:r>
    </w:p>
    <w:p>
      <w:pPr>
        <w:pStyle w:val="Definition"/>
      </w:pPr>
      <w:r>
        <w:t xml:space="preserve">handlers,</w:t>
      </w:r>
    </w:p>
    <w:p>
      <w:pPr>
        <w:pStyle w:val="Definition"/>
      </w:pPr>
      <w:r>
        <w:t xml:space="preserve"> </w:t>
      </w:r>
    </w:p>
    <w:p>
      <w:pPr>
        <w:pStyle w:val="Definition"/>
      </w:pPr>
      <w:hyperlink w:anchor="TERM-34">
        <w:r>
          <w:rPr>
            <w:rStyle w:val="Hyperlink"/>
          </w:rPr>
          <w:t xml:space="preserve">&lt;External Renderer&gt;</w:t>
        </w:r>
      </w:hyperlink>
    </w:p>
    <w:p>
      <w:pPr>
        <w:pStyle w:val="Definition"/>
      </w:pPr>
      <w:r>
        <w:t xml:space="preserve">,</w:t>
      </w:r>
    </w:p>
    <w:p>
      <w:pPr>
        <w:pStyle w:val="Definition"/>
      </w:pPr>
      <w:r>
        <w:t xml:space="preserve"> </w:t>
      </w:r>
    </w:p>
    <w:p>
      <w:pPr>
        <w:pStyle w:val="Definition"/>
      </w:pPr>
      <w:r>
        <w:t xml:space="preserve">data</w:t>
      </w:r>
    </w:p>
    <w:p>
      <w:pPr>
        <w:pStyle w:val="Definition"/>
      </w:pPr>
      <w:r>
        <w:t xml:space="preserve"> </w:t>
      </w:r>
    </w:p>
    <w:p>
      <w:pPr>
        <w:pStyle w:val="Definition"/>
      </w:pPr>
      <w:r>
        <w:t xml:space="preserve">view</w:t>
      </w:r>
    </w:p>
    <w:p>
      <w:pPr>
        <w:pStyle w:val="Definition"/>
      </w:pPr>
      <w:r>
        <w:t xml:space="preserve"> </w:t>
      </w:r>
    </w:p>
    <w:p>
      <w:pPr>
        <w:pStyle w:val="Definition"/>
      </w:pPr>
      <w:r>
        <w:t xml:space="preserve">generators,</w:t>
      </w:r>
    </w:p>
    <w:p>
      <w:pPr>
        <w:pStyle w:val="Definition"/>
      </w:pPr>
      <w:r>
        <w:t xml:space="preserve"> </w:t>
      </w:r>
    </w:p>
    <w:p>
      <w:pPr>
        <w:pStyle w:val="Definition"/>
      </w:pPr>
      <w:r>
        <w:t xml:space="preserve">and</w:t>
      </w:r>
    </w:p>
    <w:p>
      <w:pPr>
        <w:pStyle w:val="Definition"/>
      </w:pPr>
      <w:r>
        <w:t xml:space="preserve"> </w:t>
      </w:r>
    </w:p>
    <w:p>
      <w:pPr>
        <w:pStyle w:val="Definition"/>
      </w:pPr>
      <w:r>
        <w:t xml:space="preserve">style</w:t>
      </w:r>
    </w:p>
    <w:p>
      <w:pPr>
        <w:pStyle w:val="Definition"/>
      </w:pPr>
      <w:r>
        <w:t xml:space="preserve"> </w:t>
      </w:r>
    </w:p>
    <w:p>
      <w:pPr>
        <w:pStyle w:val="Definition"/>
      </w:pPr>
      <w:r>
        <w:t xml:space="preserve">presets.</w:t>
      </w:r>
    </w:p>
    <w:p>
      <w:pPr>
        <w:pStyle w:val="DefinitionTerm"/>
      </w:pPr>
      <w:r>
        <w:rPr>
          <w:bCs/>
          <w:b/>
        </w:rPr>
        <w:t xml:space="preserve">RATIONALE:</w:t>
      </w:r>
    </w:p>
    <w:p>
      <w:pPr>
        <w:pStyle w:val="Definition"/>
      </w:pPr>
      <w:r>
        <w:t xml:space="preserve">Extensibility through model directories enables domain-specific customization</w:t>
      </w:r>
      <w:r>
        <w:t xml:space="preserve"> </w:t>
      </w:r>
      <w:r>
        <w:t xml:space="preserve">without modifying the core pipeline.</w:t>
      </w:r>
    </w:p>
    <w:bookmarkStart w:id="27" w:name="SRS-001-sec2.4.1"/>
    <w:p>
      <w:pPr>
        <w:pStyle w:val="Heading3"/>
      </w:pPr>
      <w:r>
        <w:t xml:space="preserve">Host Engine + Descriptor Plugins (Refactor Deltas)</w:t>
      </w:r>
    </w:p>
    <w:p>
      <w:pPr>
        <w:pStyle w:val="FirstParagraph"/>
      </w:pPr>
      <w:r>
        <w:t xml:space="preserve">The extension framework was unified onto</w:t>
      </w:r>
      <w:r>
        <w:t xml:space="preserve"> </w:t>
      </w:r>
      <w:r>
        <w:rPr>
          <w:bCs/>
          <w:b/>
        </w:rPr>
        <w:t xml:space="preserve">one declarative contract</w:t>
      </w:r>
      <w:r>
        <w:t xml:space="preserve">: a model-agnostic</w:t>
      </w:r>
      <w:r>
        <w:t xml:space="preserve"> </w:t>
      </w:r>
      <w:r>
        <w:rPr>
          <w:bCs/>
          <w:b/>
        </w:rPr>
        <w:t xml:space="preserve">Host Engine</w:t>
      </w:r>
      <w:r>
        <w:t xml:space="preserve"> </w:t>
      </w:r>
      <w:r>
        <w:t xml:space="preserve">(</w:t>
      </w:r>
      <w:r>
        <w:rPr>
          <w:rStyle w:val="VerbatimChar"/>
        </w:rPr>
        <w:t xml:space="preserve">src/contract/registry.lua</w:t>
      </w:r>
      <w:r>
        <w:t xml:space="preserve">) that loads</w:t>
      </w:r>
      <w:r>
        <w:t xml:space="preserve"> </w:t>
      </w:r>
      <w:r>
        <w:rPr>
          <w:bCs/>
          <w:b/>
        </w:rPr>
        <w:t xml:space="preserve">Descriptor Plugins</w:t>
      </w:r>
      <w:r>
        <w:t xml:space="preserve">. The four</w:t>
      </w:r>
      <w:r>
        <w:t xml:space="preserve"> </w:t>
      </w:r>
      <w:r>
        <w:t xml:space="preserve">former registration mechanisms (type loader if/elseif dispatch, the external-renderer</w:t>
      </w:r>
      <w:r>
        <w:t xml:space="preserve"> </w:t>
      </w:r>
      <w:r>
        <w:t xml:space="preserve">require-time registry, the verification-view loader, the data-view loader) and the four</w:t>
      </w:r>
      <w:r>
        <w:t xml:space="preserve"> </w:t>
      </w:r>
      <w:r>
        <w:rPr>
          <w:rStyle w:val="VerbatimChar"/>
        </w:rPr>
        <w:t xml:space="preserve">{model}:{type_ref}</w:t>
      </w:r>
      <w:r>
        <w:t xml:space="preserve"> </w:t>
      </w:r>
      <w:r>
        <w:t xml:space="preserve">handler caches are collapsed into one host with a single eager</w:t>
      </w:r>
      <w:r>
        <w:t xml:space="preserve"> </w:t>
      </w:r>
      <w:r>
        <w:rPr>
          <w:rStyle w:val="VerbatimChar"/>
        </w:rPr>
        <w:t xml:space="preserve">(kind, id) -&gt; hook</w:t>
      </w:r>
      <w:r>
        <w:t xml:space="preserve"> </w:t>
      </w:r>
      <w:r>
        <w:t xml:space="preserve">index.</w:t>
      </w:r>
    </w:p>
    <w:p>
      <w:pPr>
        <w:pStyle w:val="BodyText"/>
      </w:pPr>
      <w:r>
        <w:rPr>
          <w:bCs/>
          <w:b/>
        </w:rPr>
        <w:t xml:space="preserve">The descriptor is the contract.</w:t>
      </w:r>
      <w:r>
        <w:t xml:space="preserve"> </w:t>
      </w:r>
      <w:r>
        <w:t xml:space="preserve">Every extension point is one module that declares:</w:t>
      </w:r>
    </w:p>
    <w:p>
      <w:pPr>
        <w:pStyle w:val="SourceCode"/>
      </w:pP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"object|float|view|relation|specification|verification|dataview"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kind-specific: inline_prefix/aliases (view);</w:t>
      </w:r>
      <w:r>
        <w:br/>
      </w:r>
      <w:r>
        <w:rPr>
          <w:rStyle w:val="NormalTok"/>
        </w:rPr>
        <w:t xml:space="preserve">             </w:t>
      </w:r>
      <w:r>
        <w:rPr>
          <w:rStyle w:val="CommentTok"/>
        </w:rPr>
        <w:t xml:space="preserve">--   caption_format/needs_external_render (float); link_selector/source_type_ref/</w:t>
      </w:r>
      <w:r>
        <w:br/>
      </w:r>
      <w:r>
        <w:rPr>
          <w:rStyle w:val="NormalTok"/>
        </w:rPr>
        <w:t xml:space="preserve">             </w:t>
      </w:r>
      <w:r>
        <w:rPr>
          <w:rStyle w:val="CommentTok"/>
        </w:rPr>
        <w:t xml:space="preserve">--   target_type_ref (relation); view/policy_key/sql/disabled (verification) },</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VariableTok"/>
        </w:rPr>
        <w:t xml:space="preserve">render_link</w:t>
      </w:r>
      <w:r>
        <w:rPr>
          <w:rStyle w:val="OperatorTok"/>
        </w:rPr>
        <w:t xml:space="preserve">=,</w:t>
      </w:r>
      <w:r>
        <w:rPr>
          <w:rStyle w:val="NormalTok"/>
        </w:rPr>
        <w:t xml:space="preserve"> </w:t>
      </w:r>
      <w:r>
        <w:rPr>
          <w:rStyle w:val="VariableTok"/>
        </w:rPr>
        <w:t xml:space="preserve">resolve</w:t>
      </w:r>
      <w:r>
        <w:rPr>
          <w:rStyle w:val="OperatorTok"/>
        </w:rPr>
        <w:t xml:space="preserve">=,</w:t>
      </w:r>
      <w:r>
        <w:rPr>
          <w:rStyle w:val="NormalTok"/>
        </w:rPr>
        <w:t xml:space="preserve"> </w:t>
      </w:r>
      <w:r>
        <w:rPr>
          <w:rStyle w:val="VariableTok"/>
        </w:rPr>
        <w:t xml:space="preserve">generate</w:t>
      </w:r>
      <w:r>
        <w:rPr>
          <w:rStyle w:val="OperatorTok"/>
        </w:rPr>
        <w:t xml:space="preserve">=,</w:t>
      </w:r>
      <w:r>
        <w:rPr>
          <w:rStyle w:val="NormalTok"/>
        </w:rPr>
        <w:t xml:space="preserve"> </w:t>
      </w:r>
      <w:r>
        <w:rPr>
          <w:rStyle w:val="VariableTok"/>
        </w:rPr>
        <w:t xml:space="preserve">prepare_task</w:t>
      </w:r>
      <w:r>
        <w:rPr>
          <w:rStyle w:val="OperatorTok"/>
        </w:rPr>
        <w:t xml:space="preserve">=,</w:t>
      </w:r>
      <w:r>
        <w:br/>
      </w:r>
      <w:r>
        <w:rPr>
          <w:rStyle w:val="NormalTok"/>
        </w:rPr>
        <w:t xml:space="preserve">             </w:t>
      </w:r>
      <w:r>
        <w:rPr>
          <w:rStyle w:val="VariableTok"/>
        </w:rPr>
        <w:t xml:space="preserve">handle_result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VariableTok"/>
        </w:rPr>
        <w:t xml:space="preserve">on_</w:t>
      </w:r>
      <w:r>
        <w:rPr>
          <w:rStyle w:val="OperatorTok"/>
        </w:rPr>
        <w:t xml:space="preserve">&lt;</w:t>
      </w:r>
      <w:r>
        <w:rPr>
          <w:rStyle w:val="VariableTok"/>
        </w:rPr>
        <w:t xml:space="preserve">phase</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absent hook =&gt; host default</w:t>
      </w:r>
      <w:r>
        <w:br/>
      </w:r>
      <w:r>
        <w:rPr>
          <w:rStyle w:val="OperatorTok"/>
        </w:rPr>
        <w:t xml:space="preserve">}</w:t>
      </w:r>
    </w:p>
    <w:p>
      <w:pPr>
        <w:pStyle w:val="FirstParagraph"/>
      </w:pPr>
      <w:r>
        <w:t xml:space="preserve">The host introspects only the declared</w:t>
      </w:r>
      <w:r>
        <w:t xml:space="preserve"> </w:t>
      </w:r>
      <w:r>
        <w:rPr>
          <w:rStyle w:val="VerbatimChar"/>
        </w:rPr>
        <w:t xml:space="preserve">hooks</w:t>
      </w:r>
      <w:r>
        <w:t xml:space="preserve">;</w:t>
      </w:r>
      <w:r>
        <w:t xml:space="preserve"> </w:t>
      </w:r>
      <w:r>
        <w:rPr>
          <w:bCs/>
          <w:b/>
        </w:rPr>
        <w:t xml:space="preserve">role is inferred from which hooks are</w:t>
      </w:r>
      <w:r>
        <w:rPr>
          <w:bCs/>
          <w:b/>
        </w:rPr>
        <w:t xml:space="preserve"> </w:t>
      </w:r>
      <w:r>
        <w:rPr>
          <w:bCs/>
          <w:b/>
        </w:rPr>
        <w:t xml:space="preserve">present</w:t>
      </w:r>
      <w:r>
        <w:t xml:space="preserve"> </w:t>
      </w:r>
      <w:r>
        <w:t xml:space="preserve">(a relation with</w:t>
      </w:r>
      <w:r>
        <w:t xml:space="preserve"> </w:t>
      </w:r>
      <w:r>
        <w:rPr>
          <w:rStyle w:val="VerbatimChar"/>
        </w:rPr>
        <w:t xml:space="preserve">resolve</w:t>
      </w:r>
      <w:r>
        <w:t xml:space="preserve"> </w:t>
      </w:r>
      <w:r>
        <w:t xml:space="preserve">is a resolver; a float with</w:t>
      </w:r>
      <w:r>
        <w:t xml:space="preserve"> </w:t>
      </w:r>
      <w:r>
        <w:rPr>
          <w:rStyle w:val="VerbatimChar"/>
        </w:rPr>
        <w:t xml:space="preserve">prepare_task</w:t>
      </w:r>
      <w:r>
        <w:t xml:space="preserve">/</w:t>
      </w:r>
      <w:r>
        <w:rPr>
          <w:rStyle w:val="VerbatimChar"/>
        </w:rPr>
        <w:t xml:space="preserve">handle_result</w:t>
      </w:r>
      <w:r>
        <w:t xml:space="preserve"> </w:t>
      </w:r>
      <w:r>
        <w:t xml:space="preserve">renders externally and may NOT also declare</w:t>
      </w:r>
      <w:r>
        <w:t xml:space="preserve"> </w:t>
      </w:r>
      <w:r>
        <w:rPr>
          <w:rStyle w:val="VerbatimChar"/>
        </w:rPr>
        <w:t xml:space="preserve">render</w:t>
      </w:r>
      <w:r>
        <w:t xml:space="preserve">). Type</w:t>
      </w:r>
      <w:r>
        <w:t xml:space="preserve"> </w:t>
      </w:r>
      <w:r>
        <w:rPr>
          <w:rStyle w:val="VerbatimChar"/>
        </w:rPr>
        <w:t xml:space="preserve">id</w:t>
      </w:r>
      <w:r>
        <w:t xml:space="preserve"> </w:t>
      </w:r>
      <w:r>
        <w:t xml:space="preserve">is read from</w:t>
      </w:r>
      <w:r>
        <w:t xml:space="preserve"> </w:t>
      </w:r>
      <w:r>
        <w:rPr>
          <w:rStyle w:val="VerbatimChar"/>
        </w:rPr>
        <w:t xml:space="preserve">schema.id</w:t>
      </w:r>
      <w:r>
        <w:t xml:space="preserve"> </w:t>
      </w:r>
      <w:r>
        <w:t xml:space="preserve">(the filename is discovery sugar, never the identity), and a missing</w:t>
      </w:r>
      <w:r>
        <w:t xml:space="preserve"> </w:t>
      </w:r>
      <w:r>
        <w:rPr>
          <w:rStyle w:val="VerbatimChar"/>
        </w:rPr>
        <w:t xml:space="preserve">schema.id</w:t>
      </w:r>
      <w:r>
        <w:t xml:space="preserve"> </w:t>
      </w:r>
      <w:r>
        <w:t xml:space="preserve">or an unknown kind is a LOUD register-time error. The host runs once per build:</w:t>
      </w:r>
      <w:r>
        <w:t xml:space="preserve"> </w:t>
      </w:r>
      <w:r>
        <w:rPr>
          <w:rStyle w:val="VerbatimChar"/>
        </w:rPr>
        <w:t xml:space="preserve">host:load_model(default)</w:t>
      </w:r>
      <w:r>
        <w:t xml:space="preserve"> </w:t>
      </w:r>
      <w:r>
        <w:t xml:space="preserve">then each overlay model (later-wins-by-id), then</w:t>
      </w:r>
      <w:r>
        <w:t xml:space="preserve"> </w:t>
      </w:r>
      <w:r>
        <w:rPr>
          <w:rStyle w:val="VerbatimChar"/>
        </w:rPr>
        <w:t xml:space="preserve">finalize()</w:t>
      </w:r>
      <w:r>
        <w:t xml:space="preserve"> </w:t>
      </w:r>
      <w:r>
        <w:t xml:space="preserve">(attribute inheritance + verification SQL views).</w:t>
      </w:r>
    </w:p>
    <w:p>
      <w:pPr>
        <w:pStyle w:val="BodyText"/>
      </w:pPr>
      <w:r>
        <w:rPr>
          <w:bCs/>
          <w:b/>
        </w:rPr>
        <w:t xml:space="preserve">Requirement deltas: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Status</w:t>
            </w:r>
          </w:p>
        </w:tc>
        <w:tc>
          <w:tcPr/>
          <w:p>
            <w:pPr>
              <w:pStyle w:val="Compact"/>
              <w:jc w:val="left"/>
            </w:pPr>
            <w:r>
              <w:t xml:space="preserve">Delta</w:t>
            </w:r>
          </w:p>
        </w:tc>
      </w:tr>
      <w:tr>
        <w:tc>
          <w:tcPr/>
          <w:p>
            <w:pPr>
              <w:pStyle w:val="Compact"/>
              <w:jc w:val="left"/>
            </w:pPr>
            <w:r>
              <w:t xml:space="preserve">HLR-EXT-001</w:t>
            </w:r>
          </w:p>
        </w:tc>
        <w:tc>
          <w:tcPr/>
          <w:p>
            <w:pPr>
              <w:pStyle w:val="Compact"/>
              <w:jc w:val="left"/>
            </w:pPr>
            <w:r>
              <w:t xml:space="preserve">Changed</w:t>
            </w:r>
          </w:p>
        </w:tc>
        <w:tc>
          <w:tcPr/>
          <w:p>
            <w:pPr>
              <w:pStyle w:val="Compact"/>
              <w:jc w:val="left"/>
            </w:pPr>
            <w:r>
              <w:t xml:space="preserve">Type</w:t>
            </w:r>
            <w:r>
              <w:t xml:space="preserve"> </w:t>
            </w:r>
            <w:r>
              <w:rPr>
                <w:rStyle w:val="VerbatimChar"/>
              </w:rPr>
              <w:t xml:space="preserve">id</w:t>
            </w:r>
            <w:r>
              <w:t xml:space="preserve"> </w:t>
            </w:r>
            <w:r>
              <w:t xml:space="preserve">comes from descriptor</w:t>
            </w:r>
            <w:r>
              <w:t xml:space="preserve"> </w:t>
            </w:r>
            <w:r>
              <w:rPr>
                <w:rStyle w:val="VerbatimChar"/>
              </w:rPr>
              <w:t xml:space="preserve">schema.id</w:t>
            </w:r>
            <w:r>
              <w:t xml:space="preserve">; the filename is irrelevant; categories are discovery sugar, not lowercased identity.</w:t>
            </w:r>
          </w:p>
        </w:tc>
      </w:tr>
      <w:tr>
        <w:tc>
          <w:tcPr/>
          <w:p>
            <w:pPr>
              <w:pStyle w:val="Compact"/>
              <w:jc w:val="left"/>
            </w:pPr>
            <w:r>
              <w:t xml:space="preserve">HLR-EXT-002</w:t>
            </w:r>
          </w:p>
        </w:tc>
        <w:tc>
          <w:tcPr/>
          <w:p>
            <w:pPr>
              <w:pStyle w:val="Compact"/>
              <w:jc w:val="left"/>
            </w:pPr>
            <w:r>
              <w:t xml:space="preserve">Kept</w:t>
            </w:r>
          </w:p>
        </w:tc>
        <w:tc>
          <w:tcPr/>
          <w:p>
            <w:pPr>
              <w:pStyle w:val="Compact"/>
              <w:jc w:val="left"/>
            </w:pPr>
            <w:r>
              <w:t xml:space="preserve">Frozen in-tree model layout (see also HLR-EXT-010</w:t>
            </w:r>
            <w:r>
              <w:t xml:space="preserve"> </w:t>
            </w:r>
            <w:r>
              <w:rPr>
                <w:rStyle w:val="VerbatimChar"/>
              </w:rPr>
              <w:t xml:space="preserve">model.yaml</w:t>
            </w:r>
            <w:r>
              <w:t xml:space="preserve">).</w:t>
            </w:r>
          </w:p>
        </w:tc>
      </w:tr>
      <w:tr>
        <w:tc>
          <w:tcPr/>
          <w:p>
            <w:pPr>
              <w:pStyle w:val="Compact"/>
              <w:jc w:val="left"/>
            </w:pPr>
            <w:r>
              <w:t xml:space="preserve">HLR-EXT-003</w:t>
            </w:r>
          </w:p>
        </w:tc>
        <w:tc>
          <w:tcPr/>
          <w:p>
            <w:pPr>
              <w:pStyle w:val="Compact"/>
              <w:jc w:val="left"/>
            </w:pPr>
            <w:r>
              <w:t xml:space="preserve">Changed</w:t>
            </w:r>
          </w:p>
        </w:tc>
        <w:tc>
          <w:tcPr/>
          <w:p>
            <w:pPr>
              <w:pStyle w:val="Compact"/>
              <w:jc w:val="left"/>
            </w:pPr>
            <w:r>
              <w:t xml:space="preserve">A plugin returns one descriptor</w:t>
            </w:r>
            <w:r>
              <w:t xml:space="preserve"> </w:t>
            </w:r>
            <w:r>
              <w:rPr>
                <w:rStyle w:val="VerbatimChar"/>
              </w:rPr>
              <w:t xml:space="preserve">{kind, schema, hooks}</w:t>
            </w:r>
            <w:r>
              <w:t xml:space="preserve">; the host introspects declared</w:t>
            </w:r>
            <w:r>
              <w:t xml:space="preserve"> </w:t>
            </w:r>
            <w:r>
              <w:rPr>
                <w:rStyle w:val="VerbatimChar"/>
              </w:rPr>
              <w:t xml:space="preserve">hooks</w:t>
            </w:r>
            <w:r>
              <w:t xml:space="preserve"> </w:t>
            </w:r>
            <w:r>
              <w:t xml:space="preserve">instead of five divergent</w:t>
            </w:r>
            <w:r>
              <w:t xml:space="preserve"> </w:t>
            </w:r>
            <w:r>
              <w:rPr>
                <w:rStyle w:val="VerbatimChar"/>
              </w:rPr>
              <w:t xml:space="preserve">M.handler</w:t>
            </w:r>
            <w:r>
              <w:t xml:space="preserve"> </w:t>
            </w:r>
            <w:r>
              <w:t xml:space="preserve">interfaces.</w:t>
            </w:r>
          </w:p>
        </w:tc>
      </w:tr>
      <w:tr>
        <w:tc>
          <w:tcPr/>
          <w:p>
            <w:pPr>
              <w:pStyle w:val="Compact"/>
              <w:jc w:val="left"/>
            </w:pPr>
            <w:r>
              <w:t xml:space="preserve">HLR-EXT-004</w:t>
            </w:r>
          </w:p>
        </w:tc>
        <w:tc>
          <w:tcPr/>
          <w:p>
            <w:pPr>
              <w:pStyle w:val="Compact"/>
              <w:jc w:val="left"/>
            </w:pPr>
            <w:r>
              <w:t xml:space="preserve">Changed</w:t>
            </w:r>
          </w:p>
        </w:tc>
        <w:tc>
          <w:tcPr/>
          <w:p>
            <w:pPr>
              <w:pStyle w:val="Compact"/>
              <w:jc w:val="left"/>
            </w:pPr>
            <w:r>
              <w:t xml:space="preserve">One declarative</w:t>
            </w:r>
            <w:r>
              <w:t xml:space="preserve"> </w:t>
            </w:r>
            <w:r>
              <w:rPr>
                <w:rStyle w:val="VerbatimChar"/>
              </w:rPr>
              <w:t xml:space="preserve">schema</w:t>
            </w:r>
            <w:r>
              <w:t xml:space="preserve"> </w:t>
            </w:r>
            <w:r>
              <w:t xml:space="preserve">per kind (the IR columns that kind needs); inheritance via</w:t>
            </w:r>
            <w:r>
              <w:t xml:space="preserve"> </w:t>
            </w:r>
            <w:r>
              <w:rPr>
                <w:rStyle w:val="VerbatimChar"/>
              </w:rPr>
              <w:t xml:space="preserve">extends</w:t>
            </w:r>
            <w:r>
              <w:t xml:space="preserve">.</w:t>
            </w:r>
          </w:p>
        </w:tc>
      </w:tr>
      <w:tr>
        <w:tc>
          <w:tcPr/>
          <w:p>
            <w:pPr>
              <w:pStyle w:val="Compact"/>
              <w:jc w:val="left"/>
            </w:pPr>
            <w:r>
              <w:t xml:space="preserve">HLR-EXT-005</w:t>
            </w:r>
          </w:p>
        </w:tc>
        <w:tc>
          <w:tcPr/>
          <w:p>
            <w:pPr>
              <w:pStyle w:val="Compact"/>
              <w:jc w:val="left"/>
            </w:pPr>
            <w:r>
              <w:rPr>
                <w:bCs/>
                <w:b/>
              </w:rPr>
              <w:t xml:space="preserve">Retired</w:t>
            </w:r>
          </w:p>
        </w:tc>
        <w:tc>
          <w:tcPr/>
          <w:p>
            <w:pPr>
              <w:pStyle w:val="Compact"/>
              <w:jc w:val="left"/>
            </w:pPr>
            <w:r>
              <w:t xml:space="preserve">The per-type model→default</w:t>
            </w:r>
            <w:r>
              <w:t xml:space="preserve"> </w:t>
            </w:r>
            <w:r>
              <w:rPr>
                <w:rStyle w:val="VerbatimChar"/>
              </w:rPr>
              <w:t xml:space="preserve">require</w:t>
            </w:r>
            <w:r>
              <w:t xml:space="preserve"> </w:t>
            </w:r>
            <w:r>
              <w:t xml:space="preserve">fallback is gone; the host overlay (default then template, later-wins-by-id) replaces it. A fully-absent requested model is a loud error.</w:t>
            </w:r>
          </w:p>
        </w:tc>
      </w:tr>
      <w:tr>
        <w:tc>
          <w:tcPr/>
          <w:p>
            <w:pPr>
              <w:pStyle w:val="Compact"/>
              <w:jc w:val="left"/>
            </w:pPr>
            <w:r>
              <w:t xml:space="preserve">HLR-EXT-006</w:t>
            </w:r>
          </w:p>
        </w:tc>
        <w:tc>
          <w:tcPr/>
          <w:p>
            <w:pPr>
              <w:pStyle w:val="Compact"/>
              <w:jc w:val="left"/>
            </w:pPr>
            <w:r>
              <w:t xml:space="preserve">Changed</w:t>
            </w:r>
          </w:p>
        </w:tc>
        <w:tc>
          <w:tcPr/>
          <w:p>
            <w:pPr>
              <w:pStyle w:val="Compact"/>
              <w:jc w:val="left"/>
            </w:pPr>
            <w:r>
              <w:t xml:space="preserve">External rendering is</w:t>
            </w:r>
            <w:r>
              <w:t xml:space="preserve"> </w:t>
            </w:r>
            <w:r>
              <w:rPr>
                <w:rStyle w:val="VerbatimChar"/>
              </w:rPr>
              <w:t xml:space="preserve">prepare_task</w:t>
            </w:r>
            <w:r>
              <w:t xml:space="preserve">/</w:t>
            </w:r>
            <w:r>
              <w:rPr>
                <w:rStyle w:val="VerbatimChar"/>
              </w:rPr>
              <w:t xml:space="preserve">handle_result</w:t>
            </w:r>
            <w:r>
              <w:t xml:space="preserve"> </w:t>
            </w:r>
            <w:r>
              <w:rPr>
                <w:bCs/>
                <w:b/>
              </w:rPr>
              <w:t xml:space="preserve">hooks</w:t>
            </w:r>
            <w:r>
              <w:t xml:space="preserve"> </w:t>
            </w:r>
            <w:r>
              <w:t xml:space="preserve">indexed by the host, not a require-time</w:t>
            </w:r>
            <w:r>
              <w:t xml:space="preserve"> </w:t>
            </w:r>
            <w:r>
              <w:rPr>
                <w:rStyle w:val="VerbatimChar"/>
              </w:rPr>
              <w:t xml:space="preserve">external_render.register_renderer</w:t>
            </w:r>
            <w:r>
              <w:t xml:space="preserve"> </w:t>
            </w:r>
            <w:r>
              <w:t xml:space="preserve">side effect.</w:t>
            </w:r>
          </w:p>
        </w:tc>
      </w:tr>
      <w:tr>
        <w:tc>
          <w:tcPr/>
          <w:p>
            <w:pPr>
              <w:pStyle w:val="Compact"/>
              <w:jc w:val="left"/>
            </w:pPr>
            <w:r>
              <w:t xml:space="preserve">HLR-EXT-007</w:t>
            </w:r>
          </w:p>
        </w:tc>
        <w:tc>
          <w:tcPr/>
          <w:p>
            <w:pPr>
              <w:pStyle w:val="Compact"/>
              <w:jc w:val="left"/>
            </w:pPr>
            <w:r>
              <w:t xml:space="preserve">Changed</w:t>
            </w:r>
          </w:p>
        </w:tc>
        <w:tc>
          <w:tcPr/>
          <w:p>
            <w:pPr>
              <w:pStyle w:val="Compact"/>
              <w:jc w:val="left"/>
            </w:pPr>
            <w:r>
              <w:t xml:space="preserve">Data-view generation is a</w:t>
            </w:r>
            <w:r>
              <w:t xml:space="preserve"> </w:t>
            </w:r>
            <w:r>
              <w:rPr>
                <w:rStyle w:val="VerbatimChar"/>
              </w:rPr>
              <w:t xml:space="preserve">dataset</w:t>
            </w:r>
            <w:r>
              <w:t xml:space="preserve"> </w:t>
            </w:r>
            <w:r>
              <w:rPr>
                <w:bCs/>
                <w:b/>
              </w:rPr>
              <w:t xml:space="preserve">hook</w:t>
            </w:r>
            <w:r>
              <w:t xml:space="preserve"> </w:t>
            </w:r>
            <w:r>
              <w:t xml:space="preserve">the host indexes;</w:t>
            </w:r>
            <w:r>
              <w:t xml:space="preserve"> </w:t>
            </w:r>
            <w:r>
              <w:rPr>
                <w:rStyle w:val="VerbatimChar"/>
              </w:rPr>
              <w:t xml:space="preserve">data_loader</w:t>
            </w:r>
            <w:r>
              <w:t xml:space="preserve"> </w:t>
            </w:r>
            <w:r>
              <w:t xml:space="preserve">retains only the chart-config injection + a loose-load fallback for unregistered/fixture generators.</w:t>
            </w:r>
          </w:p>
        </w:tc>
      </w:tr>
      <w:tr>
        <w:tc>
          <w:tcPr/>
          <w:p>
            <w:pPr>
              <w:pStyle w:val="Compact"/>
              <w:jc w:val="left"/>
            </w:pPr>
            <w:r>
              <w:t xml:space="preserve">HLR-EXT-008</w:t>
            </w:r>
          </w:p>
        </w:tc>
        <w:tc>
          <w:tcPr/>
          <w:p>
            <w:pPr>
              <w:pStyle w:val="Compact"/>
              <w:jc w:val="left"/>
            </w:pPr>
            <w:r>
              <w:rPr>
                <w:bCs/>
                <w:b/>
              </w:rPr>
              <w:t xml:space="preserve">Retired</w:t>
            </w:r>
          </w:p>
        </w:tc>
        <w:tc>
          <w:tcPr/>
          <w:p>
            <w:pPr>
              <w:pStyle w:val="Compact"/>
              <w:jc w:val="left"/>
            </w:pPr>
            <w:r>
              <w:t xml:space="preserve">The</w:t>
            </w:r>
            <w:r>
              <w:t xml:space="preserve"> </w:t>
            </w:r>
            <w:r>
              <w:rPr>
                <w:rStyle w:val="VerbatimChar"/>
              </w:rPr>
              <w:t xml:space="preserve">{model}:{type_ref}</w:t>
            </w:r>
            <w:r>
              <w:t xml:space="preserve"> </w:t>
            </w:r>
            <w:r>
              <w:t xml:space="preserve">handler caches (incl. the</w:t>
            </w:r>
            <w:r>
              <w:t xml:space="preserve"> </w:t>
            </w:r>
            <w:r>
              <w:rPr>
                <w:rStyle w:val="VerbatimChar"/>
              </w:rPr>
              <w:t xml:space="preserve">= false</w:t>
            </w:r>
            <w:r>
              <w:t xml:space="preserve"> </w:t>
            </w:r>
            <w:r>
              <w:t xml:space="preserve">negative cache) are deleted; the eager</w:t>
            </w:r>
            <w:r>
              <w:t xml:space="preserve"> </w:t>
            </w:r>
            <w:r>
              <w:rPr>
                <w:rStyle w:val="VerbatimChar"/>
              </w:rPr>
              <w:t xml:space="preserve">(kind,id)-&gt;hook</w:t>
            </w:r>
            <w:r>
              <w:t xml:space="preserve"> </w:t>
            </w:r>
            <w:r>
              <w:t xml:space="preserve">index replaces them. A nil index (</w:t>
            </w:r>
            <w:r>
              <w:t xml:space="preserve">“</w:t>
            </w:r>
            <w:r>
              <w:t xml:space="preserve">not registered</w:t>
            </w:r>
            <w:r>
              <w:t xml:space="preserve">”</w:t>
            </w:r>
            <w:r>
              <w:t xml:space="preserve">) is a distinct loud state from</w:t>
            </w:r>
            <w:r>
              <w:t xml:space="preserve"> </w:t>
            </w:r>
            <w:r>
              <w:t xml:space="preserve">“</w:t>
            </w:r>
            <w:r>
              <w:t xml:space="preserve">registered, no such hook</w:t>
            </w:r>
            <w:r>
              <w:t xml:space="preserve">”</w:t>
            </w:r>
            <w:r>
              <w:t xml:space="preserve">.</w:t>
            </w:r>
          </w:p>
        </w:tc>
      </w:tr>
    </w:tbl>
    <w:p>
      <w:pPr>
        <w:pStyle w:val="BodyText"/>
      </w:pPr>
      <w:r>
        <w:rPr>
          <w:bCs/>
          <w:b/>
        </w:rPr>
        <w:t xml:space="preserve">New requirement stubs:</w:t>
      </w:r>
    </w:p>
    <w:p>
      <w:pPr>
        <w:pStyle w:val="SpecObjectHeader"/>
        <w:keepNext/>
        <w:outlineLvl w:val="0"/>
      </w:pPr>
      <w:bookmarkStart w:name="HLR-EXT-009" w:id="17135"/>
      <w:r>
        <w:t xml:space="preserve">HLR-EXT-009: Canonical Context</w:t>
      </w:r>
      <w:bookmarkEnd w:id="17135"/>
    </w:p>
    <w:p>
      <w:pPr>
        <w:pStyle w:val="SpecObjectBody"/>
      </w:pPr>
      <w:r>
        <w:t xml:space="preserve">The host shall pass every plugin hook a single frozen canonical</w:t>
      </w:r>
      <w:r>
        <w:t xml:space="preserve"> </w:t>
      </w:r>
      <w:r>
        <w:rPr>
          <w:rStyle w:val="VerbatimChar"/>
        </w:rPr>
        <w:t xml:space="preserve">ctx</w:t>
      </w:r>
      <w:r>
        <w:t xml:space="preserve"> </w:t>
      </w:r>
      <w:r>
        <w:t xml:space="preserve">whose invariant core</w:t>
      </w:r>
      <w:r>
        <w:t xml:space="preserve"> </w:t>
      </w:r>
      <w:r>
        <w:t xml:space="preserve">(</w:t>
      </w:r>
      <w:r>
        <w:rPr>
          <w:rStyle w:val="VerbatimChar"/>
        </w:rPr>
        <w:t xml:space="preserve">data, pandoc, log, diagnostics, format, spec_id, model, config</w:t>
      </w:r>
      <w:r>
        <w:t xml:space="preserve">) is guaranteed non-nil</w:t>
      </w:r>
      <w:r>
        <w:t xml:space="preserve"> </w:t>
      </w:r>
      <w:r>
        <w:t xml:space="preserve">and asserted at build time; only</w:t>
      </w:r>
      <w:r>
        <w:t xml:space="preserve"> </w:t>
      </w:r>
      <w:r>
        <w:rPr>
          <w:rStyle w:val="VerbatimChar"/>
        </w:rPr>
        <w:t xml:space="preserve">subject</w:t>
      </w:r>
      <w:r>
        <w:t xml:space="preserve"> </w:t>
      </w:r>
      <w:r>
        <w:t xml:space="preserve">is polymorphic (shape documented per kind).</w:t>
      </w:r>
      <w:r>
        <w:t xml:space="preserve"> </w:t>
      </w:r>
      <w:r>
        <w:rPr>
          <w:rStyle w:val="VerbatimChar"/>
        </w:rPr>
        <w:t xml:space="preserve">ctx:require(field)</w:t>
      </w:r>
      <w:r>
        <w:t xml:space="preserve"> </w:t>
      </w:r>
      <w:r>
        <w:t xml:space="preserve">fails loudly on nil. (</w:t>
      </w:r>
      <w:r>
        <w:rPr>
          <w:rStyle w:val="VerbatimChar"/>
        </w:rPr>
        <w:t xml:space="preserve">src/contract/ctx.lua</w:t>
      </w:r>
      <w:r>
        <w:t xml:space="preserve">.)</w:t>
      </w:r>
    </w:p>
    <w:p>
      <w:pPr>
        <w:pStyle w:val="DefinitionTerm"/>
      </w:pPr>
      <w:r>
        <w:rPr>
          <w:bCs/>
          <w:b/>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Each in-tree model shall carry a</w:t>
      </w:r>
      <w:r>
        <w:t xml:space="preserve"> </w:t>
      </w:r>
      <w:r>
        <w:rPr>
          <w:rStyle w:val="VerbatimChar"/>
        </w:rPr>
        <w:t xml:space="preserve">model.yaml</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extends</w:t>
      </w:r>
      <w:r>
        <w:t xml:space="preserve">,</w:t>
      </w:r>
      <w:r>
        <w:t xml:space="preserve"> </w:t>
      </w:r>
      <w:r>
        <w:rPr>
          <w:rStyle w:val="VerbatimChar"/>
        </w:rPr>
        <w:t xml:space="preserve">requires</w:t>
      </w:r>
      <w:r>
        <w:t xml:space="preserve">)</w:t>
      </w:r>
      <w:r>
        <w:t xml:space="preserve"> </w:t>
      </w:r>
      <w:r>
        <w:t xml:space="preserve">that declares the overlay chain. Models stay repo-bundled under</w:t>
      </w:r>
      <w:r>
        <w:t xml:space="preserve"> </w:t>
      </w:r>
      <w:r>
        <w:rPr>
          <w:rStyle w:val="VerbatimChar"/>
        </w:rPr>
        <w:t xml:space="preserve">models/&lt;name&gt;/</w:t>
      </w:r>
      <w:r>
        <w:t xml:space="preserve">; there is no</w:t>
      </w:r>
      <w:r>
        <w:t xml:space="preserve"> </w:t>
      </w:r>
      <w:r>
        <w:t xml:space="preserve">out-of-tree search path, registry, or package manager. (A symlinked model is not Docker-safe</w:t>
      </w:r>
      <w:r>
        <w:t xml:space="preserve"> </w:t>
      </w:r>
      <w:r>
        <w:t xml:space="preserve">and must be vendored in-tree to ship.)</w:t>
      </w:r>
    </w:p>
    <w:p>
      <w:pPr>
        <w:pStyle w:val="DefinitionTerm"/>
      </w:pPr>
      <w:r>
        <w:rPr>
          <w:bCs/>
          <w:b/>
        </w:rPr>
        <w:t xml:space="preserve">STATUS:</w:t>
      </w:r>
    </w:p>
    <w:p>
      <w:pPr>
        <w:pStyle w:val="Definition"/>
      </w:pPr>
      <w:r>
        <w:t xml:space="preserve">Approved</w:t>
      </w:r>
    </w:p>
    <w:p>
      <w:pPr>
        <w:pStyle w:val="SpecObjectHeader"/>
        <w:keepNext/>
        <w:outlineLvl w:val="0"/>
      </w:pPr>
      <w:bookmarkStart w:name="HLR-EXT-011" w:id="17158"/>
      <w:r>
        <w:t xml:space="preserve">HLR-EXT-011: Descriptor + Role Inference</w:t>
      </w:r>
      <w:bookmarkEnd w:id="17158"/>
    </w:p>
    <w:p>
      <w:pPr>
        <w:pStyle w:val="SpecObjectBody"/>
      </w:pPr>
      <w:r>
        <w:t xml:space="preserve">A plugin shall return one descriptor</w:t>
      </w:r>
      <w:r>
        <w:t xml:space="preserve"> </w:t>
      </w:r>
      <w:r>
        <w:rPr>
          <w:rStyle w:val="VerbatimChar"/>
        </w:rPr>
        <w:t xml:space="preserve">{kind, schema, hooks}</w:t>
      </w:r>
      <w:r>
        <w:t xml:space="preserve">. The host classifies each</w:t>
      </w:r>
      <w:r>
        <w:t xml:space="preserve"> </w:t>
      </w:r>
      <w:r>
        <w:rPr>
          <w:rStyle w:val="VerbatimChar"/>
        </w:rPr>
        <w:t xml:space="preserve">hooks</w:t>
      </w:r>
      <w:r>
        <w:t xml:space="preserve"> </w:t>
      </w:r>
      <w:r>
        <w:t xml:space="preserve">field by name (per-item hooks dispatched inline;</w:t>
      </w:r>
      <w:r>
        <w:t xml:space="preserve"> </w:t>
      </w:r>
      <w:r>
        <w:rPr>
          <w:rStyle w:val="VerbatimChar"/>
        </w:rPr>
        <w:t xml:space="preserve">on_&lt;phase&gt;</w:t>
      </w:r>
      <w:r>
        <w:t xml:space="preserve"> </w:t>
      </w:r>
      <w:r>
        <w:t xml:space="preserve">hooks synthesized into</w:t>
      </w:r>
      <w:r>
        <w:t xml:space="preserve"> </w:t>
      </w:r>
      <w:r>
        <w:rPr>
          <w:rStyle w:val="VerbatimChar"/>
        </w:rPr>
        <w:t xml:space="preserve">pipeline:register_handler</w:t>
      </w:r>
      <w:r>
        <w:t xml:space="preserve">), infers role from the hooks present, and validates an optional</w:t>
      </w:r>
      <w:r>
        <w:t xml:space="preserve"> </w:t>
      </w:r>
      <w:r>
        <w:rPr>
          <w:rStyle w:val="VerbatimChar"/>
        </w:rPr>
        <w:t xml:space="preserve">schema.role</w:t>
      </w:r>
      <w:r>
        <w:t xml:space="preserve"> </w:t>
      </w:r>
      <w:r>
        <w:t xml:space="preserve">echo against them. Malformed descriptors (unknown kind, missing</w:t>
      </w:r>
      <w:r>
        <w:t xml:space="preserve"> </w:t>
      </w:r>
      <w:r>
        <w:rPr>
          <w:rStyle w:val="VerbatimChar"/>
        </w:rPr>
        <w:t xml:space="preserve">schema.id</w:t>
      </w:r>
      <w:r>
        <w:t xml:space="preserve">,</w:t>
      </w:r>
      <w:r>
        <w:t xml:space="preserve"> </w:t>
      </w:r>
      <w:r>
        <w:t xml:space="preserve">hook invalid for the kind, internal-render-plus-external-hooks) are loud register-time errors.</w:t>
      </w:r>
    </w:p>
    <w:p>
      <w:pPr>
        <w:pStyle w:val="DefinitionTerm"/>
      </w:pPr>
      <w:r>
        <w:rPr>
          <w:bCs/>
          <w:b/>
        </w:rPr>
        <w:t xml:space="preserve">STATUS:</w:t>
      </w:r>
    </w:p>
    <w:p>
      <w:pPr>
        <w:pStyle w:val="Definition"/>
      </w:pPr>
      <w:r>
        <w:t xml:space="preserve">Approved</w:t>
      </w:r>
    </w:p>
    <w:p>
      <w:pPr>
        <w:pStyle w:val="SpecObjectHeader"/>
        <w:keepNext/>
        <w:outlineLvl w:val="0"/>
      </w:pPr>
      <w:bookmarkStart w:name="HLR-EXT-012" w:id="17159"/>
      <w:r>
        <w:t xml:space="preserve">HLR-EXT-012: Verification Descriptor</w:t>
      </w:r>
      <w:bookmarkEnd w:id="17159"/>
    </w:p>
    <w:p>
      <w:pPr>
        <w:pStyle w:val="SpecObjectBody"/>
      </w:pPr>
      <w:r>
        <w:t xml:space="preserve">A analyze query shall be a</w:t>
      </w:r>
      <w:r>
        <w:t xml:space="preserve"> </w:t>
      </w:r>
      <w:r>
        <w:rPr>
          <w:rStyle w:val="VerbatimChar"/>
        </w:rPr>
        <w:t xml:space="preserve">kind="verification"</w:t>
      </w:r>
      <w:r>
        <w:t xml:space="preserve"> </w:t>
      </w:r>
      <w:r>
        <w:t xml:space="preserve">descriptor</w:t>
      </w:r>
      <w:r>
        <w:t xml:space="preserve"> </w:t>
      </w:r>
      <w:r>
        <w:t xml:space="preserve">(</w:t>
      </w:r>
      <w:r>
        <w:rPr>
          <w:rStyle w:val="VerbatimChar"/>
        </w:rPr>
        <w:t xml:space="preserve">schema = {policy_key, view, sql, disabled}</w:t>
      </w:r>
      <w:r>
        <w:t xml:space="preserve">,</w:t>
      </w:r>
      <w:r>
        <w:t xml:space="preserve"> </w:t>
      </w:r>
      <w:r>
        <w:rPr>
          <w:rStyle w:val="VerbatimChar"/>
        </w:rPr>
        <w:t xml:space="preserve">hooks = {message}</w:t>
      </w:r>
      <w:r>
        <w:t xml:space="preserve">) forwarded to the host’s</w:t>
      </w:r>
      <w:r>
        <w:t xml:space="preserve"> </w:t>
      </w:r>
      <w:r>
        <w:t xml:space="preserve">ordered policy_key registry, preserving override (later model wins, in place) and</w:t>
      </w:r>
      <w:r>
        <w:t xml:space="preserve"> </w:t>
      </w:r>
      <w:r>
        <w:rPr>
          <w:rStyle w:val="VerbatimChar"/>
        </w:rPr>
        <w:t xml:space="preserve">disabled=true</w:t>
      </w:r>
      <w:r>
        <w:t xml:space="preserve"> </w:t>
      </w:r>
      <w:r>
        <w:t xml:space="preserve">removal semantics. (Closes the HLR-TYPE-007 contract gap.)</w:t>
      </w:r>
    </w:p>
    <w:p>
      <w:pPr>
        <w:pStyle w:val="DefinitionTerm"/>
      </w:pPr>
      <w:r>
        <w:rPr>
          <w:bCs/>
          <w:b/>
        </w:rPr>
        <w:t xml:space="preserve">STATUS:</w:t>
      </w:r>
    </w:p>
    <w:p>
      <w:pPr>
        <w:pStyle w:val="Definition"/>
      </w:pPr>
      <w:r>
        <w:t xml:space="preserve">Approved</w:t>
      </w:r>
    </w:p>
    <w:p>
      <w:pPr>
        <w:pStyle w:val="SpecObjectHeader"/>
        <w:keepNext/>
        <w:outlineLvl w:val="0"/>
      </w:pPr>
      <w:bookmarkStart w:name="HLR-CFG-001" w:id="79274"/>
      <w:r>
        <w:t xml:space="preserve">HLR-CFG-001: Manifest-Only Configuration</w:t>
      </w:r>
      <w:bookmarkEnd w:id="79274"/>
    </w:p>
    <w:p>
      <w:pPr>
        <w:pStyle w:val="SpecObjectBody"/>
      </w:pPr>
      <w:r>
        <w:t xml:space="preserve">All build configuration shall come from</w:t>
      </w:r>
      <w:r>
        <w:t xml:space="preserve"> </w:t>
      </w:r>
      <w:r>
        <w:rPr>
          <w:rStyle w:val="VerbatimChar"/>
        </w:rPr>
        <w:t xml:space="preserve">project.yaml</w:t>
      </w:r>
      <w:r>
        <w:t xml:space="preserve">, read once into a frozen</w:t>
      </w:r>
      <w:r>
        <w:t xml:space="preserve"> </w:t>
      </w:r>
      <w:r>
        <w:rPr>
          <w:rStyle w:val="VerbatimChar"/>
        </w:rPr>
        <w:t xml:space="preserve">config</w:t>
      </w:r>
      <w:r>
        <w:t xml:space="preserve"> </w:t>
      </w:r>
      <w:r>
        <w:t xml:space="preserve">slice.</w:t>
      </w:r>
      <w:r>
        <w:t xml:space="preserve"> </w:t>
      </w:r>
      <w:r>
        <w:rPr>
          <w:rStyle w:val="VerbatimChar"/>
        </w:rPr>
        <w:t xml:space="preserve">os.getenv</w:t>
      </w:r>
      <w:r>
        <w:t xml:space="preserve"> </w:t>
      </w:r>
      <w:r>
        <w:t xml:space="preserve">is permitted ONLY to bootstrap the toolchain (</w:t>
      </w:r>
      <w:r>
        <w:rPr>
          <w:rStyle w:val="VerbatimChar"/>
        </w:rPr>
        <w:t xml:space="preserve">SPECCOMPILER_HOME</w:t>
      </w:r>
      <w:r>
        <w:t xml:space="preserve">,</w:t>
      </w:r>
      <w:r>
        <w:t xml:space="preserve"> </w:t>
      </w:r>
      <w:r>
        <w:rPr>
          <w:rStyle w:val="VerbatimChar"/>
        </w:rPr>
        <w:t xml:space="preserve">SPECCOMPILER_DIST</w:t>
      </w:r>
      <w:r>
        <w:t xml:space="preserve">) and for terminal autodetect (</w:t>
      </w:r>
      <w:r>
        <w:rPr>
          <w:rStyle w:val="VerbatimChar"/>
        </w:rPr>
        <w:t xml:space="preserve">TERM</w:t>
      </w:r>
      <w:r>
        <w:t xml:space="preserve">,</w:t>
      </w:r>
      <w:r>
        <w:t xml:space="preserve"> </w:t>
      </w:r>
      <w:r>
        <w:rPr>
          <w:rStyle w:val="VerbatimChar"/>
        </w:rPr>
        <w:t xml:space="preserve">CI</w:t>
      </w:r>
      <w:r>
        <w:t xml:space="preserve">,</w:t>
      </w:r>
      <w:r>
        <w:t xml:space="preserve"> </w:t>
      </w:r>
      <w:r>
        <w:rPr>
          <w:rStyle w:val="VerbatimChar"/>
        </w:rPr>
        <w:t xml:space="preserve">NO_COLOR</w:t>
      </w:r>
      <w:r>
        <w:t xml:space="preserve">,</w:t>
      </w:r>
      <w:r>
        <w:t xml:space="preserve"> </w:t>
      </w:r>
      <w:r>
        <w:rPr>
          <w:rStyle w:val="VerbatimChar"/>
        </w:rPr>
        <w:t xml:space="preserve">NUMBER_OF_PROCESSORS</w:t>
      </w:r>
      <w:r>
        <w:t xml:space="preserve">). The former config-leak env reads (</w:t>
      </w:r>
      <w:r>
        <w:rPr>
          <w:rStyle w:val="VerbatimChar"/>
        </w:rPr>
        <w:t xml:space="preserve">OUTPUT_FORMAT</w:t>
      </w:r>
      <w:r>
        <w:t xml:space="preserve">,</w:t>
      </w:r>
      <w:r>
        <w:t xml:space="preserve"> </w:t>
      </w:r>
      <w:r>
        <w:rPr>
          <w:rStyle w:val="VerbatimChar"/>
        </w:rPr>
        <w:t xml:space="preserve">BUILD_DIR</w:t>
      </w:r>
      <w:r>
        <w:t xml:space="preserve">,</w:t>
      </w:r>
      <w:r>
        <w:t xml:space="preserve"> </w:t>
      </w:r>
      <w:r>
        <w:rPr>
          <w:rStyle w:val="VerbatimChar"/>
        </w:rPr>
        <w:t xml:space="preserve">SPECCOMPILER_LOG_LEVEL</w:t>
      </w:r>
      <w:r>
        <w:t xml:space="preserve">) are removed; the manifest is authoritative.</w:t>
      </w:r>
    </w:p>
    <w:p>
      <w:pPr>
        <w:pStyle w:val="DefinitionTerm"/>
      </w:pPr>
      <w:r>
        <w:rPr>
          <w:bCs/>
          <w:b/>
        </w:rPr>
        <w:t xml:space="preserve">STATUS:</w:t>
      </w:r>
    </w:p>
    <w:p>
      <w:pPr>
        <w:pStyle w:val="Definition"/>
      </w:pPr>
      <w:r>
        <w:t xml:space="preserve">Approved</w:t>
      </w:r>
    </w:p>
    <w:p>
      <w:pPr>
        <w:pStyle w:val="SpecObjectHeader"/>
        <w:keepNext/>
        <w:outlineLvl w:val="0"/>
      </w:pPr>
      <w:bookmarkStart w:name="HLR-EXT-001" w:id="17127"/>
      <w:r>
        <w:t xml:space="preserve">HLR-EXT-001: Model-Specific Type Handler Loading</w:t>
      </w:r>
      <w:bookmarkEnd w:id="17127"/>
    </w:p>
    <w:p>
      <w:pPr>
        <w:pStyle w:val="SpecObjectBody"/>
      </w:pPr>
      <w:r>
        <w:t xml:space="preserve">The system shall load type-specific handlers from model directories.</w:t>
      </w:r>
    </w:p>
    <w:p>
      <w:pPr>
        <w:pStyle w:val="DefinitionTerm"/>
      </w:pPr>
      <w:r>
        <w:rPr>
          <w:bCs/>
          <w:b/>
        </w:rPr>
        <w:t xml:space="preserve">DESCRIPTION:</w:t>
      </w:r>
    </w:p>
    <w:p>
      <w:pPr>
        <w:pStyle w:val="Definition"/>
      </w:pPr>
      <w:r>
        <w:t xml:space="preserve">Type handlers control how specification content is rendered during the</w:t>
      </w:r>
      <w:r>
        <w:t xml:space="preserve"> </w:t>
      </w:r>
      <w:hyperlink w:anchor="TERM-22">
        <w:r>
          <w:rPr>
            <w:rStyle w:val="Hyperlink"/>
          </w:rPr>
          <w:t xml:space="preserve">&lt;TRANSFORM Phase&gt;</w:t>
        </w:r>
      </w:hyperlink>
      <w:r>
        <w:t xml:space="preserve"> </w:t>
      </w:r>
      <w:r>
        <w:t xml:space="preserve">phase. The loading mechanism supports:</w:t>
      </w:r>
    </w:p>
    <w:p>
      <w:pPr>
        <w:numPr>
          <w:ilvl w:val="0"/>
          <w:numId w:val="1016"/>
        </w:numPr>
        <w:pStyle w:val="Compact"/>
      </w:pPr>
      <w:r>
        <w:rPr>
          <w:bCs/>
          <w:b/>
        </w:rPr>
        <w:t xml:space="preserve">Object types</w:t>
      </w:r>
      <w:r>
        <w:t xml:space="preserve">: Loaded from</w:t>
      </w:r>
      <w:r>
        <w:t xml:space="preserve"> </w:t>
      </w:r>
      <w:r>
        <w:rPr>
          <w:rStyle w:val="VerbatimChar"/>
        </w:rPr>
        <w:t xml:space="preserve">models/{model}/types/objects/{type}.lua</w:t>
      </w:r>
    </w:p>
    <w:p>
      <w:pPr>
        <w:numPr>
          <w:ilvl w:val="0"/>
          <w:numId w:val="1016"/>
        </w:numPr>
        <w:pStyle w:val="Compact"/>
      </w:pPr>
      <w:r>
        <w:rPr>
          <w:bCs/>
          <w:b/>
        </w:rPr>
        <w:t xml:space="preserve">Specification types</w:t>
      </w:r>
      <w:r>
        <w:t xml:space="preserve">: Loaded from</w:t>
      </w:r>
      <w:r>
        <w:t xml:space="preserve"> </w:t>
      </w:r>
      <w:r>
        <w:rPr>
          <w:rStyle w:val="VerbatimChar"/>
        </w:rPr>
        <w:t xml:space="preserve">models/{model}/types/specifications/{type}.lua</w:t>
      </w:r>
    </w:p>
    <w:p>
      <w:pPr>
        <w:numPr>
          <w:ilvl w:val="0"/>
          <w:numId w:val="1016"/>
        </w:numPr>
        <w:pStyle w:val="Compact"/>
      </w:pPr>
      <w:r>
        <w:rPr>
          <w:bCs/>
          <w:b/>
        </w:rPr>
        <w:t xml:space="preserve">Float types</w:t>
      </w:r>
      <w:r>
        <w:t xml:space="preserve">: Loaded from</w:t>
      </w:r>
      <w:r>
        <w:t xml:space="preserve"> </w:t>
      </w:r>
      <w:r>
        <w:rPr>
          <w:rStyle w:val="VerbatimChar"/>
        </w:rPr>
        <w:t xml:space="preserve">models/{model}/types/floats/{type}.lua</w:t>
      </w:r>
    </w:p>
    <w:p>
      <w:pPr>
        <w:numPr>
          <w:ilvl w:val="0"/>
          <w:numId w:val="1016"/>
        </w:numPr>
        <w:pStyle w:val="Compact"/>
      </w:pPr>
      <w:r>
        <w:rPr>
          <w:bCs/>
          <w:b/>
        </w:rPr>
        <w:t xml:space="preserve">View types</w:t>
      </w:r>
      <w:r>
        <w:t xml:space="preserve">: Loaded from</w:t>
      </w:r>
      <w:r>
        <w:t xml:space="preserve"> </w:t>
      </w:r>
      <w:r>
        <w:rPr>
          <w:rStyle w:val="VerbatimChar"/>
        </w:rPr>
        <w:t xml:space="preserve">models/{model}/types/views/{type}.lua</w:t>
      </w:r>
    </w:p>
    <w:p>
      <w:pPr>
        <w:pStyle w:val="Definition"/>
      </w:pPr>
      <w:r>
        <w:t xml:space="preserve">Module loading uses</w:t>
      </w:r>
      <w:r>
        <w:t xml:space="preserve"> </w:t>
      </w:r>
      <w:r>
        <w:rPr>
          <w:rStyle w:val="VerbatimChar"/>
        </w:rPr>
        <w:t xml:space="preserve">require()</w:t>
      </w:r>
      <w:r>
        <w:t xml:space="preserve"> </w:t>
      </w:r>
      <w:r>
        <w:t xml:space="preserve">with path</w:t>
      </w:r>
      <w:r>
        <w:t xml:space="preserve"> </w:t>
      </w:r>
      <w:r>
        <w:rPr>
          <w:rStyle w:val="VerbatimChar"/>
        </w:rPr>
        <w:t xml:space="preserve">models.{model}.types.{category}.{type}</w:t>
      </w:r>
      <w:r>
        <w:t xml:space="preserve">. Type names are converted to lowercase for file lookup (e.g.,</w:t>
      </w:r>
      <w:r>
        <w:t xml:space="preserve"> </w:t>
      </w:r>
      <w:r>
        <w:t xml:space="preserve">“</w:t>
      </w:r>
      <w:r>
        <w:t xml:space="preserve">HLR</w:t>
      </w:r>
      <w:r>
        <w:t xml:space="preserve">”</w:t>
      </w:r>
      <w:r>
        <w:t xml:space="preserve"> </w:t>
      </w:r>
      <w:r>
        <w:t xml:space="preserve">-&gt;</w:t>
      </w:r>
      <w:r>
        <w:t xml:space="preserve"> </w:t>
      </w:r>
      <w:r>
        <w:t xml:space="preserve">“</w:t>
      </w:r>
      <w:r>
        <w:t xml:space="preserve">hlr.lua</w:t>
      </w:r>
      <w:r>
        <w:t xml:space="preserve">”</w:t>
      </w:r>
      <w:r>
        <w:t xml:space="preserve">).</w:t>
      </w:r>
    </w:p>
    <w:p>
      <w:pPr>
        <w:pStyle w:val="DefinitionTerm"/>
      </w:pPr>
      <w:r>
        <w:rPr>
          <w:bCs/>
          <w:b/>
        </w:rPr>
        <w:t xml:space="preserve">RATIONALE:</w:t>
      </w:r>
    </w:p>
    <w:p>
      <w:pPr>
        <w:pStyle w:val="Definition"/>
      </w:pPr>
      <w:r>
        <w:t xml:space="preserve">Separating type handlers into model directories enables domain-specific customization. Organizations can define their own requirement types, document types, and rendering behavior without modifying core code.</w:t>
      </w:r>
    </w:p>
    <w:p>
      <w:pPr>
        <w:pStyle w:val="DefinitionTerm"/>
      </w:pPr>
      <w:r>
        <w:rPr>
          <w:bCs/>
          <w:b/>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organize model content in a standardized directory hierarchy.</w:t>
      </w:r>
    </w:p>
    <w:p>
      <w:pPr>
        <w:pStyle w:val="DefinitionTerm"/>
      </w:pPr>
      <w:r>
        <w:rPr>
          <w:bCs/>
          <w:b/>
        </w:rPr>
        <w:t xml:space="preserve">DESCRIPTION:</w:t>
      </w:r>
    </w:p>
    <w:p>
      <w:pPr>
        <w:pStyle w:val="Definition"/>
      </w:pPr>
      <w:r>
        <w:t xml:space="preserve">Each model follows this structure:</w:t>
      </w:r>
    </w:p>
    <w:p>
      <w:pPr>
        <w:pStyle w:val="SourceCode"/>
      </w:pPr>
      <w:r>
        <w:rPr>
          <w:rStyle w:val="VerbatimChar"/>
        </w:rPr>
        <w:t xml:space="preserve">models/{model_name}/</w:t>
      </w:r>
      <w:r>
        <w:br/>
      </w:r>
      <w:r>
        <w:rPr>
          <w:rStyle w:val="VerbatimChar"/>
        </w:rPr>
        <w:t xml:space="preserve">  types/</w:t>
      </w:r>
      <w:r>
        <w:br/>
      </w:r>
      <w:r>
        <w:rPr>
          <w:rStyle w:val="VerbatimChar"/>
        </w:rPr>
        <w:t xml:space="preserve">    objects/       -- Spec object type handlers (HLR, LLR, VC, etc.)</w:t>
      </w:r>
      <w:r>
        <w:br/>
      </w:r>
      <w:r>
        <w:rPr>
          <w:rStyle w:val="VerbatimChar"/>
        </w:rPr>
        <w:t xml:space="preserve">    specifications/-- Specification type handlers (SRS, SDD, SVC)</w:t>
      </w:r>
      <w:r>
        <w:br/>
      </w:r>
      <w:r>
        <w:rPr>
          <w:rStyle w:val="VerbatimChar"/>
        </w:rPr>
        <w:t xml:space="preserve">    floats/        -- Float type handlers (TABLE, PLANTUML, CHART)</w:t>
      </w:r>
      <w:r>
        <w:br/>
      </w:r>
      <w:r>
        <w:rPr>
          <w:rStyle w:val="VerbatimChar"/>
        </w:rPr>
        <w:t xml:space="preserve">    views/         -- View type handlers (ABBREV, SYMBOL, MATH)</w:t>
      </w:r>
      <w:r>
        <w:br/>
      </w:r>
      <w:r>
        <w:rPr>
          <w:rStyle w:val="VerbatimChar"/>
        </w:rPr>
        <w:t xml:space="preserve">    relations/     -- Relation type definitions (TRACES_TO, etc.)</w:t>
      </w:r>
      <w:r>
        <w:br/>
      </w:r>
      <w:r>
        <w:rPr>
          <w:rStyle w:val="VerbatimChar"/>
        </w:rPr>
        <w:t xml:space="preserve">  analyze_queries/ -- Verification descriptors (SQL views + message hooks)</w:t>
      </w:r>
      <w:r>
        <w:br/>
      </w:r>
      <w:r>
        <w:rPr>
          <w:rStyle w:val="VerbatimChar"/>
        </w:rPr>
        <w:t xml:space="preserve">  filters/         -- Pandoc filters (docx.lua, html.lua, markdown.lua)</w:t>
      </w:r>
      <w:r>
        <w:br/>
      </w:r>
      <w:r>
        <w:rPr>
          <w:rStyle w:val="VerbatimChar"/>
        </w:rPr>
        <w:t xml:space="preserve">  postprocessors/  -- Format-specific postprocessors</w:t>
      </w:r>
      <w:r>
        <w:br/>
      </w:r>
      <w:r>
        <w:rPr>
          <w:rStyle w:val="VerbatimChar"/>
        </w:rPr>
        <w:t xml:space="preserve">  styles/          -- Style presets and templates</w:t>
      </w:r>
    </w:p>
    <w:p>
      <w:pPr>
        <w:pStyle w:val="Definition"/>
      </w:pPr>
      <w:r>
        <w:t xml:space="preserve">Model names are referenced via project configuration</w:t>
      </w:r>
      <w:r>
        <w:t xml:space="preserve"> </w:t>
      </w:r>
      <w:r>
        <w:rPr>
          <w:rStyle w:val="VerbatimChar"/>
        </w:rPr>
        <w:t xml:space="preserve">template</w:t>
      </w:r>
      <w:r>
        <w:t xml:space="preserve"> </w:t>
      </w:r>
      <w:r>
        <w:t xml:space="preserve">field or context</w:t>
      </w:r>
      <w:r>
        <w:t xml:space="preserve"> </w:t>
      </w:r>
      <w:r>
        <w:rPr>
          <w:rStyle w:val="VerbatimChar"/>
        </w:rPr>
        <w:t xml:space="preserve">model_name</w:t>
      </w:r>
      <w:r>
        <w:t xml:space="preserve">. The</w:t>
      </w:r>
      <w:r>
        <w:t xml:space="preserve"> </w:t>
      </w:r>
      <w:r>
        <w:t xml:space="preserve">“</w:t>
      </w:r>
      <w:r>
        <w:t xml:space="preserve">default</w:t>
      </w:r>
      <w:r>
        <w:t xml:space="preserve">”</w:t>
      </w:r>
      <w:r>
        <w:t xml:space="preserve"> </w:t>
      </w:r>
      <w:r>
        <w:t xml:space="preserve">model provides base implementations with fallback behavior.</w:t>
      </w:r>
    </w:p>
    <w:p>
      <w:pPr>
        <w:pStyle w:val="DefinitionTerm"/>
      </w:pPr>
      <w:r>
        <w:rPr>
          <w:bCs/>
          <w:b/>
        </w:rPr>
        <w:t xml:space="preserve">RATIONALE:</w:t>
      </w:r>
    </w:p>
    <w:p>
      <w:pPr>
        <w:pStyle w:val="Definition"/>
      </w:pPr>
      <w:r>
        <w:t xml:space="preserve">Standardized structure enables consistent discovery of type modules across models and provides clear extension points for each content category.</w:t>
      </w:r>
    </w:p>
    <w:p>
      <w:pPr>
        <w:pStyle w:val="DefinitionTerm"/>
      </w:pPr>
      <w:r>
        <w:rPr>
          <w:bCs/>
          <w:b/>
        </w:rPr>
        <w:t xml:space="preserve">STATUS:</w:t>
      </w:r>
    </w:p>
    <w:p>
      <w:pPr>
        <w:pStyle w:val="Definition"/>
      </w:pPr>
      <w:r>
        <w:t xml:space="preserve">Approved</w:t>
      </w:r>
    </w:p>
    <w:p>
      <w:pPr>
        <w:pStyle w:val="SpecObjectHeader"/>
        <w:keepNext/>
        <w:outlineLvl w:val="0"/>
      </w:pPr>
      <w:bookmarkStart w:name="HLR-EXT-003" w:id="17129"/>
      <w:r>
        <w:t xml:space="preserve">HLR-EXT-003: Handler Registration Interface</w:t>
      </w:r>
      <w:bookmarkEnd w:id="17129"/>
    </w:p>
    <w:p>
      <w:pPr>
        <w:pStyle w:val="SpecObjectBody"/>
      </w:pPr>
      <w:r>
        <w:t xml:space="preserve">Type handlers shall provide standardized registration interfaces for pipeline integration.</w:t>
      </w:r>
    </w:p>
    <w:p>
      <w:pPr>
        <w:pStyle w:val="DefinitionTerm"/>
      </w:pPr>
      <w:r>
        <w:rPr>
          <w:bCs/>
          <w:b/>
        </w:rPr>
        <w:t xml:space="preserve">DESCRIPTION:</w:t>
      </w:r>
    </w:p>
    <w:p>
      <w:pPr>
        <w:pStyle w:val="Definition"/>
      </w:pPr>
      <w:r>
        <w:t xml:space="preserve">Each handler category defines specific interfaces:</w:t>
      </w:r>
    </w:p>
    <w:p>
      <w:pPr>
        <w:pStyle w:val="Definition"/>
      </w:pPr>
      <w:r>
        <w:rPr>
          <w:bCs/>
          <w:b/>
        </w:rPr>
        <w:t xml:space="preserve">Object Type Handlers</w:t>
      </w:r>
      <w:r>
        <w:t xml:space="preserve"> </w:t>
      </w:r>
      <w:r>
        <w:t xml:space="preserve">export:</w:t>
      </w:r>
    </w:p>
    <w:p>
      <w:pPr>
        <w:numPr>
          <w:ilvl w:val="0"/>
          <w:numId w:val="1017"/>
        </w:numPr>
        <w:pStyle w:val="Compact"/>
      </w:pPr>
      <w:r>
        <w:rPr>
          <w:rStyle w:val="VerbatimChar"/>
        </w:rPr>
        <w:t xml:space="preserve">M.object</w:t>
      </w:r>
      <w:r>
        <w:t xml:space="preserve">: Type schema with id, long_name, description, attributes</w:t>
      </w:r>
    </w:p>
    <w:p>
      <w:pPr>
        <w:numPr>
          <w:ilvl w:val="0"/>
          <w:numId w:val="1017"/>
        </w:numPr>
        <w:pStyle w:val="Compact"/>
      </w:pPr>
      <w:r>
        <w:rPr>
          <w:rStyle w:val="VerbatimChar"/>
        </w:rPr>
        <w:t xml:space="preserve">M.handler.on_render_SpecObject(obj, ctx)</w:t>
      </w:r>
      <w:r>
        <w:t xml:space="preserve">: Render function returning Pandoc blocks</w:t>
      </w:r>
    </w:p>
    <w:p>
      <w:pPr>
        <w:pStyle w:val="Definition"/>
      </w:pPr>
      <w:r>
        <w:rPr>
          <w:bCs/>
          <w:b/>
        </w:rPr>
        <w:t xml:space="preserve">Specification Type Handlers</w:t>
      </w:r>
      <w:r>
        <w:t xml:space="preserve"> </w:t>
      </w:r>
      <w:r>
        <w:t xml:space="preserve">export:</w:t>
      </w:r>
    </w:p>
    <w:p>
      <w:pPr>
        <w:numPr>
          <w:ilvl w:val="0"/>
          <w:numId w:val="1018"/>
        </w:numPr>
        <w:pStyle w:val="Compact"/>
      </w:pPr>
      <w:r>
        <w:rPr>
          <w:rStyle w:val="VerbatimChar"/>
        </w:rPr>
        <w:t xml:space="preserve">M.specification</w:t>
      </w:r>
      <w:r>
        <w:t xml:space="preserve">: Type schema with id, long_name, attributes</w:t>
      </w:r>
    </w:p>
    <w:p>
      <w:pPr>
        <w:numPr>
          <w:ilvl w:val="0"/>
          <w:numId w:val="1018"/>
        </w:numPr>
        <w:pStyle w:val="Compact"/>
      </w:pPr>
      <w:r>
        <w:rPr>
          <w:rStyle w:val="VerbatimChar"/>
        </w:rPr>
        <w:t xml:space="preserve">M.handler.on_render_Specification(ctx, pandoc, data)</w:t>
      </w:r>
      <w:r>
        <w:t xml:space="preserve">: Render document title</w:t>
      </w:r>
    </w:p>
    <w:p>
      <w:pPr>
        <w:pStyle w:val="Definition"/>
      </w:pPr>
      <w:r>
        <w:rPr>
          <w:bCs/>
          <w:b/>
        </w:rPr>
        <w:t xml:space="preserve">Float Type Handlers</w:t>
      </w:r>
      <w:r>
        <w:t xml:space="preserve"> </w:t>
      </w:r>
      <w:r>
        <w:t xml:space="preserve">export:</w:t>
      </w:r>
    </w:p>
    <w:p>
      <w:pPr>
        <w:numPr>
          <w:ilvl w:val="0"/>
          <w:numId w:val="1019"/>
        </w:numPr>
        <w:pStyle w:val="Compact"/>
      </w:pPr>
      <w:r>
        <w:rPr>
          <w:rStyle w:val="VerbatimChar"/>
        </w:rPr>
        <w:t xml:space="preserve">M.float</w:t>
      </w:r>
      <w:r>
        <w:t xml:space="preserve">: Type schema with id, caption_format, counter_group, aliases, needs_external_render</w:t>
      </w:r>
    </w:p>
    <w:p>
      <w:pPr>
        <w:numPr>
          <w:ilvl w:val="0"/>
          <w:numId w:val="1019"/>
        </w:numPr>
        <w:pStyle w:val="Compact"/>
      </w:pPr>
      <w:r>
        <w:rPr>
          <w:rStyle w:val="VerbatimChar"/>
        </w:rPr>
        <w:t xml:space="preserve">M.transform(raw_content, type_ref, log)</w:t>
      </w:r>
      <w:r>
        <w:t xml:space="preserve">: For internal transforms (TABLE, CSV)</w:t>
      </w:r>
    </w:p>
    <w:p>
      <w:pPr>
        <w:numPr>
          <w:ilvl w:val="0"/>
          <w:numId w:val="1019"/>
        </w:numPr>
        <w:pStyle w:val="Compact"/>
      </w:pPr>
      <w:r>
        <w:rPr>
          <w:rStyle w:val="VerbatimChar"/>
        </w:rPr>
        <w:t xml:space="preserve">external_render.register_renderer(type_ref, callbacks)</w:t>
      </w:r>
      <w:r>
        <w:t xml:space="preserve">: For external renders (PLANTUML, CHART)</w:t>
      </w:r>
    </w:p>
    <w:p>
      <w:pPr>
        <w:pStyle w:val="Definition"/>
      </w:pPr>
      <w:r>
        <w:rPr>
          <w:bCs/>
          <w:b/>
        </w:rPr>
        <w:t xml:space="preserve">View Type Handlers</w:t>
      </w:r>
      <w:r>
        <w:t xml:space="preserve"> </w:t>
      </w:r>
      <w:r>
        <w:t xml:space="preserve">export:</w:t>
      </w:r>
    </w:p>
    <w:p>
      <w:pPr>
        <w:numPr>
          <w:ilvl w:val="0"/>
          <w:numId w:val="1020"/>
        </w:numPr>
        <w:pStyle w:val="Compact"/>
      </w:pPr>
      <w:r>
        <w:rPr>
          <w:rStyle w:val="VerbatimChar"/>
        </w:rPr>
        <w:t xml:space="preserve">M.view</w:t>
      </w:r>
      <w:r>
        <w:t xml:space="preserve">: Type schema with id, inline_prefix, aliases</w:t>
      </w:r>
    </w:p>
    <w:p>
      <w:pPr>
        <w:numPr>
          <w:ilvl w:val="0"/>
          <w:numId w:val="1020"/>
        </w:numPr>
        <w:pStyle w:val="Compact"/>
      </w:pPr>
      <w:r>
        <w:rPr>
          <w:rStyle w:val="VerbatimChar"/>
        </w:rPr>
        <w:t xml:space="preserve">M.handler.on_render_Code(code, ctx)</w:t>
      </w:r>
      <w:r>
        <w:t xml:space="preserve">: Inline code rendering</w:t>
      </w:r>
    </w:p>
    <w:p>
      <w:pPr>
        <w:pStyle w:val="DefinitionTerm"/>
      </w:pPr>
      <w:r>
        <w:rPr>
          <w:bCs/>
          <w:b/>
        </w:rPr>
        <w:t xml:space="preserve">RATIONALE:</w:t>
      </w:r>
    </w:p>
    <w:p>
      <w:pPr>
        <w:pStyle w:val="Definition"/>
      </w:pPr>
      <w:r>
        <w:t xml:space="preserve">Consistent interfaces enable the core pipeline to discover and invoke handlers without knowledge of specific type implementations. This separation maintains extensibility.</w:t>
      </w:r>
    </w:p>
    <w:p>
      <w:pPr>
        <w:pStyle w:val="DefinitionTerm"/>
      </w:pPr>
      <w:r>
        <w:rPr>
          <w:bCs/>
          <w:b/>
        </w:rPr>
        <w:t xml:space="preserve">STATUS:</w:t>
      </w:r>
    </w:p>
    <w:p>
      <w:pPr>
        <w:pStyle w:val="Definition"/>
      </w:pPr>
      <w:r>
        <w:t xml:space="preserve">Approved</w:t>
      </w:r>
    </w:p>
    <w:p>
      <w:pPr>
        <w:pStyle w:val="SpecObjectHeader"/>
        <w:keepNext/>
        <w:outlineLvl w:val="0"/>
      </w:pPr>
      <w:bookmarkStart w:name="HLR-EXT-004" w:id="17130"/>
      <w:r>
        <w:t xml:space="preserve">HLR-EXT-004: Type Definition Schema</w:t>
      </w:r>
      <w:bookmarkEnd w:id="17130"/>
    </w:p>
    <w:p>
      <w:pPr>
        <w:pStyle w:val="SpecObjectBody"/>
      </w:pPr>
      <w:r>
        <w:t xml:space="preserve">Type definitions shall declare metadata schema that controls registration and behavior.</w:t>
      </w:r>
    </w:p>
    <w:p>
      <w:pPr>
        <w:pStyle w:val="DefinitionTerm"/>
      </w:pPr>
      <w:r>
        <w:rPr>
          <w:bCs/>
          <w:b/>
        </w:rPr>
        <w:t xml:space="preserve">DESCRIPTION:</w:t>
      </w:r>
    </w:p>
    <w:p>
      <w:pPr>
        <w:pStyle w:val="Definition"/>
      </w:pPr>
      <w:r>
        <w:t xml:space="preserve">Type schemas provide metadata stored in registry tables:</w:t>
      </w:r>
    </w:p>
    <w:p>
      <w:pPr>
        <w:pStyle w:val="Definition"/>
      </w:pPr>
      <w:r>
        <w:rPr>
          <w:bCs/>
          <w:b/>
        </w:rPr>
        <w:t xml:space="preserve">Object Types</w:t>
      </w:r>
      <w:r>
        <w:t xml:space="preserve"> </w:t>
      </w:r>
      <w:r>
        <w:t xml:space="preserve">(</w:t>
      </w:r>
      <w:r>
        <w:rPr>
          <w:rStyle w:val="VerbatimChar"/>
        </w:rPr>
        <w:t xml:space="preserve">spec_object_types</w:t>
      </w:r>
      <w:r>
        <w:t xml:space="preserve">):</w:t>
      </w:r>
    </w:p>
    <w:p>
      <w:pPr>
        <w:pStyle w:val="SourceCode"/>
      </w:pP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Unique identifier (uppercase)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Base type for inheritance</w:t>
      </w:r>
      <w:r>
        <w:br/>
      </w:r>
      <w:r>
        <w:rPr>
          <w:rStyle w:val="NormalTok"/>
        </w:rPr>
        <w:t xml:space="preserve">    </w:t>
      </w:r>
      <w:r>
        <w:rPr>
          <w:rStyle w:val="VariableTok"/>
        </w:rPr>
        <w:t xml:space="preserve">header_unnumbered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Exclude from section numbering</w:t>
      </w:r>
      <w:r>
        <w:br/>
      </w:r>
      <w:r>
        <w:rPr>
          <w:rStyle w:val="NormalTok"/>
        </w:rPr>
        <w:t xml:space="preserve">    </w:t>
      </w:r>
      <w:r>
        <w:rPr>
          <w:rStyle w:val="VariableTok"/>
        </w:rPr>
        <w:t xml:space="preserve">header_style_id</w:t>
      </w:r>
      <w:r>
        <w:rPr>
          <w:rStyle w:val="NormalTok"/>
        </w:rPr>
        <w:t xml:space="preserve"> </w:t>
      </w:r>
      <w:r>
        <w:rPr>
          <w:rStyle w:val="OperatorTok"/>
        </w:rPr>
        <w:t xml:space="preserve">=</w:t>
      </w:r>
      <w:r>
        <w:rPr>
          <w:rStyle w:val="NormalTok"/>
        </w:rPr>
        <w:t xml:space="preserve"> </w:t>
      </w:r>
      <w:r>
        <w:rPr>
          <w:rStyle w:val="StringTok"/>
        </w:rPr>
        <w:t xml:space="preserve">"Heading2"</w:t>
      </w:r>
      <w:r>
        <w:rPr>
          <w:rStyle w:val="OperatorTok"/>
        </w:rPr>
        <w:t xml:space="preserve">,</w:t>
      </w:r>
      <w:r>
        <w:rPr>
          <w:rStyle w:val="NormalTok"/>
        </w:rPr>
        <w:t xml:space="preserve">  </w:t>
      </w:r>
      <w:r>
        <w:rPr>
          <w:rStyle w:val="CommentTok"/>
        </w:rPr>
        <w:t xml:space="preserve">-- Custom-style for headers</w:t>
      </w:r>
      <w:r>
        <w:br/>
      </w:r>
      <w:r>
        <w:rPr>
          <w:rStyle w:val="NormalTok"/>
        </w:rPr>
        <w:t xml:space="preserve">    </w:t>
      </w:r>
      <w:r>
        <w:rPr>
          <w:rStyle w:val="VariableTok"/>
        </w:rPr>
        <w:t xml:space="preserve">body_style_id</w:t>
      </w:r>
      <w:r>
        <w:rPr>
          <w:rStyle w:val="NormalTok"/>
        </w:rPr>
        <w:t xml:space="preserve"> </w:t>
      </w:r>
      <w:r>
        <w:rPr>
          <w:rStyle w:val="OperatorTok"/>
        </w:rPr>
        <w:t xml:space="preserve">=</w:t>
      </w:r>
      <w:r>
        <w:rPr>
          <w:rStyle w:val="NormalTok"/>
        </w:rPr>
        <w:t xml:space="preserve"> </w:t>
      </w:r>
      <w:r>
        <w:rPr>
          <w:rStyle w:val="StringTok"/>
        </w:rPr>
        <w:t xml:space="preserve">"Normal"</w:t>
      </w:r>
      <w:r>
        <w:rPr>
          <w:rStyle w:val="OperatorTok"/>
        </w:rPr>
        <w:t xml:space="preserve">,</w:t>
      </w:r>
      <w:r>
        <w:rPr>
          <w:rStyle w:val="NormalTok"/>
        </w:rPr>
        <w:t xml:space="preserve">      </w:t>
      </w:r>
      <w:r>
        <w:rPr>
          <w:rStyle w:val="CommentTok"/>
        </w:rPr>
        <w:t xml:space="preserve">-- Custom-style for body</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Attribute definitions</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"created"</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"DATE"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bCs/>
          <w:b/>
        </w:rPr>
        <w:t xml:space="preserve">Float Types</w:t>
      </w:r>
      <w:r>
        <w:t xml:space="preserve"> </w:t>
      </w:r>
      <w:r>
        <w:t xml:space="preserve">(</w:t>
      </w:r>
      <w:r>
        <w:rPr>
          <w:rStyle w:val="VerbatimChar"/>
        </w:rPr>
        <w:t xml:space="preserve">spec_float_types</w:t>
      </w:r>
      <w:r>
        <w:t xml:space="preserve">):</w:t>
      </w:r>
    </w:p>
    <w:p>
      <w:pPr>
        <w:pStyle w:val="SourceCode"/>
      </w:pP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Counter sharing (FIGURE, CHART,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NormalTok"/>
        </w:rPr>
        <w:t xml:space="preserve"> </w:t>
      </w:r>
      <w:r>
        <w:rPr>
          <w:rStyle w:val="OperatorTok"/>
        </w:rPr>
        <w:t xml:space="preserve">},</w:t>
      </w:r>
      <w:r>
        <w:rPr>
          <w:rStyle w:val="NormalTok"/>
        </w:rPr>
        <w:t xml:space="preserve">       </w:t>
      </w:r>
      <w:r>
        <w:rPr>
          <w:rStyle w:val="CommentTok"/>
        </w:rPr>
        <w:t xml:space="preserve">-- Alternative syntax identifiers</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p>
    <w:p>
      <w:pPr>
        <w:pStyle w:val="Definition"/>
      </w:pPr>
      <w:r>
        <w:rPr>
          <w:bCs/>
          <w:b/>
        </w:rPr>
        <w:t xml:space="preserve">View Types</w:t>
      </w:r>
      <w:r>
        <w:t xml:space="preserve"> </w:t>
      </w:r>
      <w:r>
        <w:t xml:space="preserve">(</w:t>
      </w:r>
      <w:r>
        <w:rPr>
          <w:rStyle w:val="VerbatimChar"/>
        </w:rPr>
        <w:t xml:space="preserve">spec_view_types</w:t>
      </w:r>
      <w:r>
        <w:t xml:space="preserve">):</w:t>
      </w:r>
    </w:p>
    <w:p>
      <w:pPr>
        <w:pStyle w:val="SourceCode"/>
      </w:pP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rPr>
          <w:rStyle w:val="NormalTok"/>
        </w:rPr>
        <w:t xml:space="preserve">      </w:t>
      </w:r>
      <w:r>
        <w:rPr>
          <w:rStyle w:val="CommentTok"/>
        </w:rPr>
        <w:t xml:space="preserve">-- Syntax: `abbrev: content`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"sigla"</w:t>
      </w:r>
      <w:r>
        <w:rPr>
          <w:rStyle w:val="OperatorTok"/>
        </w:rPr>
        <w:t xml:space="preserve">,</w:t>
      </w:r>
      <w:r>
        <w:rPr>
          <w:rStyle w:val="NormalTok"/>
        </w:rPr>
        <w:t xml:space="preserve"> </w:t>
      </w:r>
      <w:r>
        <w:rPr>
          <w:rStyle w:val="StringTok"/>
        </w:rPr>
        <w:t xml:space="preserve">"acronym"</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DefinitionTerm"/>
      </w:pPr>
      <w:r>
        <w:rPr>
          <w:bCs/>
          <w:b/>
        </w:rPr>
        <w:t xml:space="preserve">RATIONALE:</w:t>
      </w:r>
    </w:p>
    <w:p>
      <w:pPr>
        <w:pStyle w:val="Definition"/>
      </w:pPr>
      <w:r>
        <w:t xml:space="preserve">Declarative schemas enable automatic registration into database tables during initialization, provide validation rules for content, and configure rendering behavior without procedural code.</w:t>
      </w:r>
    </w:p>
    <w:p>
      <w:pPr>
        <w:pStyle w:val="DefinitionTerm"/>
      </w:pPr>
      <w:r>
        <w:rPr>
          <w:bCs/>
          <w:b/>
        </w:rPr>
        <w:t xml:space="preserve">STATUS:</w:t>
      </w:r>
    </w:p>
    <w:p>
      <w:pPr>
        <w:pStyle w:val="Definition"/>
      </w:pPr>
      <w:r>
        <w:t xml:space="preserve">Approved</w:t>
      </w:r>
    </w:p>
    <w:p>
      <w:pPr>
        <w:pStyle w:val="SpecObjectHeader"/>
        <w:keepNext/>
        <w:outlineLvl w:val="0"/>
      </w:pPr>
      <w:bookmarkStart w:name="HLR-EXT-005" w:id="17131"/>
      <w:r>
        <w:t xml:space="preserve">HLR-EXT-005: Model Path Resolution</w:t>
      </w:r>
      <w:bookmarkEnd w:id="17131"/>
    </w:p>
    <w:p>
      <w:pPr>
        <w:pStyle w:val="SpecObjectBody"/>
      </w:pPr>
      <w:r>
        <w:t xml:space="preserve">The system shall resolve model paths using environment configuration with fallback.</w:t>
      </w:r>
    </w:p>
    <w:p>
      <w:pPr>
        <w:pStyle w:val="SpecObjectBody"/>
      </w:pPr>
      <w:r>
        <w:rPr>
          <w:iCs/>
          <w:i/>
        </w:rPr>
        <w:t xml:space="preserve">Retired in the Host Engine Refactor: the per-type require fallback is replaced by the host overlay;</w:t>
      </w:r>
      <w:r>
        <w:rPr>
          <w:iCs/>
          <w:i/>
        </w:rPr>
        <w:t xml:space="preserve"> </w:t>
      </w:r>
      <w:r>
        <w:rPr>
          <w:rStyle w:val="VerbatimChar"/>
          <w:iCs/>
          <w:i/>
        </w:rPr>
        <w:t xml:space="preserve">SPECCOMPILER_HOME</w:t>
      </w:r>
      <w:r>
        <w:rPr>
          <w:iCs/>
          <w:i/>
        </w:rPr>
        <w:t xml:space="preserve">-then-cwd resolution is kept, and a fully-absent model is a loud error.</w:t>
      </w:r>
    </w:p>
    <w:p>
      <w:pPr>
        <w:pStyle w:val="DefinitionTerm"/>
      </w:pPr>
      <w:r>
        <w:rPr>
          <w:bCs/>
          <w:b/>
        </w:rPr>
        <w:t xml:space="preserve">DESCRIPTION:</w:t>
      </w:r>
    </w:p>
    <w:p>
      <w:pPr>
        <w:pStyle w:val="Definition"/>
      </w:pPr>
      <w:r>
        <w:t xml:space="preserve">Model path resolution follows this order:</w:t>
      </w:r>
    </w:p>
    <w:p>
      <w:pPr>
        <w:numPr>
          <w:ilvl w:val="0"/>
          <w:numId w:val="1021"/>
        </w:numPr>
        <w:pStyle w:val="Compact"/>
      </w:pPr>
      <w:r>
        <w:t xml:space="preserve">Check</w:t>
      </w:r>
      <w:r>
        <w:t xml:space="preserve"> </w:t>
      </w:r>
      <w:r>
        <w:rPr>
          <w:rStyle w:val="VerbatimChar"/>
        </w:rPr>
        <w:t xml:space="preserve">SPECCOMPILER_HOME</w:t>
      </w:r>
      <w:r>
        <w:t xml:space="preserve"> </w:t>
      </w:r>
      <w:r>
        <w:t xml:space="preserve">environment variable:</w:t>
      </w:r>
      <w:r>
        <w:t xml:space="preserve"> </w:t>
      </w:r>
      <w:r>
        <w:rPr>
          <w:rStyle w:val="VerbatimChar"/>
        </w:rPr>
        <w:t xml:space="preserve">$SPECCOMPILER_HOME/models/{model}</w:t>
      </w:r>
    </w:p>
    <w:p>
      <w:pPr>
        <w:numPr>
          <w:ilvl w:val="0"/>
          <w:numId w:val="1021"/>
        </w:numPr>
        <w:pStyle w:val="Compact"/>
      </w:pPr>
      <w:r>
        <w:t xml:space="preserve">Fall back to current working directory:</w:t>
      </w:r>
      <w:r>
        <w:t xml:space="preserve"> </w:t>
      </w:r>
      <w:r>
        <w:rPr>
          <w:rStyle w:val="VerbatimChar"/>
        </w:rPr>
        <w:t xml:space="preserve">./models/{model}</w:t>
      </w:r>
    </w:p>
    <w:p>
      <w:pPr>
        <w:pStyle w:val="Definition"/>
      </w:pPr>
      <w:r>
        <w:t xml:space="preserve">For type modules not found in the specified model, the system falls back to the</w:t>
      </w:r>
      <w:r>
        <w:t xml:space="preserve"> </w:t>
      </w:r>
      <w:r>
        <w:t xml:space="preserve">“</w:t>
      </w:r>
      <w:r>
        <w:t xml:space="preserve">default</w:t>
      </w:r>
      <w:r>
        <w:t xml:space="preserve">”</w:t>
      </w:r>
      <w:r>
        <w:t xml:space="preserve"> </w:t>
      </w:r>
      <w:r>
        <w:t xml:space="preserve">model:</w:t>
      </w:r>
    </w:p>
    <w:p>
      <w:pPr>
        <w:pStyle w:val="SourceCode"/>
      </w:pPr>
      <w:r>
        <w:rPr>
          <w:rStyle w:val="CommentTok"/>
        </w:rPr>
        <w:t xml:space="preserve">-- Try model-specific path first</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".types.floats.table"</w:t>
      </w:r>
      <w:r>
        <w:rPr>
          <w:rStyle w:val="OperatorTok"/>
        </w:rPr>
        <w:t xml:space="preserve">)</w:t>
      </w:r>
      <w:r>
        <w:br/>
      </w:r>
      <w:r>
        <w:rPr>
          <w:rStyle w:val="CommentTok"/>
        </w:rPr>
        <w:t xml:space="preserve">-- Fallback to default model</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"models.default.types.floats.table"</w:t>
      </w:r>
      <w:r>
        <w:rPr>
          <w:rStyle w:val="OperatorTok"/>
        </w:rPr>
        <w:t xml:space="preserve">)</w:t>
      </w:r>
    </w:p>
    <w:p>
      <w:pPr>
        <w:pStyle w:val="Definition"/>
      </w:pPr>
      <w:r>
        <w:t xml:space="preserve">This enables partial model customization where models only override specific types.</w:t>
      </w:r>
    </w:p>
    <w:p>
      <w:pPr>
        <w:pStyle w:val="DefinitionTerm"/>
      </w:pPr>
      <w:r>
        <w:rPr>
          <w:bCs/>
          <w:b/>
        </w:rPr>
        <w:t xml:space="preserve">RATIONALE:</w:t>
      </w:r>
    </w:p>
    <w:p>
      <w:pPr>
        <w:pStyle w:val="Definition"/>
      </w:pPr>
      <w:r>
        <w:t xml:space="preserve">Environment-based configuration supports deployment flexibility. Fallback to default model reduces duplication by allowing models to inherit base implementations.</w:t>
      </w:r>
    </w:p>
    <w:p>
      <w:pPr>
        <w:pStyle w:val="DefinitionTerm"/>
      </w:pPr>
      <w:r>
        <w:rPr>
          <w:bCs/>
          <w:b/>
        </w:rPr>
        <w:t xml:space="preserve">STATUS:</w:t>
      </w:r>
    </w:p>
    <w:p>
      <w:pPr>
        <w:pStyle w:val="Definition"/>
      </w:pPr>
      <w:r>
        <w:t xml:space="preserve">Retired</w:t>
      </w:r>
    </w:p>
    <w:p>
      <w:pPr>
        <w:pStyle w:val="SpecObjectHeader"/>
        <w:keepNext/>
        <w:outlineLvl w:val="0"/>
      </w:pPr>
      <w:bookmarkStart w:name="HLR-EXT-006" w:id="17132"/>
      <w:r>
        <w:t xml:space="preserve">HLR-EXT-006: External Renderer Registration</w:t>
      </w:r>
      <w:bookmarkEnd w:id="17132"/>
    </w:p>
    <w:p>
      <w:pPr>
        <w:pStyle w:val="SpecObjectBody"/>
      </w:pPr>
      <w:r>
        <w:t xml:space="preserve">External renderers shall declare task-preparation and result-handling hooks on their float descriptor.</w:t>
      </w:r>
    </w:p>
    <w:p>
      <w:pPr>
        <w:pStyle w:val="DefinitionTerm"/>
      </w:pPr>
      <w:r>
        <w:rPr>
          <w:bCs/>
          <w:b/>
        </w:rPr>
        <w:t xml:space="preserve">DESCRIPTION:</w:t>
      </w:r>
    </w:p>
    <w:p>
      <w:pPr>
        <w:pStyle w:val="Definition"/>
      </w:pPr>
      <w:r>
        <w:t xml:space="preserve">Float types requiring external tools (PlantUML, ECharts, etc.) declare the hook pair in their descriptor; the host indexes them like every other hook (no separate registration call):</w:t>
      </w:r>
    </w:p>
    <w:p>
      <w:pPr>
        <w:pStyle w:val="SourceCode"/>
      </w:pPr>
      <w:r>
        <w:rPr>
          <w:rStyle w:val="CommentTok"/>
        </w:rPr>
        <w:t xml:space="preserve">-- models/{model}/types/floats/plantuml.lua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Return task descriptor with cmd, args, output_path, context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Update resolved_ast in database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t xml:space="preserve">The core orchestrates: query items -&gt; prepare tasks -&gt; cache filter -&gt; batch spawn -&gt; dispatch results. This enables parallel execution across all external renders. A float declares either a</w:t>
      </w:r>
      <w:r>
        <w:t xml:space="preserve"> </w:t>
      </w:r>
      <w:r>
        <w:rPr>
          <w:rStyle w:val="VerbatimChar"/>
        </w:rPr>
        <w:t xml:space="preserve">render</w:t>
      </w:r>
      <w:r>
        <w:t xml:space="preserve"> </w:t>
      </w:r>
      <w:r>
        <w:t xml:space="preserve">hook or the external pair — never both (validated at register time).</w:t>
      </w:r>
    </w:p>
    <w:p>
      <w:pPr>
        <w:pStyle w:val="DefinitionTerm"/>
      </w:pPr>
      <w:r>
        <w:rPr>
          <w:bCs/>
          <w:b/>
        </w:rPr>
        <w:t xml:space="preserve">RATIONALE:</w:t>
      </w:r>
    </w:p>
    <w:p>
      <w:pPr>
        <w:pStyle w:val="Definition"/>
      </w:pPr>
      <w:r>
        <w:t xml:space="preserve">The descriptor hook pair decouples type-specific rendering logic from core orchestration. Hooks enable types to control task preparation and result interpretation while core handles parallelization and caching.</w:t>
      </w:r>
    </w:p>
    <w:p>
      <w:pPr>
        <w:pStyle w:val="DefinitionTerm"/>
      </w:pPr>
      <w:r>
        <w:rPr>
          <w:bCs/>
          <w:b/>
        </w:rPr>
        <w:t xml:space="preserve">STATUS:</w:t>
      </w:r>
    </w:p>
    <w:p>
      <w:pPr>
        <w:pStyle w:val="Definition"/>
      </w:pPr>
      <w:r>
        <w:t xml:space="preserve">Approved</w:t>
      </w:r>
    </w:p>
    <w:p>
      <w:pPr>
        <w:pStyle w:val="SpecObjectHeader"/>
        <w:keepNext/>
        <w:outlineLvl w:val="0"/>
      </w:pPr>
      <w:bookmarkStart w:name="HLR-EXT-007" w:id="17133"/>
      <w:r>
        <w:t xml:space="preserve">HLR-EXT-007: Data View Generator Loading</w:t>
      </w:r>
      <w:bookmarkEnd w:id="17133"/>
    </w:p>
    <w:p>
      <w:pPr>
        <w:pStyle w:val="SpecObjectBody"/>
      </w:pPr>
      <w:r>
        <w:t xml:space="preserve">The system shall provide chart data through</w:t>
      </w:r>
      <w:r>
        <w:t xml:space="preserve"> </w:t>
      </w:r>
      <w:r>
        <w:rPr>
          <w:rStyle w:val="VerbatimChar"/>
        </w:rPr>
        <w:t xml:space="preserve">dataset</w:t>
      </w:r>
      <w:r>
        <w:t xml:space="preserve"> </w:t>
      </w:r>
      <w:r>
        <w:t xml:space="preserve">hooks on view descriptors.</w:t>
      </w:r>
    </w:p>
    <w:p>
      <w:pPr>
        <w:pStyle w:val="DefinitionTerm"/>
      </w:pPr>
      <w:r>
        <w:rPr>
          <w:bCs/>
          <w:b/>
        </w:rPr>
        <w:t xml:space="preserve">DESCRIPTION:</w:t>
      </w:r>
    </w:p>
    <w:p>
      <w:pPr>
        <w:pStyle w:val="Definition"/>
      </w:pPr>
      <w:r>
        <w:t xml:space="preserve">A data view is a view descriptor (</w:t>
      </w:r>
      <w:r>
        <w:rPr>
          <w:rStyle w:val="VerbatimChar"/>
        </w:rPr>
        <w:t xml:space="preserve">models/{model}/types/views/{view_name}.lua</w:t>
      </w:r>
      <w:r>
        <w:t xml:space="preserve">) that declares a</w:t>
      </w:r>
      <w:r>
        <w:t xml:space="preserve"> </w:t>
      </w:r>
      <w:r>
        <w:rPr>
          <w:rStyle w:val="VerbatimChar"/>
        </w:rPr>
        <w:t xml:space="preserve">dataset</w:t>
      </w:r>
      <w:r>
        <w:t xml:space="preserve"> </w:t>
      </w:r>
      <w:r>
        <w:t xml:space="preserve">data hook returning</w:t>
      </w:r>
      <w:r>
        <w:t xml:space="preserve"> </w:t>
      </w:r>
      <w:r>
        <w:rPr>
          <w:rStyle w:val="VerbatimChar"/>
        </w:rPr>
        <w:t xml:space="preserve">{ source = ... }</w:t>
      </w:r>
      <w:r>
        <w:t xml:space="preserve"> </w:t>
      </w:r>
      <w:r>
        <w:t xml:space="preserve">for the chart consumer:</w:t>
      </w:r>
    </w:p>
    <w:p>
      <w:pPr>
        <w:pStyle w:val="SourceCode"/>
      </w:pPr>
      <w:r>
        <w:rPr>
          <w:rStyle w:val="CommentTok"/>
        </w:rPr>
        <w:t xml:space="preserve">-- models/{model}/types/views/gaussian.lua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"GAUSSIAN"</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dataset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CommentTok"/>
        </w:rPr>
        <w:t xml:space="preserve">-- dctx.subject.params: user parameters from code block attributes</w:t>
      </w:r>
      <w:r>
        <w:br/>
      </w:r>
      <w:r>
        <w:rPr>
          <w:rStyle w:val="NormalTok"/>
        </w:rPr>
        <w:t xml:space="preserve">            </w:t>
      </w:r>
      <w:r>
        <w:rPr>
          <w:rStyle w:val="CommentTok"/>
        </w:rPr>
        <w:t xml:space="preserve">-- dctx.data: DataManager instance for SQL queries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rStyle w:val="VerbatimChar"/>
        </w:rPr>
        <w:t xml:space="preserve">data_loader.load_view</w:t>
      </w:r>
      <w:r>
        <w:t xml:space="preserve"> </w:t>
      </w:r>
      <w:r>
        <w:t xml:space="preserve">resolves the hook through the host index (</w:t>
      </w:r>
      <w:r>
        <w:rPr>
          <w:rStyle w:val="VerbatimChar"/>
        </w:rPr>
        <w:t xml:space="preserve">host:get_hook("view", NAME, "dataset")</w:t>
      </w:r>
      <w:r>
        <w:t xml:space="preserve">, already overlaid default -&gt; model), with a loose-module fallback for non-indexed fixture views.</w:t>
      </w:r>
    </w:p>
    <w:p>
      <w:pPr>
        <w:pStyle w:val="Definition"/>
      </w:pPr>
      <w:r>
        <w:t xml:space="preserve">Usage in code blocks:</w:t>
      </w:r>
    </w:p>
    <w:p>
      <w:pPr>
        <w:pStyle w:val="SourceCode"/>
      </w:pPr>
      <w:r>
        <w:rPr>
          <w:rStyle w:val="InformationTok"/>
        </w:rPr>
        <w:t xml:space="preserve">```chart:gaussian{view="gaussian" sigma=2.0}</w:t>
      </w:r>
      <w:r>
        <w:br/>
      </w:r>
      <w:r>
        <w:rPr>
          <w:rStyle w:val="InformationTok"/>
        </w:rPr>
        <w:t xml:space="preserve">{...echarts config...}</w:t>
      </w:r>
    </w:p>
    <w:p>
      <w:pPr>
        <w:pStyle w:val="SourceCode"/>
      </w:pPr>
    </w:p>
    <w:p>
      <w:pPr>
        <w:pStyle w:val="DefinitionTerm"/>
      </w:pPr>
      <w:r>
        <w:rPr>
          <w:bCs/>
          <w:b/>
        </w:rPr>
        <w:t xml:space="preserve">RATIONALE:</w:t>
      </w:r>
    </w:p>
    <w:p>
      <w:pPr>
        <w:pStyle w:val="Definition"/>
      </w:pPr>
      <w:r>
        <w:t xml:space="preserve">Data views separate data generation from chart configuration. This enables reusable data sources and database-driven visualizations without embedding SQL in markdown.</w:t>
      </w:r>
    </w:p>
    <w:p>
      <w:pPr>
        <w:pStyle w:val="DefinitionTerm"/>
      </w:pPr>
      <w:r>
        <w:rPr>
          <w:bCs/>
          <w:b/>
        </w:rPr>
        <w:t xml:space="preserve">STATUS:</w:t>
      </w:r>
    </w:p>
    <w:p>
      <w:pPr>
        <w:pStyle w:val="Definition"/>
      </w:pPr>
      <w:r>
        <w:t xml:space="preserve">Approved</w:t>
      </w:r>
    </w:p>
    <w:p>
      <w:pPr>
        <w:pStyle w:val="SpecObjectHeader"/>
        <w:keepNext/>
        <w:outlineLvl w:val="0"/>
      </w:pPr>
      <w:bookmarkStart w:name="HLR-EXT-008" w:id="17134"/>
      <w:r>
        <w:t xml:space="preserve">HLR-EXT-008: Handler Caching</w:t>
      </w:r>
      <w:bookmarkEnd w:id="17134"/>
    </w:p>
    <w:p>
      <w:pPr>
        <w:pStyle w:val="SpecObjectBody"/>
      </w:pPr>
      <w:r>
        <w:t xml:space="preserve">The system shall cache loaded type handlers to avoid repeated module loading.</w:t>
      </w:r>
    </w:p>
    <w:p>
      <w:pPr>
        <w:pStyle w:val="SpecObjectBody"/>
      </w:pPr>
      <w:r>
        <w:rPr>
          <w:iCs/>
          <w:i/>
        </w:rPr>
        <w:t xml:space="preserve">Retired in the Host Engine Refactor: the per-(model,type) handler caches (incl. the negative cache) are replaced by the eager</w:t>
      </w:r>
      <w:r>
        <w:rPr>
          <w:iCs/>
          <w:i/>
        </w:rPr>
        <w:t xml:space="preserve"> </w:t>
      </w:r>
      <w:r>
        <w:rPr>
          <w:rStyle w:val="VerbatimChar"/>
          <w:iCs/>
          <w:i/>
        </w:rPr>
        <w:t xml:space="preserve">(kind,id)-&gt;hook</w:t>
      </w:r>
      <w:r>
        <w:rPr>
          <w:iCs/>
          <w:i/>
        </w:rPr>
        <w:t xml:space="preserve"> </w:t>
      </w:r>
      <w:r>
        <w:rPr>
          <w:iCs/>
          <w:i/>
        </w:rPr>
        <w:t xml:space="preserve">index.</w:t>
      </w:r>
    </w:p>
    <w:p>
      <w:pPr>
        <w:pStyle w:val="DefinitionTerm"/>
      </w:pPr>
      <w:r>
        <w:rPr>
          <w:bCs/>
          <w:b/>
        </w:rPr>
        <w:t xml:space="preserve">DESCRIPTION:</w:t>
      </w:r>
    </w:p>
    <w:p>
      <w:pPr>
        <w:pStyle w:val="Definition"/>
      </w:pPr>
      <w:r>
        <w:t xml:space="preserve">Each handler loader maintains a cache keyed by</w:t>
      </w:r>
      <w:r>
        <w:t xml:space="preserve"> </w:t>
      </w:r>
      <w:r>
        <w:rPr>
          <w:rStyle w:val="VerbatimChar"/>
        </w:rPr>
        <w:t xml:space="preserve">{model}:{type_ref}</w:t>
      </w:r>
      <w:r>
        <w:t xml:space="preserve">:</w:t>
      </w:r>
    </w:p>
    <w:p>
      <w:pPr>
        <w:pStyle w:val="SourceCode"/>
      </w:pPr>
      <w:r>
        <w:rPr>
          <w:rStyle w:val="KeywordTok"/>
        </w:rPr>
        <w:t xml:space="preserve">local</w:t>
      </w:r>
      <w:r>
        <w:rPr>
          <w:rStyle w:val="NormalTok"/>
        </w:rPr>
        <w:t xml:space="preserve"> </w:t>
      </w:r>
      <w:r>
        <w:rPr>
          <w:rStyle w:val="VariableTok"/>
        </w:rPr>
        <w:t xml:space="preserve">type_handlers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local</w:t>
      </w:r>
      <w:r>
        <w:rPr>
          <w:rStyle w:val="NormalTok"/>
        </w:rPr>
        <w:t xml:space="preserve"> </w:t>
      </w:r>
      <w:r>
        <w:rPr>
          <w:rStyle w:val="KeywordTok"/>
        </w:rPr>
        <w:t xml:space="preserve">function</w:t>
      </w:r>
      <w:r>
        <w:rPr>
          <w:rStyle w:val="NormalTok"/>
        </w:rPr>
        <w:t xml:space="preserve"> load_type_handler</w:t>
      </w:r>
      <w:r>
        <w:rPr>
          <w:rStyle w:val="OperatorTok"/>
        </w:rPr>
        <w:t xml:space="preserve">(</w:t>
      </w:r>
      <w:r>
        <w:rPr>
          <w:rStyle w:val="VariableTok"/>
        </w:rPr>
        <w:t xml:space="preserve">type_ref</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cache_key</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type_ref</w:t>
      </w:r>
      <w:r>
        <w:br/>
      </w:r>
      <w:r>
        <w:rPr>
          <w:rStyle w:val="NormalTok"/>
        </w:rPr>
        <w:t xml:space="preserve">    </w:t>
      </w:r>
      <w:r>
        <w:rPr>
          <w:rStyle w:val="ControlFlowTok"/>
        </w:rPr>
        <w:t xml:space="preserve">if</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nil</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Load module via require()</w:t>
      </w:r>
      <w:r>
        <w:br/>
      </w:r>
      <w:r>
        <w:rPr>
          <w:rStyle w:val="NormalTok"/>
        </w:rPr>
        <w:t xml:space="preserve">    </w:t>
      </w:r>
      <w:r>
        <w:rPr>
          <w:rStyle w:val="KeywordTok"/>
        </w:rPr>
        <w:t xml:space="preserve">local</w:t>
      </w:r>
      <w:r>
        <w:rPr>
          <w:rStyle w:val="NormalTok"/>
        </w:rPr>
        <w:t xml:space="preserve"> </w:t>
      </w:r>
      <w:r>
        <w:rPr>
          <w:rStyle w:val="VariableTok"/>
        </w:rPr>
        <w:t xml:space="preserve">ok</w:t>
      </w:r>
      <w:r>
        <w:rPr>
          <w:rStyle w:val="OperatorTok"/>
        </w:rPr>
        <w:t xml:space="preserve">,</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pcall</w:t>
      </w:r>
      <w:r>
        <w:rPr>
          <w:rStyle w:val="OperatorTok"/>
        </w:rPr>
        <w:t xml:space="preserve">(</w:t>
      </w:r>
      <w:r>
        <w:rPr>
          <w:rStyle w:val="FunctionTok"/>
        </w:rPr>
        <w:t xml:space="preserve">require</w:t>
      </w:r>
      <w:r>
        <w:rPr>
          <w:rStyle w:val="OperatorTok"/>
        </w:rPr>
        <w:t xml:space="preserve">,</w:t>
      </w:r>
      <w:r>
        <w:rPr>
          <w:rStyle w:val="NormalTok"/>
        </w:rPr>
        <w:t xml:space="preserve"> </w:t>
      </w:r>
      <w:r>
        <w:rPr>
          <w:rStyle w:val="VariableTok"/>
        </w:rPr>
        <w:t xml:space="preserve">module_path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ok</w:t>
      </w:r>
      <w:r>
        <w:rPr>
          <w:rStyle w:val="NormalTok"/>
        </w:rPr>
        <w:t xml:space="preserve"> </w:t>
      </w:r>
      <w:r>
        <w:rPr>
          <w:rStyle w:val="KeywordTok"/>
        </w:rPr>
        <w:t xml:space="preserve">and</w:t>
      </w:r>
      <w:r>
        <w:rPr>
          <w:rStyle w:val="NormalTok"/>
        </w:rPr>
        <w:t xml:space="preserve"> </w:t>
      </w:r>
      <w:r>
        <w:rPr>
          <w:rStyle w:val="VariableTok"/>
        </w:rPr>
        <w:t xml:space="preserve">module</w:t>
      </w:r>
      <w:r>
        <w:rPr>
          <w:rStyle w:val="NormalTok"/>
        </w:rPr>
        <w:t xml:space="preserve"> </w:t>
      </w:r>
      <w:r>
        <w:rPr>
          <w:rStyle w:val="ControlFlowTok"/>
        </w:rPr>
        <w:t xml:space="preserve">then</w:t>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return</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end</w:t>
      </w:r>
      <w:r>
        <w:br/>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Cache negative result</w:t>
      </w:r>
      <w:r>
        <w:br/>
      </w:r>
      <w:r>
        <w:rPr>
          <w:rStyle w:val="NormalTok"/>
        </w:rPr>
        <w:t xml:space="preserve">    </w:t>
      </w:r>
      <w:r>
        <w:rPr>
          <w:rStyle w:val="ControlFlowTok"/>
        </w:rPr>
        <w:t xml:space="preserve">return</w:t>
      </w:r>
      <w:r>
        <w:rPr>
          <w:rStyle w:val="NormalTok"/>
        </w:rPr>
        <w:t xml:space="preserve"> </w:t>
      </w:r>
      <w:r>
        <w:rPr>
          <w:rStyle w:val="KeywordTok"/>
        </w:rPr>
        <w:t xml:space="preserve">nil</w:t>
      </w:r>
      <w:r>
        <w:br/>
      </w:r>
      <w:r>
        <w:rPr>
          <w:rStyle w:val="KeywordTok"/>
        </w:rPr>
        <w:t xml:space="preserve">end</w:t>
      </w:r>
    </w:p>
    <w:p>
      <w:pPr>
        <w:pStyle w:val="Definition"/>
      </w:pPr>
      <w:r>
        <w:t xml:space="preserve">Cache stores</w:t>
      </w:r>
      <w:r>
        <w:t xml:space="preserve"> </w:t>
      </w:r>
      <w:r>
        <w:rPr>
          <w:rStyle w:val="VerbatimChar"/>
        </w:rPr>
        <w:t xml:space="preserve">false</w:t>
      </w:r>
      <w:r>
        <w:t xml:space="preserve"> </w:t>
      </w:r>
      <w:r>
        <w:t xml:space="preserve">for failed lookups to avoid repeated require() calls for non-existent modules.</w:t>
      </w:r>
    </w:p>
    <w:p>
      <w:pPr>
        <w:pStyle w:val="DefinitionTerm"/>
      </w:pPr>
      <w:r>
        <w:rPr>
          <w:bCs/>
          <w:b/>
        </w:rPr>
        <w:t xml:space="preserve">RATIONALE:</w:t>
      </w:r>
    </w:p>
    <w:p>
      <w:pPr>
        <w:pStyle w:val="Definition"/>
      </w:pPr>
      <w:r>
        <w:t xml:space="preserve">Caching improves performance for documents with many objects of the same type. Negative caching prevents repeated filesystem access for types without custom handlers.</w:t>
      </w:r>
    </w:p>
    <w:p>
      <w:pPr>
        <w:pStyle w:val="DefinitionTerm"/>
      </w:pPr>
      <w:r>
        <w:rPr>
          <w:bCs/>
          <w:b/>
        </w:rPr>
        <w:t xml:space="preserve">STATUS:</w:t>
      </w:r>
    </w:p>
    <w:p>
      <w:pPr>
        <w:pStyle w:val="Definition"/>
      </w:pPr>
      <w:r>
        <w:t xml:space="preserve">Retired</w:t>
      </w:r>
    </w:p>
    <w:bookmarkEnd w:id="27"/>
    <w:bookmarkEnd w:id="28"/>
    <w:bookmarkStart w:id="29" w:name="SRS-001-sec2.5"/>
    <w:p>
      <w:pPr>
        <w:pStyle w:val="Heading2"/>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22"/>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22"/>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22"/>
        </w:numPr>
        <w:pStyle w:val="Compact"/>
      </w:pPr>
      <w:r>
        <w:rPr>
          <w:bCs/>
          <w:b/>
        </w:rPr>
        <w:t xml:space="preserve">Spec floats</w:t>
      </w:r>
      <w:r>
        <w:t xml:space="preserve">: Placeholder CodeBlocks for floats at their document positions (resolved later by the float emitter)</w:t>
      </w:r>
    </w:p>
    <w:p>
      <w:pPr>
        <w:numPr>
          <w:ilvl w:val="0"/>
          <w:numId w:val="1022"/>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23"/>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23"/>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23"/>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23"/>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24"/>
        </w:numPr>
        <w:pStyle w:val="Compact"/>
      </w:pPr>
      <w:r>
        <w:t xml:space="preserve">Queries all floats across all specifications, ordered by</w:t>
      </w:r>
      <w:r>
        <w:t xml:space="preserve"> </w:t>
      </w:r>
      <w:r>
        <w:rPr>
          <w:rStyle w:val="VerbatimChar"/>
        </w:rPr>
        <w:t xml:space="preserve">file_seq</w:t>
      </w:r>
    </w:p>
    <w:p>
      <w:pPr>
        <w:numPr>
          <w:ilvl w:val="0"/>
          <w:numId w:val="1024"/>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24"/>
        </w:numPr>
        <w:pStyle w:val="Compact"/>
      </w:pPr>
      <w:r>
        <w:t xml:space="preserve">Assigns monotonically increasing numbers within each group (starting at 1)</w:t>
      </w:r>
    </w:p>
    <w:p>
      <w:pPr>
        <w:numPr>
          <w:ilvl w:val="0"/>
          <w:numId w:val="1024"/>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5"/>
        </w:numPr>
        <w:pStyle w:val="Compact"/>
      </w:pPr>
      <w:r>
        <w:t xml:space="preserve">Serializes the assembled Pandoc document to an intermediate JSON file</w:t>
      </w:r>
    </w:p>
    <w:p>
      <w:pPr>
        <w:numPr>
          <w:ilvl w:val="0"/>
          <w:numId w:val="1025"/>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5"/>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5"/>
        </w:numPr>
        <w:pStyle w:val="Compact"/>
      </w:pPr>
      <w:r>
        <w:t xml:space="preserve">Invokes Pandoc for format conversion</w:t>
      </w:r>
    </w:p>
    <w:p>
      <w:pPr>
        <w:numPr>
          <w:ilvl w:val="0"/>
          <w:numId w:val="1025"/>
        </w:numPr>
        <w:pStyle w:val="Compact"/>
      </w:pPr>
      <w:r>
        <w:t xml:space="preserve">Runs format-specific postprocessors after Pandoc generation completes</w:t>
      </w:r>
    </w:p>
    <w:p>
      <w:pPr>
        <w:numPr>
          <w:ilvl w:val="0"/>
          <w:numId w:val="1025"/>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6"/>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6"/>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6"/>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6"/>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7"/>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7"/>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7"/>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7"/>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8"/>
        </w:numPr>
        <w:pStyle w:val="Compact"/>
      </w:pPr>
      <w:r>
        <w:rPr>
          <w:rStyle w:val="VerbatimChar"/>
          <w:bCs/>
          <w:b/>
        </w:rPr>
        <w:t xml:space="preserve">fts_objects</w:t>
      </w:r>
      <w:r>
        <w:t xml:space="preserve">: Indexes spec object titles and body text, keyed by identifier and spec_id</w:t>
      </w:r>
    </w:p>
    <w:p>
      <w:pPr>
        <w:numPr>
          <w:ilvl w:val="0"/>
          <w:numId w:val="1028"/>
        </w:numPr>
        <w:pStyle w:val="Compact"/>
      </w:pPr>
      <w:r>
        <w:rPr>
          <w:rStyle w:val="VerbatimChar"/>
          <w:bCs/>
          <w:b/>
        </w:rPr>
        <w:t xml:space="preserve">fts_attributes</w:t>
      </w:r>
      <w:r>
        <w:t xml:space="preserve">: Indexes attribute names and string values, keyed by owner_ref and spec_id</w:t>
      </w:r>
    </w:p>
    <w:p>
      <w:pPr>
        <w:numPr>
          <w:ilvl w:val="0"/>
          <w:numId w:val="1028"/>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9"/>
    <w:bookmarkStart w:id="30" w:name="SRS-001-sec2.6"/>
    <w:p>
      <w:pPr>
        <w:pStyle w:val="Heading2"/>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9"/>
        </w:numPr>
        <w:pStyle w:val="Compact"/>
      </w:pPr>
      <w:r>
        <w:t xml:space="preserve">Every node of the document’s build graph is compared against its current file hash</w:t>
      </w:r>
    </w:p>
    <w:p>
      <w:pPr>
        <w:numPr>
          <w:ilvl w:val="0"/>
          <w:numId w:val="1029"/>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9"/>
        </w:numPr>
        <w:pStyle w:val="Compact"/>
      </w:pPr>
      <w:r>
        <w:t xml:space="preserve">If any hash differs, a node file is missing, or no root node is recorded, the document is rebuilt from source</w:t>
      </w:r>
    </w:p>
    <w:p>
      <w:pPr>
        <w:numPr>
          <w:ilvl w:val="0"/>
          <w:numId w:val="1029"/>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30"/>
        </w:numPr>
        <w:pStyle w:val="Compact"/>
      </w:pPr>
      <w:r>
        <w:t xml:space="preserve">Resolving include paths relative to the source file directory</w:t>
      </w:r>
    </w:p>
    <w:p>
      <w:pPr>
        <w:numPr>
          <w:ilvl w:val="0"/>
          <w:numId w:val="1030"/>
        </w:numPr>
        <w:pStyle w:val="Compact"/>
      </w:pPr>
      <w:r>
        <w:t xml:space="preserve">Detecting circular includes via a processed-file set (raises error on cycle)</w:t>
      </w:r>
    </w:p>
    <w:p>
      <w:pPr>
        <w:numPr>
          <w:ilvl w:val="0"/>
          <w:numId w:val="1030"/>
        </w:numPr>
        <w:pStyle w:val="Compact"/>
      </w:pPr>
      <w:r>
        <w:t xml:space="preserve">Recursively expanding nested includes up to a bounded maximum depth</w:t>
      </w:r>
    </w:p>
    <w:p>
      <w:pPr>
        <w:numPr>
          <w:ilvl w:val="0"/>
          <w:numId w:val="1030"/>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31"/>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31"/>
        </w:numPr>
        <w:pStyle w:val="Compact"/>
      </w:pPr>
      <w:r>
        <w:rPr>
          <w:bCs/>
          <w:b/>
        </w:rPr>
        <w:t xml:space="preserve">Structured data</w:t>
      </w:r>
      <w:r>
        <w:t xml:space="preserve">: Each diagnostic record contains file path, line number, diagnostic key, and human-readable message</w:t>
      </w:r>
    </w:p>
    <w:p>
      <w:pPr>
        <w:numPr>
          <w:ilvl w:val="0"/>
          <w:numId w:val="1031"/>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31"/>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32"/>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32"/>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33"/>
        </w:numPr>
        <w:pStyle w:val="Compact"/>
      </w:pPr>
      <w:r>
        <w:rPr>
          <w:bCs/>
          <w:b/>
        </w:rPr>
        <w:t xml:space="preserve">Deterministic parsing</w:t>
      </w:r>
      <w:r>
        <w:t xml:space="preserve">: Content-addressable SHA1 identifiers ensure consistent object identity</w:t>
      </w:r>
    </w:p>
    <w:p>
      <w:pPr>
        <w:numPr>
          <w:ilvl w:val="0"/>
          <w:numId w:val="1033"/>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33"/>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33"/>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30"/>
    <w:bookmarkStart w:id="34" w:name="SRS-001-sec2.7"/>
    <w:p>
      <w:pPr>
        <w:pStyle w:val="Heading2"/>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34"/>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34"/>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name="TERM-27" w:id="88103"/>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1">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2">
        <w:r>
          <w:rPr>
            <w:rStyle w:val="Hyperlink"/>
          </w:rPr>
          <w:t xml:space="preserve">sdd: Float Emitter</w:t>
        </w:r>
      </w:hyperlink>
      <w:r>
        <w:t xml:space="preserve"> </w:t>
      </w:r>
      <w:r>
        <w:t xml:space="preserve">for floats,</w:t>
      </w:r>
      <w:r>
        <w:t xml:space="preserve"> </w:t>
      </w:r>
      <w:hyperlink r:id="rId33">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before="280" w:lineRule="auto" w:after="12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sdd.docx#CSU-034" TargetMode="External" /><Relationship Type="http://schemas.openxmlformats.org/officeDocument/2006/relationships/hyperlink" Id="rId32" Target="sdd.docx#CSU-035" TargetMode="External" /><Relationship Type="http://schemas.openxmlformats.org/officeDocument/2006/relationships/hyperlink" Id="rId33"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1" Target="sdd.docx#CSU-034" TargetMode="External" /><Relationship Type="http://schemas.openxmlformats.org/officeDocument/2006/relationships/hyperlink" Id="rId32" Target="sdd.docx#CSU-035" TargetMode="External" /><Relationship Type="http://schemas.openxmlformats.org/officeDocument/2006/relationships/hyperlink" Id="rId33"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2026-08-03T01:33:07Z</dcterms:created>
  <dcterms:modified xsi:type="dcterms:W3CDTF">2026-08-03T01:33:07Z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