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SpecIR: Specification Intermediate Representation</w:t>
      </w:r>
    </w:p>
    <w:bookmarkEnd w:id="20"/>
    <w:p>
      <w:pPr>
        <w:pStyle w:val="TOCHeading"/>
      </w:pPr>
      <w:bookmarkStart w:id="28179" w:name="SPEC-sec1"/>
      <w:r>
        <w:rPr>
          <w:color w:val="000000"/>
        </w:rPr>
        <w:t xml:space="preserve">INDEX</w:t>
      </w:r>
      <w:bookmarkEnd w:id="28179"/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24" w:name="SPEC-sec2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21" w:name="SPEC-sec2.1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Cs/>
          <w:b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21"/>
    <w:bookmarkStart w:id="22" w:name="SPEC-sec2.2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Cs/>
          <w:b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Cs/>
          <w:b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Verification views express structural constraints as SQL queries.</w:t>
      </w:r>
    </w:p>
    <w:p>
      <w:pPr>
        <w:pStyle w:val="BodyText"/>
      </w:pPr>
      <w:r>
        <w:rPr>
          <w:bCs/>
          <w:b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Cs/>
          <w:b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22"/>
    <w:bookmarkStart w:id="23" w:name="SPEC-sec2.3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23"/>
    <w:bookmarkEnd w:id="24"/>
    <w:bookmarkStart w:id="35" w:name="SPEC-sec3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</w:t>
      </w:r>
      <w:r>
        <w:t xml:space="preserve">What kinds of things can exist in this specification?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25" w:name="SPEC-sec3.1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after="0" w:before="0" w:line="20" w:lineRule="exact"/>
        <w:rPr>
          <w:sz w:val="2"/>
        </w:rPr>
      </w:pPr>
      <w:bookmarkStart w:id="64546" w:name="csv-tbl-object-types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Comma-wrapped aliases (e.g. ",hlr,req,")</w:t>
            </w:r>
          </w:p>
        </w:tc>
      </w:tr>
    </w:tbl>
    <w:bookmarkEnd w:id="25"/>
    <w:bookmarkStart w:id="26" w:name="SPEC-sec3.2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after="0" w:before="0" w:line="20" w:lineRule="exact"/>
        <w:rPr>
          <w:sz w:val="2"/>
        </w:rPr>
      </w:pPr>
      <w:bookmarkStart w:id="21619" w:name="csv-tbl-float-types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1 = requires external tool</w:t>
            </w:r>
          </w:p>
        </w:tc>
      </w:tr>
    </w:tbl>
    <w:bookmarkEnd w:id="26"/>
    <w:bookmarkStart w:id="27" w:name="SPEC-sec3.3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after="0" w:before="0" w:line="20" w:lineRule="exact"/>
        <w:rPr>
          <w:sz w:val="2"/>
        </w:rPr>
      </w:pPr>
      <w:bookmarkStart w:id="94847" w:name="csv-tbl-relation-types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Attribute name for inference</w:t>
            </w:r>
          </w:p>
        </w:tc>
      </w:tr>
    </w:tbl>
    <w:bookmarkEnd w:id="27"/>
    <w:bookmarkStart w:id="28" w:name="SPEC-sec3.4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after="0" w:before="0" w:line="20" w:lineRule="exact"/>
        <w:rPr>
          <w:sz w:val="2"/>
        </w:rPr>
      </w:pPr>
      <w:bookmarkStart w:id="16648" w:name="csv-tbl-view-types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1 = requires external tool</w:t>
            </w:r>
          </w:p>
        </w:tc>
      </w:tr>
    </w:tbl>
    <w:bookmarkEnd w:id="28"/>
    <w:bookmarkStart w:id="29" w:name="SPEC-sec3.5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after="0" w:before="0" w:line="20" w:lineRule="exact"/>
        <w:rPr>
          <w:sz w:val="2"/>
        </w:rPr>
      </w:pPr>
      <w:bookmarkStart w:id="23102" w:name="csv-tbl-spec-types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1 = default when no explicit type</w:t>
            </w:r>
          </w:p>
        </w:tc>
      </w:tr>
    </w:tbl>
    <w:bookmarkEnd w:id="29"/>
    <w:bookmarkStart w:id="30" w:name="SPEC-sec3.6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after="0" w:before="0" w:line="20" w:lineRule="exact"/>
        <w:rPr>
          <w:sz w:val="2"/>
        </w:rPr>
      </w:pPr>
      <w:bookmarkStart w:id="92410" w:name="csv-tbl-datatypes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30"/>
    <w:bookmarkStart w:id="31" w:name="SPEC-sec3.7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after="0" w:before="0" w:line="20" w:lineRule="exact"/>
        <w:rPr>
          <w:sz w:val="2"/>
        </w:rPr>
      </w:pPr>
      <w:bookmarkStart w:id="47668" w:name="csv-tbl-attr-types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31"/>
    <w:bookmarkStart w:id="32" w:name="SPEC-sec3.8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after="0" w:before="0" w:line="20" w:lineRule="exact"/>
        <w:rPr>
          <w:sz w:val="2"/>
        </w:rPr>
      </w:pPr>
      <w:bookmarkStart w:id="93433" w:name="csv-tbl-enum-values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Display order</w:t>
            </w:r>
          </w:p>
        </w:tc>
      </w:tr>
    </w:tbl>
    <w:bookmarkEnd w:id="32"/>
    <w:bookmarkStart w:id="33" w:name="SPEC-sec3.9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after="0" w:before="0" w:line="20" w:lineRule="exact"/>
        <w:rPr>
          <w:sz w:val="2"/>
        </w:rPr>
      </w:pPr>
      <w:bookmarkStart w:id="44898" w:name="csv-tbl-type-aliases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Object type to assign</w:t>
            </w:r>
          </w:p>
        </w:tc>
      </w:tr>
    </w:tbl>
    <w:bookmarkEnd w:id="33"/>
    <w:bookmarkStart w:id="34" w:name="SPEC-sec3.10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after="0" w:before="0" w:line="20" w:lineRule="exact"/>
        <w:rPr>
          <w:sz w:val="2"/>
        </w:rPr>
      </w:pPr>
      <w:bookmarkStart w:id="70595" w:name="csv-tbl-spec-aliases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Specification type to assign</w:t>
            </w:r>
          </w:p>
        </w:tc>
      </w:tr>
    </w:tbl>
    <w:bookmarkEnd w:id="34"/>
    <w:bookmarkEnd w:id="35"/>
    <w:bookmarkStart w:id="42" w:name="SPEC-sec4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</w:t>
      </w:r>
      <w:r>
        <w:t xml:space="preserve">What does this specification contain?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36" w:name="SPEC-sec4.1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after="0" w:before="0" w:line="20" w:lineRule="exact"/>
        <w:rPr>
          <w:sz w:val="2"/>
        </w:rPr>
      </w:pPr>
      <w:bookmarkStart w:id="46247" w:name="csv-tbl-specifications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Body content between H1 and first H2</w:t>
            </w:r>
          </w:p>
        </w:tc>
      </w:tr>
    </w:tbl>
    <w:bookmarkEnd w:id="36"/>
    <w:bookmarkStart w:id="37" w:name="SPEC-sec4.2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after="0" w:before="0" w:line="20" w:lineRule="exact"/>
        <w:rPr>
          <w:sz w:val="2"/>
        </w:rPr>
      </w:pPr>
      <w:bookmarkStart w:id="62591" w:name="csv-tbl-objects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Body as Pandoc AST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37"/>
    <w:bookmarkStart w:id="38" w:name="SPEC-sec4.3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after="0" w:before="0" w:line="20" w:lineRule="exact"/>
        <w:rPr>
          <w:sz w:val="2"/>
        </w:rPr>
      </w:pPr>
      <w:bookmarkStart w:id="59214" w:name="csv-tbl-floats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anchor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Original syntax from code block</w:t>
            </w:r>
          </w:p>
        </w:tc>
      </w:tr>
    </w:tbl>
    <w:bookmarkEnd w:id="38"/>
    <w:bookmarkStart w:id="39" w:name="SPEC-sec4.4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after="0" w:before="0" w:line="20" w:lineRule="exact"/>
        <w:rPr>
          <w:sz w:val="2"/>
        </w:rPr>
      </w:pPr>
      <w:bookmarkStart w:id="66242" w:name="csv-tbl-relations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14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Selector syntax ("@" or "#")</w:t>
            </w:r>
          </w:p>
        </w:tc>
      </w:tr>
    </w:tbl>
    <w:bookmarkEnd w:id="39"/>
    <w:bookmarkStart w:id="40" w:name="SPEC-sec4.5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after="0" w:before="0" w:line="20" w:lineRule="exact"/>
        <w:rPr>
          <w:sz w:val="2"/>
        </w:rPr>
      </w:pPr>
      <w:bookmarkStart w:id="86393" w:name="csv-tbl-views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15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Pre-computed view data</w:t>
            </w:r>
          </w:p>
        </w:tc>
      </w:tr>
    </w:tbl>
    <w:bookmarkEnd w:id="40"/>
    <w:bookmarkStart w:id="41" w:name="SPEC-sec4.6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after="0" w:before="0" w:line="20" w:lineRule="exact"/>
        <w:rPr>
          <w:sz w:val="2"/>
        </w:rPr>
      </w:pPr>
      <w:bookmarkStart w:id="58030" w:name="csv-tbl-attributes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16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before="40" w:line="240"/>
            </w:pPr>
            <w:r>
              <w:t xml:space="preserve">Actual datatype used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41"/>
    <w:bookmarkEnd w:id="42"/>
    <w:bookmarkStart w:id="45" w:name="SPEC-sec5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43" w:name="SPEC-sec5.1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43"/>
    <w:bookmarkStart w:id="44" w:name="SPEC-sec5.2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44"/>
    <w:bookmarkEnd w:id="45"/>
    <w:bookmarkStart w:id="48" w:name="SPEC-sec6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46" w:name="SPEC-sec6.1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46"/>
    <w:bookmarkStart w:id="47" w:name="SPEC-sec6.2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47"/>
    <w:bookmarkEnd w:id="48"/>
    <w:bookmarkStart w:id="49" w:name="SPEC-sec7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49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w="5000" w:type="pct"/>
      <w:tblBorders>
        <w:top w:sz="4" w:color="CCCCCC" w:val="single" w:space="1"/>
        <w:bottom w:sz="0" w:color="auto" w:val="none" w:space="0"/>
        <w:left w:sz="0" w:color="auto" w:val="none" w:space="0"/>
        <w:right w:sz="0" w:color="auto" w:val="none" w:space="0"/>
        <w:insideH w:sz="0" w:color="auto" w:val="none" w:space="0"/>
        <w:insideV w:sz="0" w:color="auto" w:val="none" w:space="0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customStyle="1" w:type="paragraph" w:styleId="SpecObjectHeader">
    <w:name w:val="Spec Object Header"/>
    <w:basedOn w:val="Normal"/>
    <w:next w:val="FirstParagraph"/>
    <w:qFormat/>
    <w:pPr>
      <w:keepNext/>
      <w:spacing w:lineRule="auto" w:after="120" w:before="280" w:line="276"/>
      <w:outlineLvl w:val="0"/>
    </w:pPr>
    <w:rPr>
      <w:rFonts w:cs="Calibri Light" w:hAnsi="Calibri Light" w:asci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eader" Id="rId9100" Target="header1.xml"/><Relationship Type="http://schemas.openxmlformats.org/officeDocument/2006/relationships/header" Id="rId9101" Target="header2.xml"/><Relationship Type="http://schemas.openxmlformats.org/officeDocument/2006/relationships/footer" Id="rId9200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2026-10-07T02:39:36Z</dcterms:created>
  <dcterms:modified xsi:type="dcterms:W3CDTF">2026-10-07T02:39:36Z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