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y="14604" w:xAlign="center" w:hAnchor="margin" w:wrap="none" w:vAnchor="page"/>
      </w:pPr>
      <w:r>
        <w:t>Online</w:t>
      </w:r>
    </w:p>
    <w:p>
      <w:pPr>
        <w:pStyle w:val="CoverYear"/>
        <w:framePr w:y="15104" w:xAlign="center" w:hAnchor="margin" w:wrap="none" w:vAnchor="page"/>
      </w:pPr>
      <w:r>
        <w:t>2026</w:t>
      </w:r>
    </w:p>
    <w:p>
      <w:pPr>
        <w:sectPr>
          <w:type w:val="oddPage"/>
          <w:pgSz w:h="16838" w:orient="portrait" w:w="11906"/>
          <w:pgMar w:bottom="1134" w:right="1134" w:left="1701" w:gutter="0" w:top="1701" w:header="709" w:footer="709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y="14604" w:xAlign="center" w:hAnchor="margin" w:wrap="none" w:vAnchor="page"/>
      </w:pPr>
      <w:r>
        <w:t>Online</w:t>
      </w:r>
    </w:p>
    <w:p>
      <w:pPr>
        <w:pStyle w:val="TitlePageYear"/>
        <w:framePr w:y="15104" w:xAlign="center" w:hAnchor="margin" w:wrap="none" w:vAnchor="page"/>
      </w:pPr>
      <w:r>
        <w:t>2026</w:t>
      </w:r>
    </w:p>
    <w:p>
      <w:pPr>
        <w:spacing w:lineRule="auto" w:after="0" w:line="240" w:before="0"/>
      </w:pPr>
      <w:r>
        <w:br w:type="page"/>
      </w:r>
    </w:p>
    <w:tbl>
      <w:tblPr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atLeast" w:val="13700"/>
        </w:trPr>
        <w:tc>
          <w:tcPr>
            <w:tcW w:type="pct" w:w="5000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lineRule="auto" w:after="0" w:line="240" w:before="0"/>
      </w:pPr>
      <w:r>
        <w:br w:type="page"/>
      </w:r>
    </w:p>
    <w:tbl>
      <w:tblPr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atLeast" w:val="13700"/>
        </w:trPr>
        <w:tc>
          <w:tcPr>
            <w:tcW w:type="pct" w:w="5000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leader="dot" w:val="right" w:pos="9350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val="right" w:pos="9350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leader="dot" w:val="right" w:pos="9350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val="right" w:pos="9350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val="right" w:pos="9350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tabs>
          <w:tab w:val="left" w:pos="1701"/>
        </w:tabs>
        <w:spacing w:after="120" w:line="240" w:lineRule="auto"/>
      </w:pPr>
      <w:r>
        <w:t>ABNT</w:t>
      </w:r>
      <w:r>
        <w:tab/>
      </w:r>
      <w:r>
        <w:t>Associação Brasileira de Normas Técnicas</w:t>
      </w:r>
    </w:p>
    <w:p>
      <w:pPr>
        <w:tabs>
          <w:tab w:val="left" w:pos="1701"/>
        </w:tabs>
        <w:spacing w:after="120" w:line="240" w:lineRule="auto"/>
      </w:pPr>
      <w:r>
        <w:t>APA</w:t>
      </w:r>
      <w:r>
        <w:tab/>
      </w:r>
      <w:r>
        <w:t>American Psychological Association</w:t>
      </w:r>
    </w:p>
    <w:p>
      <w:pPr>
        <w:tabs>
          <w:tab w:val="left" w:pos="1701"/>
        </w:tabs>
        <w:spacing w:after="120" w:line="240" w:lineRule="auto"/>
      </w:pPr>
      <w:r>
        <w:t>IBGE</w:t>
      </w:r>
      <w:r>
        <w:tab/>
      </w:r>
      <w:r>
        <w:t>Instituto Brasileiro de Geografia e Estatística</w:t>
      </w:r>
    </w:p>
    <w:p>
      <w:pPr>
        <w:tabs>
          <w:tab w:val="left" w:pos="1701"/>
        </w:tabs>
        <w:spacing w:after="120" w:line="240" w:lineRule="auto"/>
      </w:pPr>
      <w:r>
        <w:t>IEEE</w:t>
      </w:r>
      <w:r>
        <w:tab/>
      </w:r>
      <w:r>
        <w:t>Institute of Electrical and Electronics Engineers</w:t>
      </w:r>
    </w:p>
    <w:p>
      <w:pPr>
        <w:tabs>
          <w:tab w:val="left" w:pos="1701"/>
        </w:tabs>
        <w:spacing w:after="120" w:line="240" w:lineRule="auto"/>
      </w:pPr>
      <w:r>
        <w:t>OOXML</w:t>
      </w:r>
      <w:r>
        <w:tab/>
      </w:r>
      <w:r>
        <w:t>Office Open XML</w:t>
      </w:r>
    </w:p>
    <w:p>
      <w:pPr>
        <w:tabs>
          <w:tab w:val="left" w:pos="1701"/>
        </w:tabs>
        <w:spacing w:after="120" w:line="240" w:lineRule="auto"/>
      </w:pPr>
      <w:r>
        <w:t>specc</w:t>
      </w:r>
      <w:r>
        <w:tab/>
      </w:r>
      <w:r>
        <w:t>SpecCompiler</w:t>
      </w:r>
    </w:p>
    <w:p>
      <w:pPr>
        <w:tabs>
          <w:tab w:val="left" w:pos="1701"/>
        </w:tabs>
        <w:spacing w:after="120" w:line="240" w:lineRule="auto"/>
      </w:pPr>
      <w:r>
        <w:t>UML</w:t>
      </w:r>
      <w:r>
        <w:tab/>
      </w:r>
      <w:r>
        <w:t>Unified Modeling Language</w:t>
      </w:r>
    </w:p>
    <w:p>
      <w:pPr>
        <w:spacing w:lineRule="auto" w:after="0" w:line="240" w:before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lineRule="auto" w:after="0" w:line="240" w:before="0"/>
        <w:sectPr>
          <w:headerReference w:type="even" r:id="rId92"/>
          <w:headerReference w:type="default" r:id="rId91"/>
          <w:headerReference w:type="first" r:id="rId91"/>
          <w:pgSz w:h="16838" w:w="11906"/>
          <w:pgMar w:header="709" w:left="1701" w:right="1134" w:top="1701" w:bottom="1134" w:gutter="0" w:footer="709"/>
          <w:pgNumType w:start="1" w:fmt="lowerRoman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lineRule="exact" w:after="0" w:line="20" w:before="0"/>
        <w:rPr>
          <w:sz w:val="2"/>
        </w:rPr>
      </w:pPr>
      <w:bookmarkStart w:name="fig-capybara" w:id="92191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lineRule="exact" w:after="0" w:line="20" w:before="0"/>
        <w:rPr>
          <w:sz w:val="2"/>
        </w:rPr>
      </w:pPr>
      <w:bookmarkStart w:name="src-sintaxe-comparacao" w:id="34069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color="000000" w:sz="8" w:val="single" w:space="1"/>
          <w:left w:color="000000" w:sz="8" w:val="single" w:space="4"/>
          <w:bottom w:color="000000" w:sz="8" w:val="single" w:space="1"/>
          <w:right w:color="000000" w:sz="8" w:val="single" w:space="4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lineRule="exact" w:after="0" w:line="20" w:before="0"/>
        <w:rPr>
          <w:sz w:val="2"/>
        </w:rPr>
      </w:pPr>
      <w:bookmarkStart w:name="echarts-abnt-types" w:id="88263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lineRule="exact" w:after="0" w:line="20" w:before="0"/>
        <w:rPr>
          <w:sz w:val="2"/>
        </w:rPr>
      </w:pPr>
      <w:bookmarkStart w:name="echarts-curva-gauss" w:id="95399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lineRule="exact" w:after="0" w:line="20" w:before="0"/>
        <w:rPr>
          <w:sz w:val="2"/>
        </w:rPr>
      </w:pPr>
      <w:bookmarkStart w:name="puml-fluxo-documento" w:id="97029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lineRule="exact" w:after="0" w:line="20" w:before="0"/>
        <w:rPr>
          <w:sz w:val="2"/>
        </w:rPr>
      </w:pPr>
      <w:bookmarkStart w:name="tab-source-syntax" w:id="33598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8" w:val="single" w:space="0"/>
          <w:left w:val="nil"/>
          <w:bottom w:color="000000" w:sz="8" w:val="single" w:space="0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Sintaxe</w:t>
            </w:r>
          </w:p>
        </w:tc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lineRule="exact" w:after="0" w:line="20" w:before="0"/>
        <w:rPr>
          <w:sz w:val="2"/>
        </w:rPr>
      </w:pPr>
      <w:bookmarkStart w:name="src-diferenca-tabela-quadro" w:id="63692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color="000000" w:sz="8" w:val="single" w:space="1"/>
          <w:left w:color="000000" w:sz="8" w:val="single" w:space="4"/>
          <w:bottom w:color="000000" w:sz="8" w:val="single" w:space="1"/>
          <w:right w:color="000000" w:sz="8" w:val="single" w:space="4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lineRule="exact" w:after="0" w:line="20" w:before="0"/>
        <w:rPr>
          <w:sz w:val="2"/>
        </w:rPr>
      </w:pPr>
      <w:bookmarkStart w:name="tab-elementos-pretextuais" w:id="12578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8" w:val="single" w:space="0"/>
          <w:left w:val="nil"/>
          <w:bottom w:color="000000" w:sz="8" w:val="single" w:space="0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jc w:val="left"/>
              <w:ind w:firstLine="0" w:left="0" w:right="0"/>
            </w:pPr>
            <w:r>
              <w:t xml:space="preserve">Elemento</w:t>
            </w:r>
          </w:p>
        </w:tc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jc w:val="center"/>
              <w:ind w:firstLine="0" w:left="0" w:right="0"/>
            </w:pPr>
            <w:r>
              <w:t xml:space="preserve">Obrigatório</w:t>
            </w:r>
          </w:p>
        </w:tc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jc w:val="left"/>
              <w:ind w:firstLine="0" w:left="0" w:right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lineRule="exact" w:after="0" w:line="20" w:before="0"/>
        <w:rPr>
          <w:sz w:val="2"/>
        </w:rPr>
      </w:pPr>
      <w:bookmarkStart w:name="tab-dados-regionais" w:id="45246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8" w:val="single" w:space="0"/>
          <w:left w:val="nil"/>
          <w:bottom w:color="000000" w:sz="8" w:val="single" w:space="0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Região</w:t>
            </w:r>
          </w:p>
        </w:tc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2022</w:t>
            </w:r>
          </w:p>
        </w:tc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2023</w:t>
            </w:r>
          </w:p>
        </w:tc>
        <w:tc>
          <w:tcPr>
            <w:tcBorders>
              <w:bottom w:color="000000" w:sz="4" w:val="single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lineRule="exact" w:after="0" w:line="20" w:before="0"/>
        <w:rPr>
          <w:sz w:val="2"/>
        </w:rPr>
      </w:pPr>
      <w:bookmarkStart w:name="src-vantagens-SpecCompiler" w:id="68158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color="000000" w:sz="8" w:val="single" w:space="1"/>
          <w:left w:color="000000" w:sz="8" w:val="single" w:space="4"/>
          <w:bottom w:color="000000" w:sz="8" w:val="single" w:space="1"/>
          <w:right w:color="000000" w:sz="8" w:val="single" w:space="4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lineRule="exact" w:after="0" w:line="20" w:before="0"/>
        <w:rPr>
          <w:sz w:val="2"/>
        </w:rPr>
      </w:pPr>
      <w:bookmarkStart w:name="src-hello-world" w:id="73903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color="000000" w:sz="8" w:val="single" w:space="1"/>
          <w:left w:color="000000" w:sz="8" w:val="single" w:space="4"/>
          <w:bottom w:color="000000" w:sz="8" w:val="single" w:space="1"/>
          <w:right w:color="000000" w:sz="8" w:val="single" w:space="4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name="math-pitagoras" w:id="34962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name="math-bhaskara" w:id="42851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lineRule="exact" w:after="0" w:line="20" w:before="0"/>
        <w:rPr>
          <w:sz w:val="2"/>
        </w:rPr>
      </w:pPr>
      <w:bookmarkStart w:name="echarts-xref-usage" w:id="34627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lineRule="auto" w:after="0" w:line="240" w:before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toc: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lof: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t xml:space="preserve">[ABBREVIATION LIST] 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106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APÊNDICE A – Referência Rápida de Sintaxe</w:t>
      </w:r>
    </w:p>
    <w:bookmarkEnd w:id="91"/>
    <w:bookmarkStart w:id="92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2"/>
    <w:bookmarkStart w:id="93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3"/>
    <w:bookmarkStart w:id="94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6"/>
    <w:bookmarkStart w:id="97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7"/>
    <w:bookmarkStart w:id="98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0"/>
    <w:bookmarkStart w:id="101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1"/>
    <w:bookmarkStart w:id="102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2"/>
    <w:bookmarkStart w:id="103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3"/>
    <w:bookmarkStart w:id="104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`toc:`        — Sumário</w:t>
      </w:r>
      <w:r>
        <w:br/>
      </w:r>
      <w:r>
        <w:rPr>
          <w:rStyle w:val="VerbatimChar"/>
        </w:rPr>
        <w:t xml:space="preserve">`lof:`        — Lista de figuras</w:t>
      </w:r>
      <w:r>
        <w:br/>
      </w:r>
      <w:r>
        <w:rPr>
          <w:rStyle w:val="VerbatimChar"/>
        </w:rPr>
        <w:t xml:space="preserve">`lot:`        — Lista de tabelas</w:t>
      </w:r>
      <w:r>
        <w:br/>
      </w:r>
      <w:r>
        <w:rPr>
          <w:rStyle w:val="VerbatimChar"/>
        </w:rPr>
        <w:t xml:space="preserve">`sigla_list:` — Lista de siglas</w:t>
      </w:r>
    </w:p>
    <w:bookmarkEnd w:id="104"/>
    <w:bookmarkStart w:id="105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ANEXO A –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5"/>
    <w:bookmarkEnd w:id="106"/>
    <w:sectPr>
      <w:headerReference w:type="even" r:id="rId89"/>
      <w:headerReference w:type="default" r:id="rId90"/>
      <w:headerReference w:type="first" r:id="rId91"/>
      <w:pgSz w:h="16838" w:w="11906"/>
      <w:pgMar w:header="709" w:left="1701" w:right="1134" w:top="1701" w:bottom="1134" w:gutter="0" w:footer="709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4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0">
    <w:nsid w:val="AB140001"/>
    <w:multiLevelType w:val="multilevel"/>
    <w:tmpl w:val="AB140002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1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2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3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4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qFormat/>
    <w:uiPriority w:val="99"/>
    <w:rPr>
      <w:rFonts w:ascii="Arial" w:cs="Arial" w:eastAsia="Arial" w:hAnsi="Arial"/>
      <w:b/>
      <w:bCs/>
      <w:caps/>
      <w:sz w:val="28"/>
      <w:szCs w:val="28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qFormat/>
    <w:uiPriority w:val="99"/>
    <w:rPr>
      <w:rFonts w:ascii="Arial" w:cs="Arial" w:eastAsia="Arial" w:hAnsi="Arial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qFormat/>
    <w:uiPriority w:val="99"/>
    <w:rPr>
      <w:rFonts w:ascii="Arial" w:cs="Arial" w:eastAsia="Arial" w:hAnsi="Arial"/>
      <w:b/>
      <w:bCs/>
      <w:caps/>
      <w:sz w:val="28"/>
      <w:szCs w:val="28"/>
    </w:rPr>
  </w:style>
  <w:style w:customStyle="1" w:styleId="Heading2Char" w:type="character">
    <w:name w:val="Heading 2 Char"/>
    <w:basedOn w:val="DefaultParagraphFont"/>
    <w:link w:val="Heading2"/>
    <w:qFormat/>
    <w:uiPriority w:val="99"/>
    <w:rPr>
      <w:rFonts w:ascii="Arial" w:cs="Arial" w:eastAsia="Arial" w:hAnsi="Arial"/>
      <w:b/>
      <w:bCs/>
      <w:sz w:val="24"/>
      <w:szCs w:val="24"/>
    </w:rPr>
  </w:style>
  <w:style w:customStyle="1" w:styleId="Heading3Char" w:type="character">
    <w:name w:val="Heading 3 Char"/>
    <w:basedOn w:val="DefaultParagraphFont"/>
    <w:link w:val="Heading3"/>
    <w:qFormat/>
    <w:uiPriority w:val="99"/>
    <w:rPr>
      <w:rFonts w:ascii="Arial" w:cs="Arial" w:eastAsia="Arial" w:hAnsi="Arial"/>
      <w:b/>
      <w:bCs/>
      <w:i/>
      <w:iCs/>
      <w:sz w:val="24"/>
      <w:szCs w:val="24"/>
    </w:rPr>
  </w:style>
  <w:style w:customStyle="1" w:styleId="Heading4Char" w:type="character">
    <w:name w:val="Heading 4 Char"/>
    <w:basedOn w:val="DefaultParagraphFont"/>
    <w:link w:val="Heading4"/>
    <w:qFormat/>
    <w:uiPriority w:val="99"/>
    <w:rPr>
      <w:rFonts w:ascii="Arial" w:cs="Arial" w:eastAsia="Arial" w:hAnsi="Arial"/>
      <w:i/>
      <w:iCs/>
      <w:sz w:val="24"/>
      <w:szCs w:val="24"/>
    </w:rPr>
  </w:style>
  <w:style w:customStyle="1" w:styleId="Heading5Char" w:type="character">
    <w:name w:val="Heading 5 Char"/>
    <w:basedOn w:val="DefaultParagraphFont"/>
    <w:link w:val="Heading5"/>
    <w:qFormat/>
    <w:uiPriority w:val="99"/>
    <w:rPr>
      <w:rFonts w:ascii="Arial" w:cs="Arial" w:eastAsia="Arial" w:hAnsi="Arial"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  <w:qFormat/>
    <w:uiPriority w:val="99"/>
    <w:rPr>
      <w:rFonts w:ascii="Times New Roman" w:cs="Times New Roman" w:eastAsia="Times New Roman" w:hAnsi="Times New Roman"/>
      <w:sz w:val="24"/>
      <w:szCs w:val="24"/>
    </w:rPr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Emphasis" w:type="character">
    <w:name w:val="Emphasis"/>
    <w:qFormat/>
    <w:uiPriority w:val="99"/>
    <w:rPr>
      <w:i/>
      <w:iCs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Strong" w:type="character">
    <w:name w:val="Strong"/>
    <w:qFormat/>
    <w:uiPriority w:val="99"/>
    <w:rPr>
      <w:b/>
      <w:bCs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image" Id="rId22" Target="media/rId22.jpg"/><Relationship Type="http://schemas.openxmlformats.org/officeDocument/2006/relationships/image" Id="rId35" Target="media/rId35.png"/><Relationship Type="http://schemas.openxmlformats.org/officeDocument/2006/relationships/image" Id="rId32" Target="media/rId32.png"/><Relationship Type="http://schemas.openxmlformats.org/officeDocument/2006/relationships/image" Id="rId62" Target="media/rId62.png"/><Relationship Type="http://schemas.openxmlformats.org/officeDocument/2006/relationships/image" Id="rId39" Target="media/rId39.png"/><Relationship Type="http://schemas.openxmlformats.org/officeDocument/2006/relationships/hyperlink" Id="rId48" Target="@cite" TargetMode="External"/><Relationship Type="http://schemas.openxmlformats.org/officeDocument/2006/relationships/hyperlink" Id="rId76" Target="http://www.abntex.net.br/" TargetMode="External"/><Relationship Type="http://schemas.openxmlformats.org/officeDocument/2006/relationships/hyperlink" Id="rId31" Target="https://echarts.apache.org" TargetMode="External"/><Relationship Type="http://schemas.openxmlformats.org/officeDocument/2006/relationships/hyperlink" Id="rId88" Target="https://github.com/abntex/limarka" TargetMode="External"/><Relationship Type="http://schemas.openxmlformats.org/officeDocument/2006/relationships/hyperlink" Id="rId86" Target="https://quarto.org" TargetMode="External"/><Relationship Type="http://schemas.openxmlformats.org/officeDocument/2006/relationships/header" Id="rId89" Target="header1.xml"/><Relationship Type="http://schemas.openxmlformats.org/officeDocument/2006/relationships/header" Id="rId90" Target="header2.xml"/><Relationship Type="http://schemas.openxmlformats.org/officeDocument/2006/relationships/header" Id="rId91" Target="header3.xml"/><Relationship Type="http://schemas.openxmlformats.org/officeDocument/2006/relationships/header" Id="rId92" Target="header4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2026-03-02T01:23:04Z</dcterms:created>
  <dcterms:modified xsi:type="dcterms:W3CDTF">2026-03-02T01:23:04Z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