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35.png" ContentType="image/png"/>
  <Override PartName="/word/media/rId32.png" ContentType="image/png"/>
  <Override PartName="/word/media/rId62.png" ContentType="image/png"/>
  <Override PartName="/word/media/rId3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ABALHO_ACADEMICO"/>
    <w:bookmarkEnd w:id="20"/>
    <w:p>
      <w:pPr>
        <w:spacing w:before="144"/>
      </w:pPr>
    </w:p>
    <w:p>
      <w:pPr>
        <w:pStyle w:val="CoverAuthor"/>
      </w:pPr>
      <w:r>
        <w:t>SpecCompiler Team</w:t>
      </w:r>
    </w:p>
    <w:p>
      <w:pPr>
        <w:spacing w:before="4752"/>
      </w:pPr>
    </w:p>
    <w:p>
      <w:pPr>
        <w:pStyle w:val="CoverTitle"/>
      </w:pPr>
      <w:r>
        <w:t>CRIANDO TRABALHOS ACADÊMICOS COM SPECCOMPILER: GUIA PRÁTICO DO TEMPLATE ABNT</w:t>
      </w:r>
    </w:p>
    <w:p>
      <w:pPr>
        <w:pStyle w:val="CoverLocation"/>
        <w:framePr w:xAlign="center" w:vAnchor="page" w:wrap="none" w:y="14604" w:hAnchor="margin"/>
      </w:pPr>
      <w:r>
        <w:t>Online</w:t>
      </w:r>
    </w:p>
    <w:p>
      <w:pPr>
        <w:pStyle w:val="CoverYear"/>
        <w:framePr w:xAlign="center" w:vAnchor="page" w:wrap="none" w:y="15104" w:hAnchor="margin"/>
      </w:pPr>
      <w:r>
        <w:t>2026</w:t>
      </w:r>
    </w:p>
    <w:p>
      <w:pPr>
        <w:sectPr>
          <w:type w:val="oddPage"/>
          <w:pgSz w:w="11906" w:orient="portrait" w:h="16838"/>
          <w:pgMar w:footer="709" w:right="1134" w:top="1701" w:bottom="1134" w:gutter="0" w:header="709" w:left="1701"/>
          <w:cols w:space="708"/>
          <w:docGrid w:linePitch="360"/>
        </w:sectPr>
      </w:pPr>
    </w:p>
    <w:p>
      <w:pPr>
        <w:pStyle w:val="TitlePageAuthor"/>
      </w:pPr>
      <w:r>
        <w:t>SpecCompiler Team</w:t>
      </w:r>
    </w:p>
    <w:p>
      <w:pPr>
        <w:spacing w:before="3600"/>
      </w:pPr>
    </w:p>
    <w:p>
      <w:pPr>
        <w:pStyle w:val="TitlePageTitle"/>
      </w:pPr>
      <w:r>
        <w:t>CRIANDO TRABALHOS ACADÊMICOS COM SPECCOMPILER: GUIA PRÁTICO DO TEMPLATE ABNT</w:t>
      </w:r>
    </w:p>
    <w:p>
      <w:pPr>
        <w:spacing w:before="2160"/>
      </w:pPr>
    </w:p>
    <w:p>
      <w:pPr>
        <w:pStyle w:val="TitlePageNature"/>
      </w:pPr>
      <w:r>
        <w:t>Documento de exemplo e tutorial que demonstra as funcionalidades do template ABNT do SpecCompiler para criação de trabalhos acadêmicos conforme as normas da ABNT NBR 14724.</w:t>
      </w:r>
    </w:p>
    <w:p>
      <w:pPr>
        <w:spacing w:before="1440"/>
      </w:pPr>
    </w:p>
    <w:p>
      <w:pPr>
        <w:pStyle w:val="TitlePageAdvisor"/>
      </w:pPr>
      <w:r>
        <w:t>Orientador: Este documento é auto-demonstrativo</w:t>
      </w:r>
    </w:p>
    <w:p>
      <w:pPr>
        <w:pStyle w:val="TitlePageLocation"/>
        <w:framePr w:xAlign="center" w:vAnchor="page" w:wrap="none" w:y="14604" w:hAnchor="margin"/>
      </w:pPr>
      <w:r>
        <w:t>Online</w:t>
      </w:r>
    </w:p>
    <w:p>
      <w:pPr>
        <w:pStyle w:val="TitlePageYear"/>
        <w:framePr w:xAlign="center" w:vAnchor="page" w:wrap="none" w:y="15104" w:hAnchor="margin"/>
      </w:pPr>
      <w:r>
        <w:t>2026</w:t>
      </w:r>
    </w:p>
    <w:p>
      <w:pPr>
        <w:spacing w:before="0" w:after="0" w:lineRule="auto" w:line="240"/>
      </w:pPr>
      <w:r>
        <w:br w:type="page"/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type="dxa" w:w="57"/>
          <w:left w:type="dxa" w:w="108"/>
          <w:bottom w:type="dxa" w:w="57"/>
          <w:right w:type="dxa" w:w="108"/>
        </w:tblCellMar>
      </w:tblPr>
      <w:tr>
        <w:trPr>
          <w:trHeight w:hRule="atLeast" w:val="13700"/>
        </w:trPr>
        <w:tc>
          <w:tcPr>
            <w:tcW w:w="5000" w:type="pct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Dedication"/>
            </w:pPr>
            <w:r>
              <w:t>Este documento é dedicado a todos que buscam uma forma mais simples de criar trabalhos acadêmicos sem abrir mão da conformidade com as normas ABNT.</w:t>
            </w:r>
          </w:p>
        </w:tc>
      </w:tr>
    </w:tbl>
    <w:p>
      <w:pPr>
        <w:spacing w:before="0" w:after="0" w:lineRule="auto" w:line="240"/>
      </w:pPr>
      <w:r>
        <w:br w:type="page"/>
      </w:r>
    </w:p>
    <w:p>
      <w:pPr>
        <w:pStyle w:val="UnnumberedHeading"/>
      </w:pPr>
      <w:r>
        <w:t>AGRADECIMENTOS</w:t>
      </w:r>
    </w:p>
    <w:p>
      <w:pPr>
        <w:pStyle w:val="FirstParagraph"/>
      </w:pPr>
      <w:r>
        <w:t xml:space="preserve">Agradecemos à comunidade de software livre, especialmente aos desenvolvedores do Pandoc e SQLite, que tornaram possível a criação do SpecCompiler.</w:t>
      </w:r>
    </w:p>
    <w:p>
      <w:pPr>
        <w:spacing w:before="0" w:after="0" w:lineRule="auto" w:line="240"/>
      </w:pPr>
      <w:r>
        <w:br w:type="page"/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type="dxa" w:w="57"/>
          <w:left w:type="dxa" w:w="108"/>
          <w:bottom w:type="dxa" w:w="57"/>
          <w:right w:type="dxa" w:w="108"/>
        </w:tblCellMar>
      </w:tblPr>
      <w:tr>
        <w:trPr>
          <w:trHeight w:hRule="atLeast" w:val="13700"/>
        </w:trPr>
        <w:tc>
          <w:tcPr>
            <w:tcW w:w="5000" w:type="pct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Epigraph"/>
            </w:pPr>
            <w:r>
              <w:t>Simplicidade é a sofisticação máxima.
    Leonardo da Vinci</w:t>
            </w:r>
          </w:p>
        </w:tc>
      </w:tr>
    </w:tbl>
    <w:p>
      <w:pPr>
        <w:spacing w:before="0" w:after="0" w:lineRule="auto" w:line="240"/>
      </w:pPr>
      <w:r>
        <w:br w:type="page"/>
      </w:r>
    </w:p>
    <w:p>
      <w:pPr>
        <w:pStyle w:val="UnnumberedHeading"/>
      </w:pPr>
      <w:r>
        <w:t>RESUMO</w:t>
      </w:r>
    </w:p>
    <w:p>
      <w:pPr>
        <w:pStyle w:val="Resumo"/>
      </w:pPr>
      <w:r>
        <w:t xml:space="preserve">Este documento serve como tutorial e demonstração do template Associação Brasileira de Normas Técnicas (ABNT) do SpecCompiler. Através de uma estrutura auto-referencial, apresenta-se como criar trabalhos acadêmicos em formato Markdown que são automaticamente convertidos para documentos DOCX em conformidade com a NBR 14724</w:t>
      </w:r>
      <w:r>
        <w:t xml:space="preserve"> </w:t>
      </w:r>
      <w:r>
        <w:t xml:space="preserve">(</w:t>
      </w:r>
      <w:r>
        <w:t xml:space="preserve">NBR</w:t>
      </w:r>
      <w:r>
        <w:t xml:space="preserve"> </w:t>
      </w:r>
      <w:r>
        <w:t xml:space="preserve">14724, 2011)</w:t>
      </w:r>
      <w:r>
        <w:t xml:space="preserve">. São demonstradas as funcionalidades de elementos pré-textuais, textuais e pós-textuais, além de recursos como tabelas, quadros, gráficos baseados em dados, figuras, citações bibliográficas e listas automáticas de siglas, figuras e tabelas.</w:t>
      </w:r>
    </w:p>
    <w:p>
      <w:pPr>
        <w:pStyle w:val="BlockText"/>
      </w:pPr>
      <w:r>
        <w:t xml:space="preserve">Palavras-chave: SpecCompiler, ABNT, markdown, trabalhos acadêmicos, NBR 14724.</w:t>
      </w:r>
    </w:p>
    <w:p>
      <w:pPr>
        <w:spacing w:before="0" w:after="0" w:lineRule="auto" w:line="240"/>
      </w:pPr>
      <w:r>
        <w:br w:type="page"/>
      </w:r>
    </w:p>
    <w:p>
      <w:pPr>
        <w:pStyle w:val="UnnumberedHeading"/>
      </w:pPr>
      <w:r>
        <w:t>ABSTRACT</w:t>
      </w:r>
    </w:p>
    <w:p>
      <w:pPr>
        <w:pStyle w:val="Abstract"/>
      </w:pPr>
      <w:r>
        <w:t xml:space="preserve">This document serves as a tutorial and demonstration of the SpecCompiler ABNT template. Through a self-referential structure, it presents how to create academic works in Markdown format that are automatically converted to DOCX documents in compliance with NBR 14724. The functionalities of pre-textual, textual and post-textual elements are demonstrated, as well as features such as tables, frames, data-driven charts, figures, bibliographic citations and automatic lists of abbreviations, figures and tables.</w:t>
      </w:r>
    </w:p>
    <w:p>
      <w:pPr>
        <w:spacing w:before="0" w:after="0" w:lineRule="auto" w:line="240"/>
      </w:pPr>
      <w:r>
        <w:br w:type="page"/>
      </w:r>
    </w:p>
    <w:p>
      <w:pPr>
        <w:pStyle w:val="UnnumberedHeading"/>
      </w:pPr>
      <w:r>
        <w:t>LISTA DE FIGURAS</w:t>
      </w:r>
    </w:p>
    <w:p>
      <w:pPr>
        <w:pStyle w:val="TOC1"/>
        <w:tabs>
          <w:tab w:val="right" w:leader="dot" w:pos="9350"/>
        </w:tabs>
      </w:pPr>
      <w:hyperlink w:anchor="fig-capybara">
        <w:r>
          <w:t>Figura 1 - Capivara descansando - exemplo de figura com legenda</w:t>
        </w:r>
        <w:r>
          <w:tab/>
        </w:r>
        <w:r>
          <w:fldChar w:fldCharType="begin"/>
        </w:r>
        <w:r>
          <w:instrText xml:space="preserve"> PAGEREF fig-capybara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</w:pPr>
      <w:hyperlink w:anchor="puml-fluxo-documento">
        <w:r>
          <w:t>Figura 2 - Fluxo de criação de documento acadêmico</w:t>
        </w:r>
        <w:r>
          <w:tab/>
        </w:r>
        <w:r>
          <w:fldChar w:fldCharType="begin"/>
        </w:r>
        <w:r>
          <w:instrText xml:space="preserve"> PAGEREF puml-fluxo-documento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spacing w:before="0" w:after="0" w:lineRule="auto" w:line="240"/>
      </w:pPr>
      <w:r>
        <w:br w:type="page"/>
      </w:r>
    </w:p>
    <w:p>
      <w:pPr>
        <w:pStyle w:val="UnnumberedHeading"/>
      </w:pPr>
      <w:r>
        <w:t>LISTA DE TABELAS</w:t>
      </w:r>
    </w:p>
    <w:p>
      <w:pPr>
        <w:pStyle w:val="TOC1"/>
        <w:tabs>
          <w:tab w:val="right" w:leader="dot" w:pos="9350"/>
        </w:tabs>
      </w:pPr>
      <w:hyperlink w:anchor="tab-source-syntax">
        <w:r>
          <w:t>Tabela 1 - Sintaxe do atributo source</w:t>
        </w:r>
        <w:r>
          <w:tab/>
        </w:r>
        <w:r>
          <w:fldChar w:fldCharType="begin"/>
        </w:r>
        <w:r>
          <w:instrText xml:space="preserve"> PAGEREF tab-source-syntax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</w:pPr>
      <w:hyperlink w:anchor="tab-elementos-pretextuais">
        <w:r>
          <w:t>Tabela 2 - Elementos pré-textuais conforme NBR 14724</w:t>
        </w:r>
        <w:r>
          <w:tab/>
        </w:r>
        <w:r>
          <w:fldChar w:fldCharType="begin"/>
        </w:r>
        <w:r>
          <w:instrText xml:space="preserve"> PAGEREF tab-elementos-pretextuais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</w:pPr>
      <w:hyperlink w:anchor="tab-dados-regionais">
        <w:r>
          <w:t>Tabela 3 - Dados regionais — exemplo de tabela CSV</w:t>
        </w:r>
        <w:r>
          <w:tab/>
        </w:r>
        <w:r>
          <w:fldChar w:fldCharType="begin"/>
        </w:r>
        <w:r>
          <w:instrText xml:space="preserve"> PAGEREF tab-dados-regionais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spacing w:before="0" w:after="0" w:lineRule="auto" w:line="240"/>
      </w:pPr>
      <w:r>
        <w:br w:type="page"/>
      </w:r>
    </w:p>
    <w:p>
      <w:pPr>
        <w:pStyle w:val="UnnumberedHeading"/>
      </w:pPr>
      <w:r>
        <w:t>LISTA DE ABREVIATURAS E SIGLAS</w:t>
      </w:r>
    </w:p>
    <w:p>
      <w:pPr>
        <w:tabs>
          <w:tab w:val="left" w:pos="1701"/>
        </w:tabs>
        <w:spacing w:after="120" w:line="240" w:lineRule="auto"/>
      </w:pPr>
      <w:r>
        <w:t>ABNT</w:t>
      </w:r>
      <w:r>
        <w:tab/>
      </w:r>
      <w:r>
        <w:t>Associação Brasileira de Normas Técnicas</w:t>
      </w:r>
    </w:p>
    <w:p>
      <w:pPr>
        <w:tabs>
          <w:tab w:val="left" w:pos="1701"/>
        </w:tabs>
        <w:spacing w:after="120" w:line="240" w:lineRule="auto"/>
      </w:pPr>
      <w:r>
        <w:t>APA</w:t>
      </w:r>
      <w:r>
        <w:tab/>
      </w:r>
      <w:r>
        <w:t>American Psychological Association</w:t>
      </w:r>
    </w:p>
    <w:p>
      <w:pPr>
        <w:tabs>
          <w:tab w:val="left" w:pos="1701"/>
        </w:tabs>
        <w:spacing w:after="120" w:line="240" w:lineRule="auto"/>
      </w:pPr>
      <w:r>
        <w:t>IBGE</w:t>
      </w:r>
      <w:r>
        <w:tab/>
      </w:r>
      <w:r>
        <w:t>Instituto Brasileiro de Geografia e Estatística</w:t>
      </w:r>
    </w:p>
    <w:p>
      <w:pPr>
        <w:tabs>
          <w:tab w:val="left" w:pos="1701"/>
        </w:tabs>
        <w:spacing w:after="120" w:line="240" w:lineRule="auto"/>
      </w:pPr>
      <w:r>
        <w:t>IEEE</w:t>
      </w:r>
      <w:r>
        <w:tab/>
      </w:r>
      <w:r>
        <w:t>Institute of Electrical and Electronics Engineers</w:t>
      </w:r>
    </w:p>
    <w:p>
      <w:pPr>
        <w:tabs>
          <w:tab w:val="left" w:pos="1701"/>
        </w:tabs>
        <w:spacing w:after="120" w:line="240" w:lineRule="auto"/>
      </w:pPr>
      <w:r>
        <w:t>OOXML</w:t>
      </w:r>
      <w:r>
        <w:tab/>
      </w:r>
      <w:r>
        <w:t>Office Open XML</w:t>
      </w:r>
    </w:p>
    <w:p>
      <w:pPr>
        <w:tabs>
          <w:tab w:val="left" w:pos="1701"/>
        </w:tabs>
        <w:spacing w:after="120" w:line="240" w:lineRule="auto"/>
      </w:pPr>
      <w:r>
        <w:t>specc</w:t>
      </w:r>
      <w:r>
        <w:tab/>
      </w:r>
      <w:r>
        <w:t>SpecCompiler</w:t>
      </w:r>
    </w:p>
    <w:p>
      <w:pPr>
        <w:tabs>
          <w:tab w:val="left" w:pos="1701"/>
        </w:tabs>
        <w:spacing w:after="120" w:line="240" w:lineRule="auto"/>
      </w:pPr>
      <w:r>
        <w:t>UML</w:t>
      </w:r>
      <w:r>
        <w:tab/>
      </w:r>
      <w:r>
        <w:t>Unified Modeling Language</w:t>
      </w:r>
    </w:p>
    <w:p>
      <w:pPr>
        <w:spacing w:before="0" w:after="0" w:lineRule="auto" w:line="240"/>
      </w:pPr>
      <w:r>
        <w:br w:type="page"/>
      </w:r>
    </w:p>
    <w:p>
      <w:pPr>
        <w:pStyle w:val="TOCHeading"/>
      </w:pPr>
      <w:r>
        <w:t>SUMÁRIO</w:t>
      </w:r>
    </w:p>
    <w:p>
      <w:r>
        <w:fldChar w:fldCharType="begin"/>
      </w:r>
      <w:r>
        <w:instrText xml:space="preserve"> TOC \o "1-3" \t "UnnumberedHeading,1" \h </w:instrText>
      </w:r>
      <w:r>
        <w:fldChar w:fldCharType="separate"/>
      </w:r>
    </w:p>
    <w:p>
      <w:r>
        <w:fldChar w:fldCharType="end"/>
      </w:r>
    </w:p>
    <w:p>
      <w:pPr>
        <w:spacing w:before="0" w:after="0" w:lineRule="auto" w:line="240"/>
        <w:sectPr>
          <w:headerReference r:id="rId92" w:type="even"/>
          <w:headerReference r:id="rId91" w:type="default"/>
          <w:headerReference r:id="rId91" w:type="first"/>
          <w:pgSz w:h="16838" w:w="11906"/>
          <w:pgMar w:footer="709" w:top="1701" w:header="709" w:bottom="1134" w:gutter="0" w:left="1701" w:right="1134"/>
          <w:pgNumType w:start="1" w:fmt="lowerRoman"/>
          <w:cols w:space="708"/>
          <w:titlePg/>
          <w:docGrid w:linePitch="360"/>
        </w:sectPr>
      </w:pPr>
      <w:r>
        <w:br w:type="page"/>
      </w:r>
    </w:p>
    <w:bookmarkStart w:id="21" w:name="INTRODUCTION-001"/>
    <w:p>
      <w:pPr>
        <w:pStyle w:val="Heading1"/>
        <w:numPr>
          <w:ilvl w:val="0"/>
          <w:numId w:val="1"/>
        </w:numPr>
      </w:pPr>
      <w:r>
        <w:t xml:space="preserve">Introdução</w:t>
      </w:r>
    </w:p>
    <w:bookmarkEnd w:id="21"/>
    <w:p>
      <w:pPr>
        <w:pStyle w:val="FirstParagraph"/>
      </w:pPr>
      <w:r>
        <w:t xml:space="preserve">Ferramentas como Limarka</w:t>
      </w:r>
      <w:r>
        <w:t xml:space="preserve"> </w:t>
      </w:r>
      <w:r>
        <w:t xml:space="preserve">(Vieira, 2016)</w:t>
      </w:r>
      <w:r>
        <w:t xml:space="preserve">, Quarto</w:t>
      </w:r>
      <w:r>
        <w:t xml:space="preserve"> </w:t>
      </w:r>
      <w:r>
        <w:t xml:space="preserve">(Posit PBC, 2022)</w:t>
      </w:r>
      <w:r>
        <w:t xml:space="preserve"> </w:t>
      </w:r>
      <w:r>
        <w:t xml:space="preserve">e RMarkdown permiter escrever em Markdown e obter documentos academicamente formatados através do LaTeX.</w:t>
      </w:r>
    </w:p>
    <w:p>
      <w:pPr>
        <w:pStyle w:val="BodyText"/>
      </w:pPr>
      <w:r>
        <w:t xml:space="preserve">A necessidade de instalar uma distribuição TeX completa (aproximadamente 4GB) e eventualmente depurar erros crípticos de compilação LaTeX contradiz a simplicidade prometida pelo Markdown. Há ainda o problema do formato de saída. PDFs são destinos finais, não documentos de trabalho.</w:t>
      </w:r>
    </w:p>
    <w:p>
      <w:pPr>
        <w:pStyle w:val="BodyText"/>
      </w:pPr>
      <w:r>
        <w:t xml:space="preserve">O SpecCompiler (specc) propõe uma abordagem diferente: eliminar completamente o LaTeX da cadeia. O pipeline Markdown → SQLite → Pandoc → Office Open XML (OOXML) gera documentos DOCX nativos, editáveis, e em conformidade com as normas ABNT sem dependências pesadas ou conhecimento de LaTeX. Similar em objetivo ao abnTeX</w:t>
      </w:r>
      <w:r>
        <w:t xml:space="preserve"> </w:t>
      </w:r>
      <w:r>
        <w:t xml:space="preserve">(Araujo, 2015)</w:t>
      </w:r>
      <w:r>
        <w:t xml:space="preserve">, mas fundamentalmente diferente em implementação.</w:t>
      </w:r>
    </w:p>
    <w:p>
      <w:pPr>
        <w:pStyle w:val="BodyText"/>
      </w:pPr>
      <w:r>
        <w:t xml:space="preserve">Este documento demonstra, de forma prática, como utilizar o SpecCompiler para criar uma monografia. Cada seção é um exemplo das funcionalidades disponíveis, conforme ilustra a</w:t>
      </w:r>
      <w:r>
        <w:t xml:space="preserve"> </w:t>
      </w:r>
      <w:hyperlink w:anchor="fig-capybara">
        <w:r>
          <w:rPr>
            <w:rStyle w:val="Hyperlink"/>
          </w:rPr>
          <w:t xml:space="preserve">Figura 1</w:t>
        </w:r>
      </w:hyperlink>
      <w:r>
        <w:t xml:space="preserve">.</w:t>
      </w:r>
    </w:p>
    <w:p>
      <w:pPr>
        <w:spacing w:before="0" w:after="0" w:lineRule="exact" w:line="20"/>
        <w:rPr>
          <w:sz w:val="2"/>
        </w:rPr>
      </w:pPr>
      <w:bookmarkStart w:id="92191" w:name="fig-capybara"/>
      <w:bookmarkEnd w:id="92191"/>
    </w:p>
    <w:p>
      <w:pPr>
        <w:pStyle w:val="ImageCaption"/>
        <w:keepNext/>
      </w:pPr>
      <w:r>
        <w:t xml:space="preserve">Figura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- Capivara descansando - exemplo de figura com legenda</w:t>
      </w:r>
    </w:p>
    <w:p>
      <w:pPr>
        <w:pStyle w:val="BodyText"/>
        <w:jc w:val="center"/>
        <w:keepNext/>
      </w:pPr>
      <w:r>
        <w:drawing>
          <wp:inline>
            <wp:extent cx="5334000" cy="255009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apybara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"/>
      </w:pPr>
      <w:r>
        <w:t xml:space="preserve">Fonte: Autor</w:t>
      </w:r>
    </w:p>
    <w:bookmarkStart w:id="25" w:name="TRABALHO_ACADEMICO-sec1.1"/>
    <w:p>
      <w:pPr>
        <w:pStyle w:val="Heading2"/>
        <w:numPr>
          <w:ilvl w:val="1"/>
          <w:numId w:val="1"/>
        </w:numPr>
      </w:pPr>
      <w:r>
        <w:t xml:space="preserve">Por que SpecCompiler?</w:t>
      </w:r>
    </w:p>
    <w:p>
      <w:pPr>
        <w:pStyle w:val="FirstParagraph"/>
      </w:pPr>
      <w:r>
        <w:t xml:space="preserve">O</w:t>
      </w:r>
      <w:r>
        <w:t xml:space="preserve"> </w:t>
      </w:r>
      <w:hyperlink w:anchor="src-sintaxe-comparacao">
        <w:r>
          <w:rPr>
            <w:rStyle w:val="Hyperlink"/>
          </w:rPr>
          <w:t xml:space="preserve">Quadro 1</w:t>
        </w:r>
      </w:hyperlink>
      <w:r>
        <w:t xml:space="preserve"> </w:t>
      </w:r>
      <w:r>
        <w:t xml:space="preserve">ilustra a diferença de sintaxe entre LaTeX e Markdown:</w:t>
      </w:r>
    </w:p>
    <w:p>
      <w:pPr>
        <w:spacing w:before="0" w:after="0" w:lineRule="exact" w:line="20"/>
        <w:rPr>
          <w:sz w:val="2"/>
        </w:rPr>
      </w:pPr>
      <w:bookmarkStart w:id="34069" w:name="src-sintaxe-comparacao"/>
      <w:bookmarkEnd w:id="34069"/>
    </w:p>
    <w:p>
      <w:pPr>
        <w:pStyle w:val="Caption"/>
        <w:keepNext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Comparação de sintaxe: LaTeX vs Markdown</w:t>
      </w:r>
    </w:p>
    <w:p>
      <w:pPr>
        <w:pStyle w:val="SourceCode"/>
        <w:pBdr>
          <w:top w:val="single" w:color="000000" w:space="1" w:sz="8"/>
          <w:left w:val="single" w:color="000000" w:space="4" w:sz="8"/>
          <w:bottom w:val="single" w:color="000000" w:space="1" w:sz="8"/>
          <w:right w:val="single" w:color="000000" w:space="4" w:sz="8"/>
        </w:pBdr>
      </w:pPr>
      <w:r>
        <w:rPr>
          <w:rStyle w:val="VerbatimChar"/>
        </w:rPr>
        <w:t xml:space="preserve">LATEX                                   MARKDOWN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\section{Introdução}                    ## Introdução</w:t>
      </w:r>
      <w:r>
        <w:br/>
      </w:r>
      <w:r>
        <w:rPr>
          <w:rStyle w:val="VerbatimChar"/>
        </w:rPr>
        <w:t xml:space="preserve">\textbf{texto em negrito}               **texto em negrito**</w:t>
      </w:r>
      <w:r>
        <w:br/>
      </w:r>
      <w:r>
        <w:rPr>
          <w:rStyle w:val="VerbatimChar"/>
        </w:rPr>
        <w:t xml:space="preserve">\textit{texto em itálico}               *texto em itálico*</w:t>
      </w:r>
      <w:r>
        <w:br/>
      </w:r>
      <w:r>
        <w:rPr>
          <w:rStyle w:val="VerbatimChar"/>
        </w:rPr>
        <w:t xml:space="preserve">\begin{itemize}                         </w:t>
      </w:r>
      <w:r>
        <w:br/>
      </w:r>
      <w:r>
        <w:rPr>
          <w:rStyle w:val="VerbatimChar"/>
        </w:rPr>
        <w:t xml:space="preserve">  \item item 1                          - item 1</w:t>
      </w:r>
      <w:r>
        <w:br/>
      </w:r>
      <w:r>
        <w:rPr>
          <w:rStyle w:val="VerbatimChar"/>
        </w:rPr>
        <w:t xml:space="preserve">  \item item 2                          - item 2</w:t>
      </w:r>
      <w:r>
        <w:br/>
      </w:r>
      <w:r>
        <w:rPr>
          <w:rStyle w:val="VerbatimChar"/>
        </w:rPr>
        <w:t xml:space="preserve">  \item item 3                          - item 3 </w:t>
      </w:r>
      <w:r>
        <w:br/>
      </w:r>
      <w:r>
        <w:rPr>
          <w:rStyle w:val="VerbatimChar"/>
        </w:rPr>
        <w:t xml:space="preserve">\end{itemize}</w:t>
      </w:r>
      <w:r>
        <w:br/>
      </w:r>
      <w:r>
        <w:rPr>
          <w:rStyle w:val="VerbatimChar"/>
        </w:rPr>
        <w:t xml:space="preserve">\begin{figure}[htbp]                   ```fig:id{caption="Legenda"}</w:t>
      </w:r>
      <w:r>
        <w:br/>
      </w:r>
      <w:r>
        <w:rPr>
          <w:rStyle w:val="VerbatimChar"/>
        </w:rPr>
        <w:t xml:space="preserve">  \centering                           imagem.jpg</w:t>
      </w:r>
      <w:r>
        <w:br/>
      </w:r>
      <w:r>
        <w:rPr>
          <w:rStyle w:val="VerbatimChar"/>
        </w:rPr>
        <w:t xml:space="preserve">  \includegraphics{imagem.jpg}         ```</w:t>
      </w:r>
      <w:r>
        <w:br/>
      </w:r>
      <w:r>
        <w:rPr>
          <w:rStyle w:val="VerbatimChar"/>
        </w:rPr>
        <w:t xml:space="preserve">  \caption{Legenda}</w:t>
      </w:r>
      <w:r>
        <w:br/>
      </w:r>
      <w:r>
        <w:rPr>
          <w:rStyle w:val="VerbatimChar"/>
        </w:rPr>
        <w:t xml:space="preserve">\end{figure}</w:t>
      </w:r>
      <w:r>
        <w:br/>
      </w:r>
      <w:r>
        <w:rPr>
          <w:rStyle w:val="VerbatimChar"/>
        </w:rPr>
        <w:t xml:space="preserve">\cite{autor2024}                       [autor2024](@cite)</w:t>
      </w:r>
    </w:p>
    <w:p>
      <w:pPr>
        <w:pStyle w:val="Source"/>
      </w:pPr>
      <w:r>
        <w:t xml:space="preserve">Fonte: Elaboração própria</w:t>
      </w:r>
    </w:p>
    <w:p>
      <w:pPr>
        <w:pStyle w:val="BodyText"/>
      </w:pPr>
      <w:r>
        <w:t xml:space="preserve">As principais vantagens do SpecCompiler incluem: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Sintaxe mais simples</w:t>
      </w:r>
      <w:r>
        <w:t xml:space="preserve">: Não existem tags verbosas que dificultam a leitura da fonte.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Saída editável e colaborativa</w:t>
      </w:r>
      <w:r>
        <w:t xml:space="preserve">: Diferentemente do PDF (formato de visualização), o DOCX permite controle de alterações, comentários em linha, e revisão usando ferramentas familiares (Word, LibreOffice, Google Docs)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Banco de dados</w:t>
      </w:r>
      <w:r>
        <w:t xml:space="preserve">: Estrutura do documento em SQLite permite validação: uma monografia precisa de uma conclusão.</w:t>
      </w:r>
    </w:p>
    <w:bookmarkEnd w:id="25"/>
    <w:bookmarkStart w:id="27" w:name="TRABALHO_ACADEMICO-sec1.2"/>
    <w:p>
      <w:pPr>
        <w:pStyle w:val="Heading2"/>
        <w:numPr>
          <w:ilvl w:val="1"/>
          <w:numId w:val="1"/>
        </w:numPr>
      </w:pPr>
      <w:r>
        <w:t xml:space="preserve">Extensões ao Markdown</w:t>
      </w:r>
    </w:p>
    <w:p>
      <w:pPr>
        <w:pStyle w:val="FirstParagraph"/>
      </w:pPr>
      <w:r>
        <w:t xml:space="preserve">O Markdown original é deliberadamente minimalista e essa simplicidade tem um custo. A especificação original não contempla tabelas, fórmulas matemáticas, referências cruzadas numeradas, nem figuras com legendas e fontes. Para escrita acadêmica, essas lacunas são críticas.</w:t>
      </w:r>
    </w:p>
    <w:p>
      <w:pPr>
        <w:pStyle w:val="BodyText"/>
      </w:pPr>
      <w:r>
        <w:t xml:space="preserve">O SpecCompiler estende o Markdown com sintaxe adicional para suprir essas necessidades: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Tabelas</w:t>
      </w:r>
      <w:r>
        <w:t xml:space="preserve">: Sintaxes</w:t>
      </w:r>
      <w:r>
        <w:t xml:space="preserve"> </w:t>
      </w:r>
      <w:r>
        <w:rPr>
          <w:rStyle w:val="VerbatimChar"/>
        </w:rPr>
        <w:t xml:space="preserve">list-table: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csv:</w:t>
      </w:r>
      <w:r>
        <w:t xml:space="preserve"> </w:t>
      </w:r>
      <w:r>
        <w:t xml:space="preserve">para tabelas complexas com cabeçalhos e alinhamento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Matemática</w:t>
      </w:r>
      <w:r>
        <w:t xml:space="preserve">: Notação AsciiMath (mais simples que TeX) para equações.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Figuras numeradas</w:t>
      </w:r>
      <w:r>
        <w:t xml:space="preserve">: Blocos</w:t>
      </w:r>
      <w:r>
        <w:t xml:space="preserve"> </w:t>
      </w:r>
      <w:r>
        <w:rPr>
          <w:rStyle w:val="VerbatimChar"/>
        </w:rPr>
        <w:t xml:space="preserve">fig:</w:t>
      </w:r>
      <w:r>
        <w:t xml:space="preserve"> </w:t>
      </w:r>
      <w:r>
        <w:t xml:space="preserve">com legendas, fontes e numeração automática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Referências cruzadas</w:t>
      </w:r>
      <w:r>
        <w:t xml:space="preserve">: Links</w:t>
      </w:r>
      <w:r>
        <w:t xml:space="preserve"> </w:t>
      </w:r>
      <w:r>
        <w:rPr>
          <w:rStyle w:val="VerbatimChar"/>
        </w:rPr>
        <w:t xml:space="preserve">[type:identificador](#)</w:t>
      </w:r>
      <w:r>
        <w:t xml:space="preserve"> </w:t>
      </w:r>
      <w:r>
        <w:t xml:space="preserve">que se resolvem para</w:t>
      </w:r>
      <w:r>
        <w:t xml:space="preserve"> </w:t>
      </w:r>
      <w:r>
        <w:t xml:space="preserve">“Figura 1”</w:t>
      </w:r>
      <w:r>
        <w:t xml:space="preserve">,</w:t>
      </w:r>
      <w:r>
        <w:t xml:space="preserve"> </w:t>
      </w:r>
      <w:r>
        <w:t xml:space="preserve">“Tabela 2”</w:t>
      </w:r>
      <w:r>
        <w:t xml:space="preserve">, etc.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Quadros e listagens</w:t>
      </w:r>
      <w:r>
        <w:t xml:space="preserve">: Blocos</w:t>
      </w:r>
      <w:r>
        <w:t xml:space="preserve"> </w:t>
      </w:r>
      <w:r>
        <w:rPr>
          <w:rStyle w:val="VerbatimChar"/>
        </w:rPr>
        <w:t xml:space="preserve">listing: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src.&lt;ext&gt;:</w:t>
      </w:r>
      <w:r>
        <w:t xml:space="preserve"> </w:t>
      </w:r>
      <w:r>
        <w:t xml:space="preserve">para código com moldura ABNT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Gráficos</w:t>
      </w:r>
      <w:r>
        <w:t xml:space="preserve">: Blocos</w:t>
      </w:r>
      <w:r>
        <w:t xml:space="preserve"> </w:t>
      </w:r>
      <w:r>
        <w:rPr>
          <w:rStyle w:val="VerbatimChar"/>
        </w:rPr>
        <w:t xml:space="preserve">chart:</w:t>
      </w:r>
      <w:r>
        <w:t xml:space="preserve"> </w:t>
      </w:r>
      <w:r>
        <w:t xml:space="preserve">que consultam o banco de dados para gerar visualizações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Diagramas</w:t>
      </w:r>
      <w:r>
        <w:t xml:space="preserve">: Blocos</w:t>
      </w:r>
      <w:r>
        <w:t xml:space="preserve"> </w:t>
      </w:r>
      <w:r>
        <w:rPr>
          <w:rStyle w:val="VerbatimChar"/>
        </w:rPr>
        <w:t xml:space="preserve">puml:</w:t>
      </w:r>
      <w:r>
        <w:t xml:space="preserve"> </w:t>
      </w:r>
      <w:r>
        <w:t xml:space="preserve">para diagramas UML via PlantUML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Notas de rodapé</w:t>
      </w:r>
      <w:r>
        <w:t xml:space="preserve">: Sintaxe nativa do Pandoc</w:t>
      </w:r>
      <w:r>
        <w:rPr>
          <w:rStyle w:val="FootnoteReference"/>
        </w:rPr>
        <w:footnoteReference w:id="26"/>
      </w:r>
      <w:r>
        <w:t xml:space="preserve"> </w:t>
      </w:r>
      <w:r>
        <w:t xml:space="preserve">para notas de rodapé numeradas automaticamente</w:t>
      </w:r>
    </w:p>
    <w:p>
      <w:pPr>
        <w:pStyle w:val="FirstParagraph"/>
      </w:pPr>
      <w:r>
        <w:t xml:space="preserve">As seções seguintes demonstram cada uma dessas extensões em uso prático.</w:t>
      </w:r>
    </w:p>
    <w:bookmarkEnd w:id="27"/>
    <w:bookmarkStart w:id="28" w:name="TRABALHO_ACADEMICO-sec1.3"/>
    <w:p>
      <w:pPr>
        <w:pStyle w:val="Heading2"/>
        <w:numPr>
          <w:ilvl w:val="1"/>
          <w:numId w:val="1"/>
        </w:numPr>
      </w:pPr>
      <w:r>
        <w:t xml:space="preserve">Estrutura deste Documento</w:t>
      </w:r>
    </w:p>
    <w:p>
      <w:pPr>
        <w:pStyle w:val="FirstParagraph"/>
      </w:pPr>
      <w:r>
        <w:t xml:space="preserve">Este tutorial segue a estrutura padrão de uma monografia conforme NBR 14724</w:t>
      </w:r>
      <w:r>
        <w:t xml:space="preserve"> </w:t>
      </w:r>
      <w:r>
        <w:t xml:space="preserve">(</w:t>
      </w:r>
      <w:r>
        <w:t xml:space="preserve">NBR</w:t>
      </w:r>
      <w:r>
        <w:t xml:space="preserve"> </w:t>
      </w:r>
      <w:r>
        <w:t xml:space="preserve">14724, 2011)</w:t>
      </w:r>
      <w:r>
        <w:t xml:space="preserve">:</w:t>
      </w:r>
    </w:p>
    <w:bookmarkEnd w:id="28"/>
    <w:bookmarkStart w:id="46" w:name="TRABALHO_ACADEMICO-sec2"/>
    <w:p>
      <w:pPr>
        <w:pStyle w:val="Heading1"/>
        <w:numPr>
          <w:ilvl w:val="0"/>
          <w:numId w:val="1"/>
        </w:numPr>
      </w:pPr>
      <w:r>
        <w:t xml:space="preserve">Figuras e Ilustrações</w:t>
      </w:r>
    </w:p>
    <w:p>
      <w:pPr>
        <w:pStyle w:val="FirstParagraph"/>
      </w:pPr>
      <w:r>
        <w:t xml:space="preserve">As figuras são inseridas utilizando blocos de código com o prefixo</w:t>
      </w:r>
      <w:r>
        <w:t xml:space="preserve"> </w:t>
      </w:r>
      <w:r>
        <w:rPr>
          <w:rStyle w:val="VerbatimChar"/>
        </w:rPr>
        <w:t xml:space="preserve">fig:</w:t>
      </w:r>
      <w:r>
        <w:t xml:space="preserve"> </w:t>
      </w:r>
      <w:r>
        <w:t xml:space="preserve">seguido de um identificador único. Os atributos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definem a legenda e a fonte da ilustração.</w:t>
      </w:r>
    </w:p>
    <w:bookmarkStart w:id="29" w:name="TRABALHO_ACADEMICO-sec2.1"/>
    <w:p>
      <w:pPr>
        <w:pStyle w:val="Heading2"/>
        <w:numPr>
          <w:ilvl w:val="1"/>
          <w:numId w:val="1"/>
        </w:numPr>
      </w:pPr>
      <w:r>
        <w:t xml:space="preserve">Sintaxe Básica</w:t>
      </w:r>
    </w:p>
    <w:p>
      <w:pPr>
        <w:pStyle w:val="FirstParagraph"/>
      </w:pPr>
      <w:r>
        <w:t xml:space="preserve">Para inserir uma figura:</w:t>
      </w:r>
    </w:p>
    <w:p>
      <w:pPr>
        <w:pStyle w:val="SourceCode"/>
      </w:pPr>
      <w:r>
        <w:rPr>
          <w:rStyle w:val="VerbatimChar"/>
        </w:rPr>
        <w:t xml:space="preserve">```fig:identificador{caption="Legenda da figura" source="Fonte"}</w:t>
      </w:r>
      <w:r>
        <w:br/>
      </w:r>
      <w:r>
        <w:rPr>
          <w:rStyle w:val="VerbatimChar"/>
        </w:rPr>
        <w:t xml:space="preserve">caminho/para/imagem.jpg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A legenda é posicionada abaixo da figura, seguida da fonte — conforme exige a ABNT.</w:t>
      </w:r>
    </w:p>
    <w:bookmarkEnd w:id="29"/>
    <w:bookmarkStart w:id="38" w:name="TRABALHO_ACADEMICO-sec2.2"/>
    <w:p>
      <w:pPr>
        <w:pStyle w:val="Heading2"/>
        <w:numPr>
          <w:ilvl w:val="1"/>
          <w:numId w:val="1"/>
        </w:numPr>
      </w:pPr>
      <w:r>
        <w:t xml:space="preserve">Gráficos</w:t>
      </w:r>
    </w:p>
    <w:p>
      <w:pPr>
        <w:pStyle w:val="FirstParagraph"/>
      </w:pPr>
      <w:r>
        <w:t xml:space="preserve">Gráficos são renderizados usando ECharts</w:t>
      </w:r>
      <w:r>
        <w:rPr>
          <w:rStyle w:val="FootnoteReference"/>
        </w:rPr>
        <w:footnoteReference w:id="30"/>
      </w:r>
      <w:r>
        <w:t xml:space="preserve">, uma biblioteca de visualização de dados. O corpo do bloco contém a configuração JSON do gráfico, e os dados podem vir de duas fontes: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query</w:t>
      </w:r>
      <w:r>
        <w:t xml:space="preserve">: consulta uma view SQL do banco de dados do documento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generator</w:t>
      </w:r>
      <w:r>
        <w:t xml:space="preserve">: invoca uma função Lua que gera os dados programaticamente</w:t>
      </w:r>
    </w:p>
    <w:p>
      <w:pPr>
        <w:pStyle w:val="FirstParagraph"/>
      </w:pPr>
      <w:r>
        <w:t xml:space="preserve">A</w:t>
      </w:r>
      <w:r>
        <w:t xml:space="preserve"> </w:t>
      </w:r>
      <w:hyperlink w:anchor="echarts-abnt-types">
        <w:r>
          <w:rPr>
            <w:rStyle w:val="Hyperlink"/>
          </w:rPr>
          <w:t xml:space="preserve">Gráfico 1</w:t>
        </w:r>
      </w:hyperlink>
      <w:r>
        <w:t xml:space="preserve"> </w:t>
      </w:r>
      <w:r>
        <w:t xml:space="preserve">demonstra o uso de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, os dados vêm diretamente do próprio documento, mostrando a distribuição dos tipos ABNT utilizados nesta monografia:</w:t>
      </w:r>
    </w:p>
    <w:p>
      <w:pPr>
        <w:spacing w:before="0" w:after="0" w:lineRule="exact" w:line="20"/>
        <w:rPr>
          <w:sz w:val="2"/>
        </w:rPr>
      </w:pPr>
      <w:bookmarkStart w:id="88263" w:name="echarts-abnt-types"/>
      <w:bookmarkEnd w:id="88263"/>
    </w:p>
    <w:p>
      <w:pPr>
        <w:pStyle w:val="Caption"/>
        <w:keepNext/>
      </w:pPr>
      <w:r>
        <w:t xml:space="preserve">Gráfico </w:t>
      </w:r>
      <w:r>
        <w:fldChar w:fldCharType="begin"/>
      </w:r>
      <w:r>
        <w:instrText xml:space="preserve"> SEQ Grafico \* ARABIC </w:instrText>
      </w:r>
      <w:r>
        <w:fldChar w:fldCharType="separate"/>
      </w:r>
      <w:r>
        <w:t>1</w:t>
      </w:r>
      <w:r>
        <w:fldChar w:fldCharType="end"/>
      </w:r>
      <w:r>
        <w:t xml:space="preserve"> – Tipos ABNT utilizados neste documento</w:t>
      </w:r>
    </w:p>
    <w:p>
      <w:pPr>
        <w:pStyle w:val="BodyText"/>
        <w:jc w:val="center"/>
        <w:keepNext/>
      </w:pPr>
      <w:r>
        <w:drawing>
          <wp:inline>
            <wp:extent cx="5334000" cy="3556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harts/4c6d4369fa7295fa98ffacd6746ddd99658dd3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Para o template ABNT, geradores Lua são particularmente úteis para visualizar funções matemáticas como a</w:t>
      </w:r>
      <w:r>
        <w:t xml:space="preserve"> </w:t>
      </w:r>
      <w:hyperlink w:anchor="echarts-curva-gauss">
        <w:r>
          <w:rPr>
            <w:rStyle w:val="Hyperlink"/>
          </w:rPr>
          <w:t xml:space="preserve">Gráfico 2</w:t>
        </w:r>
      </w:hyperlink>
      <w:r>
        <w:t xml:space="preserve">, que renderiza a distribuição normal a partir de parâmetros:</w:t>
      </w:r>
    </w:p>
    <w:p>
      <w:pPr>
        <w:spacing w:before="0" w:after="0" w:lineRule="exact" w:line="20"/>
        <w:rPr>
          <w:sz w:val="2"/>
        </w:rPr>
      </w:pPr>
      <w:bookmarkStart w:id="95399" w:name="echarts-curva-gauss"/>
      <w:bookmarkEnd w:id="95399"/>
    </w:p>
    <w:p>
      <w:pPr>
        <w:pStyle w:val="Caption"/>
        <w:keepNext/>
      </w:pPr>
      <w:r>
        <w:t xml:space="preserve">Gráfico </w:t>
      </w:r>
      <w:r>
        <w:fldChar w:fldCharType="begin"/>
      </w:r>
      <w:r>
        <w:instrText xml:space="preserve"> SEQ Grafico \* ARABIC </w:instrText>
      </w:r>
      <w:r>
        <w:fldChar w:fldCharType="separate"/>
      </w:r>
      <w:r>
        <w:t>1</w:t>
      </w:r>
      <w:r>
        <w:fldChar w:fldCharType="end"/>
      </w:r>
      <w:r>
        <w:t xml:space="preserve"> – Distribuição Normal — gerada via Lua</w:t>
      </w:r>
    </w:p>
    <w:p>
      <w:pPr>
        <w:pStyle w:val="BodyText"/>
        <w:jc w:val="center"/>
        <w:keepNext/>
      </w:pPr>
      <w:r>
        <w:drawing>
          <wp:inline>
            <wp:extent cx="5334000" cy="3556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harts/21468ec6b9799a11b9456214de801899cff2cc7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TRABALHO_ACADEMICO-sec2.3"/>
    <w:p>
      <w:pPr>
        <w:pStyle w:val="Heading2"/>
        <w:numPr>
          <w:ilvl w:val="1"/>
          <w:numId w:val="1"/>
        </w:numPr>
      </w:pPr>
      <w:r>
        <w:t xml:space="preserve">Diagramas PlantUML</w:t>
      </w:r>
    </w:p>
    <w:p>
      <w:pPr>
        <w:pStyle w:val="FirstParagraph"/>
      </w:pPr>
      <w:r>
        <w:t xml:space="preserve">Diagramas Unified Modeling Language (UML) podem ser gerados a partir de código PlantUML. O sistema processa os diagramas em paralelo para melhor desempenho.</w:t>
      </w:r>
    </w:p>
    <w:p>
      <w:pPr>
        <w:pStyle w:val="BodyText"/>
      </w:pPr>
      <w:r>
        <w:t xml:space="preserve">A</w:t>
      </w:r>
      <w:r>
        <w:t xml:space="preserve"> </w:t>
      </w:r>
      <w:hyperlink w:anchor="puml-fluxo-documento">
        <w:r>
          <w:rPr>
            <w:rStyle w:val="Hyperlink"/>
          </w:rPr>
          <w:t xml:space="preserve">Figura 2</w:t>
        </w:r>
      </w:hyperlink>
      <w:r>
        <w:t xml:space="preserve"> </w:t>
      </w:r>
      <w:r>
        <w:t xml:space="preserve">ilustra o fluxo básico de criação de um documento:</w:t>
      </w:r>
    </w:p>
    <w:p>
      <w:pPr>
        <w:spacing w:before="0" w:after="0" w:lineRule="exact" w:line="20"/>
        <w:rPr>
          <w:sz w:val="2"/>
        </w:rPr>
      </w:pPr>
      <w:bookmarkStart w:id="97029" w:name="puml-fluxo-documento"/>
      <w:bookmarkEnd w:id="97029"/>
    </w:p>
    <w:p>
      <w:pPr>
        <w:pStyle w:val="Caption"/>
        <w:keepNext/>
      </w:pPr>
      <w:r>
        <w:t xml:space="preserve">Figura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– Fluxo de criação de documento acadêmico</w:t>
      </w:r>
    </w:p>
    <w:p>
      <w:pPr>
        <w:pStyle w:val="BodyText"/>
        <w:jc w:val="center"/>
        <w:keepNext/>
      </w:pPr>
      <w:r>
        <w:drawing>
          <wp:inline>
            <wp:extent cx="5334000" cy="52398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iagrams/0585f058e22f1682a2da88694715878b56c4a60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9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5" w:name="TRABALHO_ACADEMICO-sec2.4"/>
    <w:p>
      <w:pPr>
        <w:pStyle w:val="Heading2"/>
        <w:numPr>
          <w:ilvl w:val="1"/>
          <w:numId w:val="1"/>
        </w:numPr>
      </w:pPr>
      <w:r>
        <w:t xml:space="preserve">Atributos Comuns para Elementos Visuais</w:t>
      </w:r>
    </w:p>
    <w:p>
      <w:pPr>
        <w:pStyle w:val="FirstParagraph"/>
      </w:pPr>
      <w:r>
        <w:t xml:space="preserve">Os elementos</w:t>
      </w:r>
      <w:r>
        <w:t xml:space="preserve"> </w:t>
      </w:r>
      <w:r>
        <w:rPr>
          <w:rStyle w:val="VerbatimChar"/>
        </w:rPr>
        <w:t xml:space="preserve">fig:</w:t>
      </w:r>
      <w:r>
        <w:t xml:space="preserve">,</w:t>
      </w:r>
      <w:r>
        <w:t xml:space="preserve"> </w:t>
      </w:r>
      <w:r>
        <w:rPr>
          <w:rStyle w:val="VerbatimChar"/>
        </w:rPr>
        <w:t xml:space="preserve">puml: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chart:</w:t>
      </w:r>
      <w:r>
        <w:t xml:space="preserve"> </w:t>
      </w:r>
      <w:r>
        <w:t xml:space="preserve">suportam atributos adicionais para controle de dimensões e fonte.</w:t>
      </w:r>
    </w:p>
    <w:bookmarkStart w:id="43" w:name="TRABALHO_ACADEMICO-sec2.4.1"/>
    <w:p>
      <w:pPr>
        <w:pStyle w:val="Heading3"/>
        <w:numPr>
          <w:ilvl w:val="2"/>
          <w:numId w:val="1"/>
        </w:numPr>
      </w:pPr>
      <w:r>
        <w:t xml:space="preserve">Dimensões (width e height)</w:t>
      </w:r>
    </w:p>
    <w:p>
      <w:pPr>
        <w:pStyle w:val="FirstParagraph"/>
      </w:pPr>
      <w:r>
        <w:t xml:space="preserve">Para controlar o tamanho dos elementos visuais:</w:t>
      </w:r>
    </w:p>
    <w:p>
      <w:pPr>
        <w:pStyle w:val="SourceCode"/>
      </w:pPr>
      <w:r>
        <w:rPr>
          <w:rStyle w:val="VerbatimChar"/>
        </w:rPr>
        <w:t xml:space="preserve">```fig:exemplo{caption="Figura redimensionada" width="300" height="200"}</w:t>
      </w:r>
      <w:r>
        <w:br/>
      </w:r>
      <w:r>
        <w:rPr>
          <w:rStyle w:val="VerbatimChar"/>
        </w:rPr>
        <w:t xml:space="preserve">imagem.jpg</w:t>
      </w:r>
      <w:r>
        <w:br/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4"/>
        </w:numPr>
      </w:pPr>
      <w:r>
        <w:t xml:space="preserve">Valores numéricos são interpretados como pixels:</w:t>
      </w:r>
      <w:r>
        <w:t xml:space="preserve"> </w:t>
      </w:r>
      <w:r>
        <w:rPr>
          <w:rStyle w:val="VerbatimChar"/>
        </w:rPr>
        <w:t xml:space="preserve">width="400"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400px</w:t>
      </w:r>
    </w:p>
    <w:p>
      <w:pPr>
        <w:pStyle w:val="Compact"/>
        <w:numPr>
          <w:ilvl w:val="0"/>
          <w:numId w:val="1004"/>
        </w:numPr>
      </w:pPr>
      <w:r>
        <w:t xml:space="preserve">Unidades CSS são suportadas:</w:t>
      </w:r>
      <w:r>
        <w:t xml:space="preserve"> </w:t>
      </w:r>
      <w:r>
        <w:rPr>
          <w:rStyle w:val="VerbatimChar"/>
        </w:rPr>
        <w:t xml:space="preserve">width="50%"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width="10cm"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height="3in"</w:t>
      </w:r>
    </w:p>
    <w:p>
      <w:pPr>
        <w:pStyle w:val="Compact"/>
        <w:numPr>
          <w:ilvl w:val="0"/>
          <w:numId w:val="1004"/>
        </w:numPr>
      </w:pPr>
      <w:r>
        <w:t xml:space="preserve">Se apenas um atributo for informado, o outro é ajustado proporcionalmente (mantendo aspect ratio)</w:t>
      </w:r>
    </w:p>
    <w:p>
      <w:pPr>
        <w:pStyle w:val="Compact"/>
        <w:numPr>
          <w:ilvl w:val="0"/>
          <w:numId w:val="1004"/>
        </w:numPr>
      </w:pPr>
      <w:r>
        <w:t xml:space="preserve">Para gráficos (</w:t>
      </w:r>
      <w:r>
        <w:rPr>
          <w:rStyle w:val="VerbatimChar"/>
        </w:rPr>
        <w:t xml:space="preserve">chart:</w:t>
      </w:r>
      <w:r>
        <w:t xml:space="preserve">), os valores padrão são 600×400 pixels</w:t>
      </w:r>
    </w:p>
    <w:p>
      <w:pPr>
        <w:pStyle w:val="Compact"/>
        <w:numPr>
          <w:ilvl w:val="0"/>
          <w:numId w:val="1004"/>
        </w:numPr>
      </w:pPr>
      <w:r>
        <w:t xml:space="preserve">Ambos os atributos são opcionais</w:t>
      </w:r>
    </w:p>
    <w:bookmarkEnd w:id="43"/>
    <w:bookmarkStart w:id="44" w:name="TRABALHO_ACADEMICO-sec2.4.2"/>
    <w:p>
      <w:pPr>
        <w:pStyle w:val="Heading3"/>
        <w:numPr>
          <w:ilvl w:val="2"/>
          <w:numId w:val="1"/>
        </w:numPr>
      </w:pPr>
      <w:r>
        <w:t xml:space="preserve">Atributo source</w:t>
      </w:r>
    </w:p>
    <w:p>
      <w:pPr>
        <w:pStyle w:val="FirstParagraph"/>
      </w:pPr>
      <w:r>
        <w:t xml:space="preserve">O atributo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define a fonte da ilustração conforme ABNT:</w:t>
      </w:r>
    </w:p>
    <w:p>
      <w:pPr>
        <w:spacing w:before="0" w:after="0" w:lineRule="exact" w:line="20"/>
        <w:rPr>
          <w:sz w:val="2"/>
        </w:rPr>
      </w:pPr>
      <w:bookmarkStart w:id="33598" w:name="tab-source-syntax"/>
      <w:bookmarkEnd w:id="33598"/>
    </w:p>
    <w:p>
      <w:pPr>
        <w:pStyle w:val="TableCaption"/>
        <w:keepNext/>
      </w:pPr>
      <w:r>
        <w:t xml:space="preserve">Tabela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- Sintaxe do atributo source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color="000000" w:space="0" w:sz="8"/>
          <w:left w:val="nil"/>
          <w:bottom w:val="single" w:color="000000" w:space="0" w:sz="8"/>
          <w:right w:val="nil"/>
          <w:insideH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color="000000" w:space="0" w:sz="4"/>
            </w:tcBorders>
          </w:tcPr>
          <w:p>
            <w:pPr>
              <w:pStyle w:val="Compact"/>
              <w:ind w:firstLine="0" w:left="0" w:right="0"/>
            </w:pPr>
            <w:r>
              <w:t xml:space="preserve">Sintaxe</w:t>
            </w:r>
          </w:p>
        </w:tc>
        <w:tc>
          <w:tcPr>
            <w:tcBorders>
              <w:bottom w:val="single" w:color="000000" w:space="0" w:sz="4"/>
            </w:tcBorders>
          </w:tcPr>
          <w:p>
            <w:pPr>
              <w:pStyle w:val="Compact"/>
              <w:ind w:firstLine="0" w:left="0" w:right="0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ind w:firstLine="0" w:left="0" w:right="0"/>
            </w:pPr>
            <w:r>
              <w:t xml:space="preserve">source="Autor"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Fonte: Autor</w:t>
            </w:r>
          </w:p>
        </w:tc>
      </w:tr>
      <w:tr>
        <w:tc>
          <w:tcPr/>
          <w:p>
            <w:pPr>
              <w:pStyle w:val="Compact"/>
              <w:ind w:firstLine="0" w:left="0" w:right="0"/>
            </w:pPr>
            <w:r>
              <w:t xml:space="preserve">source="@silva2024"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Fonte: (SILVA 2024) — via citeproc</w:t>
            </w:r>
          </w:p>
        </w:tc>
      </w:tr>
      <w:tr>
        <w:tc>
          <w:tcPr/>
          <w:p>
            <w:pPr>
              <w:pStyle w:val="Compact"/>
              <w:ind w:firstLine="0" w:left="0" w:right="0"/>
            </w:pPr>
            <w:r>
              <w:t xml:space="preserve">(omitido)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Fonte: Elaborado pelo autor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Texto literal</w:t>
      </w:r>
      <w:r>
        <w:t xml:space="preserve">: Renderiza como</w:t>
      </w:r>
      <w:r>
        <w:t xml:space="preserve"> </w:t>
      </w:r>
      <w:r>
        <w:t xml:space="preserve">“Fonte: {texto}”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Citação BibTeX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source="@chave"</w:t>
      </w:r>
      <w:r>
        <w:t xml:space="preserve"> </w:t>
      </w:r>
      <w:r>
        <w:t xml:space="preserve">integra com citeproc, usando a formatação do arquivo CSL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Omitido</w:t>
      </w:r>
      <w:r>
        <w:t xml:space="preserve">: Aplica automaticamente</w:t>
      </w:r>
      <w:r>
        <w:t xml:space="preserve"> </w:t>
      </w:r>
      <w:r>
        <w:t xml:space="preserve">“Fonte: Elaborado pelo autor”</w:t>
      </w:r>
      <w:r>
        <w:t xml:space="preserve"> </w:t>
      </w:r>
      <w:r>
        <w:t xml:space="preserve">(padrão ABNT)</w:t>
      </w:r>
    </w:p>
    <w:p>
      <w:pPr>
        <w:pStyle w:val="FirstParagraph"/>
      </w:pPr>
      <w:r>
        <w:t xml:space="preserve">Exemplo com citação bibliográfica:</w:t>
      </w:r>
    </w:p>
    <w:p>
      <w:pPr>
        <w:pStyle w:val="SourceCode"/>
      </w:pPr>
      <w:r>
        <w:rPr>
          <w:rStyle w:val="VerbatimChar"/>
        </w:rPr>
        <w:t xml:space="preserve">```fig:grafico{caption="Dados estatísticos" source="@ibge1993"}</w:t>
      </w:r>
      <w:r>
        <w:br/>
      </w:r>
      <w:r>
        <w:rPr>
          <w:rStyle w:val="VerbatimChar"/>
        </w:rPr>
        <w:t xml:space="preserve">dados.png</w:t>
      </w:r>
      <w:r>
        <w:br/>
      </w:r>
      <w:r>
        <w:rPr>
          <w:rStyle w:val="VerbatimChar"/>
        </w:rPr>
        <w:t xml:space="preserve">```</w:t>
      </w:r>
    </w:p>
    <w:bookmarkEnd w:id="44"/>
    <w:bookmarkEnd w:id="45"/>
    <w:bookmarkEnd w:id="46"/>
    <w:bookmarkStart w:id="57" w:name="TRABALHO_ACADEMICO-sec3"/>
    <w:p>
      <w:pPr>
        <w:pStyle w:val="Heading1"/>
        <w:numPr>
          <w:ilvl w:val="0"/>
          <w:numId w:val="1"/>
        </w:numPr>
      </w:pPr>
      <w:r>
        <w:t xml:space="preserve">Tabelas e Quadros</w:t>
      </w:r>
    </w:p>
    <w:p>
      <w:pPr>
        <w:pStyle w:val="FirstParagraph"/>
      </w:pPr>
      <w:r>
        <w:t xml:space="preserve">A ABNT distingue entre</w:t>
      </w:r>
      <w:r>
        <w:t xml:space="preserve"> </w:t>
      </w:r>
      <w:r>
        <w:rPr>
          <w:b/>
          <w:bCs/>
        </w:rPr>
        <w:t xml:space="preserve">tabelas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quadros</w:t>
      </w:r>
      <w:r>
        <w:t xml:space="preserve"> </w:t>
      </w:r>
      <w:r>
        <w:t xml:space="preserve">— uma distinção importante que o SpecCompiler respeita.</w:t>
      </w:r>
    </w:p>
    <w:bookmarkStart w:id="47" w:name="TRABALHO_ACADEMICO-sec3.1"/>
    <w:p>
      <w:pPr>
        <w:pStyle w:val="Heading2"/>
        <w:numPr>
          <w:ilvl w:val="1"/>
          <w:numId w:val="1"/>
        </w:numPr>
      </w:pPr>
      <w:r>
        <w:t xml:space="preserve">A Diferença</w:t>
      </w:r>
    </w:p>
    <w:p>
      <w:pPr>
        <w:pStyle w:val="FirstParagraph"/>
      </w:pPr>
      <w:r>
        <w:t xml:space="preserve">Conforme as normas de apresentação tabular do Instituto Brasileiro de Geografia e Estatística (IBGE)</w:t>
      </w:r>
      <w:r>
        <w:t xml:space="preserve"> </w:t>
      </w:r>
      <w:r>
        <w:t xml:space="preserve">(IBGE, 1993)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Tabela</w:t>
      </w:r>
      <w:r>
        <w:t xml:space="preserve">: Apresenta dados numéricos/estatísticos. Formatação com bordas abertas nas laterais (sem linhas verticais nas extremidades).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Quadro</w:t>
      </w:r>
      <w:r>
        <w:t xml:space="preserve">: Apresenta informações textuais organizadas. Formatação com bordas fechadas em todos os lados.</w:t>
      </w:r>
    </w:p>
    <w:p>
      <w:pPr>
        <w:pStyle w:val="FirstParagraph"/>
      </w:pPr>
      <w:r>
        <w:t xml:space="preserve">O</w:t>
      </w:r>
      <w:r>
        <w:t xml:space="preserve"> </w:t>
      </w:r>
      <w:hyperlink w:anchor="src-diferenca-tabela-quadro">
        <w:r>
          <w:rPr>
            <w:rStyle w:val="Hyperlink"/>
          </w:rPr>
          <w:t xml:space="preserve">Quadro 2</w:t>
        </w:r>
      </w:hyperlink>
      <w:r>
        <w:t xml:space="preserve"> </w:t>
      </w:r>
      <w:r>
        <w:t xml:space="preserve">resume estas diferenças:</w:t>
      </w:r>
    </w:p>
    <w:p>
      <w:pPr>
        <w:spacing w:before="0" w:after="0" w:lineRule="exact" w:line="20"/>
        <w:rPr>
          <w:sz w:val="2"/>
        </w:rPr>
      </w:pPr>
      <w:bookmarkStart w:id="63692" w:name="src-diferenca-tabela-quadro"/>
      <w:bookmarkEnd w:id="63692"/>
    </w:p>
    <w:p>
      <w:pPr>
        <w:pStyle w:val="Caption"/>
        <w:keepNext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Diferença entre Tabela e Quadro conforme ABNT/IBGE</w:t>
      </w:r>
    </w:p>
    <w:p>
      <w:pPr>
        <w:pStyle w:val="SourceCode"/>
        <w:pBdr>
          <w:top w:val="single" w:color="000000" w:space="1" w:sz="8"/>
          <w:left w:val="single" w:color="000000" w:space="4" w:sz="8"/>
          <w:bottom w:val="single" w:color="000000" w:space="1" w:sz="8"/>
          <w:right w:val="single" w:color="000000" w:space="4" w:sz="8"/>
        </w:pBdr>
      </w:pPr>
      <w:r>
        <w:rPr>
          <w:rStyle w:val="VerbatimChar"/>
        </w:rPr>
        <w:t xml:space="preserve">TABELA</w:t>
      </w:r>
      <w:r>
        <w:br/>
      </w:r>
      <w:r>
        <w:rPr>
          <w:rStyle w:val="VerbatimChar"/>
        </w:rPr>
        <w:t xml:space="preserve">- Contém dados numéricos/estatísticos</w:t>
      </w:r>
      <w:r>
        <w:br/>
      </w:r>
      <w:r>
        <w:rPr>
          <w:rStyle w:val="VerbatimChar"/>
        </w:rPr>
        <w:t xml:space="preserve">- Bordas abertas nas laterais</w:t>
      </w:r>
      <w:r>
        <w:br/>
      </w:r>
      <w:r>
        <w:rPr>
          <w:rStyle w:val="VerbatimChar"/>
        </w:rPr>
        <w:t xml:space="preserve">- Linhas horizontais: topo, separador do cabeçalho, base</w:t>
      </w:r>
      <w:r>
        <w:br/>
      </w:r>
      <w:r>
        <w:rPr>
          <w:rStyle w:val="VerbatimChar"/>
        </w:rPr>
        <w:t xml:space="preserve">- Sem linhas verticais nas extremidades</w:t>
      </w:r>
      <w:r>
        <w:br/>
      </w:r>
      <w:r>
        <w:br/>
      </w:r>
      <w:r>
        <w:rPr>
          <w:rStyle w:val="VerbatimChar"/>
        </w:rPr>
        <w:t xml:space="preserve">QUADRO</w:t>
      </w:r>
      <w:r>
        <w:br/>
      </w:r>
      <w:r>
        <w:rPr>
          <w:rStyle w:val="VerbatimChar"/>
        </w:rPr>
        <w:t xml:space="preserve">- Contém informações textuais</w:t>
      </w:r>
      <w:r>
        <w:br/>
      </w:r>
      <w:r>
        <w:rPr>
          <w:rStyle w:val="VerbatimChar"/>
        </w:rPr>
        <w:t xml:space="preserve">- Bordas fechadas em todos os lados</w:t>
      </w:r>
      <w:r>
        <w:br/>
      </w:r>
      <w:r>
        <w:rPr>
          <w:rStyle w:val="VerbatimChar"/>
        </w:rPr>
        <w:t xml:space="preserve">- Grade completa (todas as células delimitadas)</w:t>
      </w:r>
      <w:r>
        <w:br/>
      </w:r>
      <w:r>
        <w:rPr>
          <w:rStyle w:val="VerbatimChar"/>
        </w:rPr>
        <w:t xml:space="preserve">- Usado para definições, comparações textuais</w:t>
      </w:r>
    </w:p>
    <w:p>
      <w:pPr>
        <w:pStyle w:val="Source"/>
      </w:pPr>
      <w:r>
        <w:t xml:space="preserve">Fonte:</w:t>
      </w:r>
      <w:r>
        <w:t xml:space="preserve"> </w:t>
      </w:r>
      <w:r>
        <w:t xml:space="preserve">IBGE (1993)</w:t>
      </w:r>
    </w:p>
    <w:bookmarkEnd w:id="47"/>
    <w:bookmarkStart w:id="49" w:name="TRABALHO_ACADEMICO-sec3.2"/>
    <w:p>
      <w:pPr>
        <w:pStyle w:val="Heading2"/>
        <w:numPr>
          <w:ilvl w:val="1"/>
          <w:numId w:val="1"/>
        </w:numPr>
      </w:pPr>
      <w:r>
        <w:t xml:space="preserve">Sintaxe list-table</w:t>
      </w:r>
    </w:p>
    <w:p>
      <w:pPr>
        <w:pStyle w:val="FirstParagraph"/>
      </w:pPr>
      <w:r>
        <w:t xml:space="preserve">A sintaxe</w:t>
      </w:r>
      <w:r>
        <w:t xml:space="preserve"> </w:t>
      </w:r>
      <w:r>
        <w:rPr>
          <w:rStyle w:val="VerbatimChar"/>
        </w:rPr>
        <w:t xml:space="preserve">list-table</w:t>
      </w:r>
      <w:r>
        <w:t xml:space="preserve"> </w:t>
      </w:r>
      <w:r>
        <w:t xml:space="preserve">é ideal para tabelas complexas. A</w:t>
      </w:r>
      <w:r>
        <w:t xml:space="preserve"> </w:t>
      </w:r>
      <w:hyperlink w:anchor="tab-elementos-pretextuais">
        <w:r>
          <w:rPr>
            <w:rStyle w:val="Hyperlink"/>
          </w:rPr>
          <w:t xml:space="preserve">Tabela 2</w:t>
        </w:r>
      </w:hyperlink>
      <w:r>
        <w:t xml:space="preserve"> </w:t>
      </w:r>
      <w:r>
        <w:t xml:space="preserve">demonstra uma tabela com múltiplas colunas:</w:t>
      </w:r>
    </w:p>
    <w:p>
      <w:pPr>
        <w:spacing w:before="0" w:after="0" w:lineRule="exact" w:line="20"/>
        <w:rPr>
          <w:sz w:val="2"/>
        </w:rPr>
      </w:pPr>
      <w:bookmarkStart w:id="12578" w:name="tab-elementos-pretextuais"/>
      <w:bookmarkEnd w:id="12578"/>
    </w:p>
    <w:p>
      <w:pPr>
        <w:pStyle w:val="TableCaption"/>
        <w:keepNext/>
      </w:pPr>
      <w:r>
        <w:t xml:space="preserve">Tabela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- Elementos pré-textuais conforme NBR 14724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color="000000" w:space="0" w:sz="8"/>
          <w:left w:val="nil"/>
          <w:bottom w:val="single" w:color="000000" w:space="0" w:sz="8"/>
          <w:right w:val="nil"/>
          <w:insideH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color="000000" w:space="0" w:sz="4"/>
            </w:tcBorders>
          </w:tcPr>
          <w:p>
            <w:pPr>
              <w:pStyle w:val="Compact"/>
              <w:jc w:val="left"/>
              <w:ind w:firstLine="0" w:left="0" w:right="0"/>
            </w:pPr>
            <w:r>
              <w:t xml:space="preserve">Elemento</w:t>
            </w:r>
          </w:p>
        </w:tc>
        <w:tc>
          <w:tcPr>
            <w:tcBorders>
              <w:bottom w:val="single" w:color="000000" w:space="0" w:sz="4"/>
            </w:tcBorders>
          </w:tcPr>
          <w:p>
            <w:pPr>
              <w:pStyle w:val="Compact"/>
              <w:jc w:val="center"/>
              <w:ind w:firstLine="0" w:left="0" w:right="0"/>
            </w:pPr>
            <w:r>
              <w:t xml:space="preserve">Obrigatório</w:t>
            </w:r>
          </w:p>
        </w:tc>
        <w:tc>
          <w:tcPr>
            <w:tcBorders>
              <w:bottom w:val="single" w:color="000000" w:space="0" w:sz="4"/>
            </w:tcBorders>
          </w:tcPr>
          <w:p>
            <w:pPr>
              <w:pStyle w:val="Compact"/>
              <w:jc w:val="left"/>
              <w:ind w:firstLine="0" w:left="0" w:right="0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Identificação do trabalho</w:t>
            </w:r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Folha de rosto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Dados essenciais do trabalho</w:t>
            </w:r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Ficha catalográfica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Verso da folha de rosto</w:t>
            </w:r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Errata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Lista de correções</w:t>
            </w:r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Folha de aprovação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Sim*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Assinaturas da banca</w:t>
            </w:r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Dedicatória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Homenagem a pessoas</w:t>
            </w:r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Agradecimentos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Reconhecimento a contribuições</w:t>
            </w:r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Epígrafe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Citação relacionada ao tema</w:t>
            </w:r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Resumo em português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Síntese do trabalho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NBR6028:2003</w:t>
              </w:r>
            </w:hyperlink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Resumo em língua estrangeira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Lista de ilustrações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Índice de figuras</w:t>
            </w:r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Lista de tabelas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Índice de tabelas</w:t>
            </w:r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Lista de abreviaturas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Glossário de siglas</w:t>
            </w:r>
          </w:p>
        </w:tc>
      </w:tr>
      <w:tr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Sumário</w:t>
            </w:r>
          </w:p>
        </w:tc>
        <w:tc>
          <w:tcPr/>
          <w:p>
            <w:pPr>
              <w:pStyle w:val="Compact"/>
              <w:jc w:val="center"/>
              <w:ind w:firstLine="0" w:left="0" w:right="0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ind w:firstLine="0" w:left="0" w:right="0"/>
            </w:pPr>
            <w:r>
              <w:t xml:space="preserve">Índice de conteúdo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NBR6027:2012</w:t>
              </w:r>
            </w:hyperlink>
          </w:p>
        </w:tc>
      </w:tr>
    </w:tbl>
    <w:p>
      <w:pPr>
        <w:pStyle w:val="Source"/>
      </w:pPr>
      <w:r>
        <w:t xml:space="preserve">Fonte:</w:t>
      </w:r>
      <w:r>
        <w:t xml:space="preserve"> </w:t>
      </w:r>
      <w:r>
        <w:t xml:space="preserve">NBR</w:t>
      </w:r>
      <w:r>
        <w:t xml:space="preserve"> </w:t>
      </w:r>
      <w:r>
        <w:t xml:space="preserve">14724 (2011)</w:t>
      </w:r>
    </w:p>
    <w:bookmarkEnd w:id="49"/>
    <w:bookmarkStart w:id="50" w:name="TRABALHO_ACADEMICO-sec3.3"/>
    <w:p>
      <w:pPr>
        <w:pStyle w:val="Heading2"/>
        <w:numPr>
          <w:ilvl w:val="1"/>
          <w:numId w:val="1"/>
        </w:numPr>
      </w:pPr>
      <w:r>
        <w:t xml:space="preserve">Sintaxe CSV</w:t>
      </w:r>
    </w:p>
    <w:p>
      <w:pPr>
        <w:pStyle w:val="FirstParagraph"/>
      </w:pPr>
      <w:r>
        <w:t xml:space="preserve">Para dados tabulares simples, a sintaxe CSV é mais concisa. A</w:t>
      </w:r>
      <w:r>
        <w:t xml:space="preserve"> </w:t>
      </w:r>
      <w:hyperlink w:anchor="tab-dados-regionais">
        <w:r>
          <w:rPr>
            <w:rStyle w:val="Hyperlink"/>
          </w:rPr>
          <w:t xml:space="preserve">Tabela 3</w:t>
        </w:r>
      </w:hyperlink>
      <w:r>
        <w:t xml:space="preserve"> </w:t>
      </w:r>
      <w:r>
        <w:t xml:space="preserve">demonstra:</w:t>
      </w:r>
    </w:p>
    <w:p>
      <w:pPr>
        <w:spacing w:before="0" w:after="0" w:lineRule="exact" w:line="20"/>
        <w:rPr>
          <w:sz w:val="2"/>
        </w:rPr>
      </w:pPr>
      <w:bookmarkStart w:id="45246" w:name="tab-dados-regionais"/>
      <w:bookmarkEnd w:id="45246"/>
    </w:p>
    <w:p>
      <w:pPr>
        <w:pStyle w:val="TableCaption"/>
        <w:keepNext/>
      </w:pPr>
      <w:r>
        <w:t xml:space="preserve">Tabela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- Dados regionais — exemplo de tabela CSV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color="000000" w:space="0" w:sz="8"/>
          <w:left w:val="nil"/>
          <w:bottom w:val="single" w:color="000000" w:space="0" w:sz="8"/>
          <w:right w:val="nil"/>
          <w:insideH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color="000000" w:space="0" w:sz="4"/>
            </w:tcBorders>
          </w:tcPr>
          <w:p>
            <w:pPr>
              <w:pStyle w:val="Compact"/>
              <w:ind w:firstLine="0" w:left="0" w:right="0"/>
            </w:pPr>
            <w:r>
              <w:t xml:space="preserve">Região</w:t>
            </w:r>
          </w:p>
        </w:tc>
        <w:tc>
          <w:tcPr>
            <w:tcBorders>
              <w:bottom w:val="single" w:color="000000" w:space="0" w:sz="4"/>
            </w:tcBorders>
          </w:tcPr>
          <w:p>
            <w:pPr>
              <w:pStyle w:val="Compact"/>
              <w:ind w:firstLine="0" w:left="0" w:right="0"/>
            </w:pPr>
            <w:r>
              <w:t xml:space="preserve">2022</w:t>
            </w:r>
          </w:p>
        </w:tc>
        <w:tc>
          <w:tcPr>
            <w:tcBorders>
              <w:bottom w:val="single" w:color="000000" w:space="0" w:sz="4"/>
            </w:tcBorders>
          </w:tcPr>
          <w:p>
            <w:pPr>
              <w:pStyle w:val="Compact"/>
              <w:ind w:firstLine="0" w:left="0" w:right="0"/>
            </w:pPr>
            <w:r>
              <w:t xml:space="preserve">2023</w:t>
            </w:r>
          </w:p>
        </w:tc>
        <w:tc>
          <w:tcPr>
            <w:tcBorders>
              <w:bottom w:val="single" w:color="000000" w:space="0" w:sz="4"/>
            </w:tcBorders>
          </w:tcPr>
          <w:p>
            <w:pPr>
              <w:pStyle w:val="Compact"/>
              <w:ind w:firstLine="0" w:left="0" w:right="0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ind w:firstLine="0" w:left="0" w:right="0"/>
            </w:pPr>
            <w:r>
              <w:t xml:space="preserve">Norte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150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175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ind w:firstLine="0" w:left="0" w:right="0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280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310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  <w:ind w:firstLine="0" w:left="0" w:right="0"/>
            </w:pPr>
            <w:r>
              <w:t xml:space="preserve">Centro-Oeste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120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140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ind w:firstLine="0" w:left="0" w:right="0"/>
            </w:pPr>
            <w:r>
              <w:t xml:space="preserve">Sudeste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450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520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580</w:t>
            </w:r>
          </w:p>
        </w:tc>
      </w:tr>
      <w:tr>
        <w:tc>
          <w:tcPr/>
          <w:p>
            <w:pPr>
              <w:pStyle w:val="Compact"/>
              <w:ind w:firstLine="0" w:left="0" w:right="0"/>
            </w:pPr>
            <w:r>
              <w:t xml:space="preserve">Sul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200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230</w:t>
            </w:r>
          </w:p>
        </w:tc>
        <w:tc>
          <w:tcPr/>
          <w:p>
            <w:pPr>
              <w:pStyle w:val="Compact"/>
              <w:ind w:firstLine="0" w:left="0" w:right="0"/>
            </w:pPr>
            <w:r>
              <w:t xml:space="preserve">260</w:t>
            </w:r>
          </w:p>
        </w:tc>
      </w:tr>
    </w:tbl>
    <w:p>
      <w:pPr>
        <w:pStyle w:val="Source"/>
      </w:pPr>
      <w:r>
        <w:t xml:space="preserve">Fonte: Dados fictícios</w:t>
      </w:r>
    </w:p>
    <w:bookmarkEnd w:id="50"/>
    <w:bookmarkStart w:id="53" w:name="TRABALHO_ACADEMICO-sec3.4"/>
    <w:p>
      <w:pPr>
        <w:pStyle w:val="Heading2"/>
        <w:numPr>
          <w:ilvl w:val="1"/>
          <w:numId w:val="1"/>
        </w:numPr>
      </w:pPr>
      <w:r>
        <w:t xml:space="preserve">Quadros e Listagens de Código</w:t>
      </w:r>
    </w:p>
    <w:p>
      <w:pPr>
        <w:pStyle w:val="FirstParagraph"/>
      </w:pPr>
      <w:r>
        <w:t xml:space="preserve">O SpecCompiler oferece duas sintaxes para criar quadros (código/listagens):</w:t>
      </w:r>
    </w:p>
    <w:p>
      <w:pPr>
        <w:numPr>
          <w:ilvl w:val="0"/>
          <w:numId w:val="1007"/>
        </w:numPr>
      </w:pPr>
      <w:r>
        <w:rPr>
          <w:rStyle w:val="VerbatimChar"/>
          <w:b/>
          <w:bCs/>
        </w:rPr>
        <w:t xml:space="preserve">listing:label</w:t>
      </w:r>
      <w:r>
        <w:t xml:space="preserve"> </w:t>
      </w:r>
      <w:r>
        <w:t xml:space="preserve">— Quadro genérico, sem realce de sintaxe. Ideal para texto estruturado, pseudocódigo ou informações textuais.</w:t>
      </w:r>
    </w:p>
    <w:p>
      <w:pPr>
        <w:numPr>
          <w:ilvl w:val="0"/>
          <w:numId w:val="1007"/>
        </w:numPr>
      </w:pPr>
      <w:r>
        <w:rPr>
          <w:rStyle w:val="VerbatimChar"/>
          <w:b/>
          <w:bCs/>
        </w:rPr>
        <w:t xml:space="preserve">src.&lt;ext&gt;:label</w:t>
      </w:r>
      <w:r>
        <w:t xml:space="preserve"> </w:t>
      </w:r>
      <w:r>
        <w:t xml:space="preserve">— Listagem com realce de sintaxe. O</w:t>
      </w:r>
      <w:r>
        <w:t xml:space="preserve"> </w:t>
      </w:r>
      <w:r>
        <w:rPr>
          <w:rStyle w:val="VerbatimChar"/>
        </w:rPr>
        <w:t xml:space="preserve">&lt;ext&gt;</w:t>
      </w:r>
      <w:r>
        <w:t xml:space="preserve"> </w:t>
      </w:r>
      <w:r>
        <w:t xml:space="preserve">indica a linguagem (lua, c, python, js, etc.). Utiliza o Pandoc Skylighting para colorização.</w:t>
      </w:r>
    </w:p>
    <w:p>
      <w:pPr>
        <w:pStyle w:val="FirstParagraph"/>
      </w:pPr>
      <w:r>
        <w:t xml:space="preserve">Ambas as sintaxes suportam os atributos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 e são renderizadas com moldura (borda) no template ABNT.</w:t>
      </w:r>
    </w:p>
    <w:bookmarkStart w:id="51" w:name="TRABALHO_ACADEMICO-sec3.4.1"/>
    <w:p>
      <w:pPr>
        <w:pStyle w:val="Heading3"/>
        <w:numPr>
          <w:ilvl w:val="2"/>
          <w:numId w:val="1"/>
        </w:numPr>
      </w:pPr>
      <w:r>
        <w:t xml:space="preserve">Quadro Textual (sem realce)</w:t>
      </w:r>
    </w:p>
    <w:p>
      <w:pPr>
        <w:pStyle w:val="FirstParagraph"/>
      </w:pPr>
      <w:r>
        <w:t xml:space="preserve">O</w:t>
      </w:r>
      <w:r>
        <w:t xml:space="preserve"> </w:t>
      </w:r>
      <w:hyperlink w:anchor="src-vantagens-SpecCompiler">
        <w:r>
          <w:rPr>
            <w:rStyle w:val="Hyperlink"/>
          </w:rPr>
          <w:t xml:space="preserve">Quadro 3</w:t>
        </w:r>
      </w:hyperlink>
      <w:r>
        <w:t xml:space="preserve"> </w:t>
      </w:r>
      <w:r>
        <w:t xml:space="preserve">demonstra a sintaxe</w:t>
      </w:r>
      <w:r>
        <w:t xml:space="preserve"> </w:t>
      </w:r>
      <w:r>
        <w:rPr>
          <w:rStyle w:val="VerbatimChar"/>
        </w:rPr>
        <w:t xml:space="preserve">listing:</w:t>
      </w:r>
      <w:r>
        <w:t xml:space="preserve"> </w:t>
      </w:r>
      <w:r>
        <w:t xml:space="preserve">para informações textuais:</w:t>
      </w:r>
    </w:p>
    <w:p>
      <w:pPr>
        <w:spacing w:before="0" w:after="0" w:lineRule="exact" w:line="20"/>
        <w:rPr>
          <w:sz w:val="2"/>
        </w:rPr>
      </w:pPr>
      <w:bookmarkStart w:id="68158" w:name="src-vantagens-SpecCompiler"/>
      <w:bookmarkEnd w:id="68158"/>
    </w:p>
    <w:p>
      <w:pPr>
        <w:pStyle w:val="Caption"/>
        <w:keepNext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Principais vantagens do SpecCompiler</w:t>
      </w:r>
    </w:p>
    <w:p>
      <w:pPr>
        <w:pStyle w:val="SourceCode"/>
        <w:pBdr>
          <w:top w:val="single" w:color="000000" w:space="1" w:sz="8"/>
          <w:left w:val="single" w:color="000000" w:space="4" w:sz="8"/>
          <w:bottom w:val="single" w:color="000000" w:space="1" w:sz="8"/>
          <w:right w:val="single" w:color="000000" w:space="4" w:sz="8"/>
        </w:pBdr>
      </w:pPr>
      <w:r>
        <w:rPr>
          <w:rStyle w:val="VerbatimChar"/>
        </w:rPr>
        <w:t xml:space="preserve">1. SINTAXE SIMPLES</w:t>
      </w:r>
      <w:r>
        <w:br/>
      </w:r>
      <w:r>
        <w:rPr>
          <w:rStyle w:val="VerbatimChar"/>
        </w:rPr>
        <w:t xml:space="preserve">   Markdown é intuitivo e legível mesmo em formato texto puro.</w:t>
      </w:r>
      <w:r>
        <w:br/>
      </w:r>
      <w:r>
        <w:rPr>
          <w:rStyle w:val="VerbatimChar"/>
        </w:rPr>
        <w:t xml:space="preserve">   Não requer conhecimento de LaTeX ou linguagens complexas.</w:t>
      </w:r>
      <w:r>
        <w:br/>
      </w:r>
      <w:r>
        <w:br/>
      </w:r>
      <w:r>
        <w:rPr>
          <w:rStyle w:val="VerbatimChar"/>
        </w:rPr>
        <w:t xml:space="preserve">2. CONFORMIDADE AUTOMÁTICA</w:t>
      </w:r>
      <w:r>
        <w:br/>
      </w:r>
      <w:r>
        <w:rPr>
          <w:rStyle w:val="VerbatimChar"/>
        </w:rPr>
        <w:t xml:space="preserve">   O template ABNT cuida de margens, fontes, espaçamentos.</w:t>
      </w:r>
      <w:r>
        <w:br/>
      </w:r>
      <w:r>
        <w:rPr>
          <w:rStyle w:val="VerbatimChar"/>
        </w:rPr>
        <w:t xml:space="preserve">   Validação estrutural impede documentos malformados.</w:t>
      </w:r>
      <w:r>
        <w:br/>
      </w:r>
      <w:r>
        <w:br/>
      </w:r>
      <w:r>
        <w:rPr>
          <w:rStyle w:val="VerbatimChar"/>
        </w:rPr>
        <w:t xml:space="preserve">3. EXTENSIBILIDADE</w:t>
      </w:r>
      <w:r>
        <w:br/>
      </w:r>
      <w:r>
        <w:rPr>
          <w:rStyle w:val="VerbatimChar"/>
        </w:rPr>
        <w:t xml:space="preserve">   Sistema de templates permite criar novos formatos.</w:t>
      </w:r>
      <w:r>
        <w:br/>
      </w:r>
      <w:r>
        <w:rPr>
          <w:rStyle w:val="VerbatimChar"/>
        </w:rPr>
        <w:t xml:space="preserve">   O template ABNT estende o template padrão (default).</w:t>
      </w:r>
      <w:r>
        <w:br/>
      </w:r>
      <w:r>
        <w:br/>
      </w:r>
      <w:r>
        <w:rPr>
          <w:rStyle w:val="VerbatimChar"/>
        </w:rPr>
        <w:t xml:space="preserve">4. INTEGRAÇÃO COM DADOS</w:t>
      </w:r>
      <w:r>
        <w:br/>
      </w:r>
      <w:r>
        <w:rPr>
          <w:rStyle w:val="VerbatimChar"/>
        </w:rPr>
        <w:t xml:space="preserve">   Gráficos podem consultar o banco de dados.</w:t>
      </w:r>
      <w:r>
        <w:br/>
      </w:r>
      <w:r>
        <w:rPr>
          <w:rStyle w:val="VerbatimChar"/>
        </w:rPr>
        <w:t xml:space="preserve">   Views SQL alimentam visualizações automaticamente.</w:t>
      </w:r>
    </w:p>
    <w:p>
      <w:pPr>
        <w:pStyle w:val="Source"/>
      </w:pPr>
      <w:r>
        <w:t xml:space="preserve">Fonte: Elaboração própria</w:t>
      </w:r>
    </w:p>
    <w:bookmarkEnd w:id="51"/>
    <w:bookmarkStart w:id="52" w:name="TRABALHO_ACADEMICO-sec3.4.2"/>
    <w:p>
      <w:pPr>
        <w:pStyle w:val="Heading3"/>
        <w:numPr>
          <w:ilvl w:val="2"/>
          <w:numId w:val="1"/>
        </w:numPr>
      </w:pPr>
      <w:r>
        <w:t xml:space="preserve">Listagem de Código (com realce)</w:t>
      </w:r>
    </w:p>
    <w:p>
      <w:pPr>
        <w:pStyle w:val="FirstParagraph"/>
      </w:pPr>
      <w:r>
        <w:t xml:space="preserve">O</w:t>
      </w:r>
      <w:r>
        <w:t xml:space="preserve"> </w:t>
      </w:r>
      <w:hyperlink w:anchor="hello-world">
        <w:r>
          <w:rPr>
            <w:rStyle w:val="Hyperlink"/>
          </w:rPr>
          <w:t xml:space="preserve">src.c:hello-world</w:t>
        </w:r>
      </w:hyperlink>
      <w:r>
        <w:t xml:space="preserve"> </w:t>
      </w:r>
      <w:r>
        <w:t xml:space="preserve">demonstra a sintaxe</w:t>
      </w:r>
      <w:r>
        <w:t xml:space="preserve"> </w:t>
      </w:r>
      <w:r>
        <w:rPr>
          <w:rStyle w:val="VerbatimChar"/>
        </w:rPr>
        <w:t xml:space="preserve">src.c:</w:t>
      </w:r>
      <w:r>
        <w:t xml:space="preserve"> </w:t>
      </w:r>
      <w:r>
        <w:t xml:space="preserve">para código-fonte com realce de sintaxe:</w:t>
      </w:r>
    </w:p>
    <w:p>
      <w:pPr>
        <w:spacing w:before="0" w:after="0" w:lineRule="exact" w:line="20"/>
        <w:rPr>
          <w:sz w:val="2"/>
        </w:rPr>
      </w:pPr>
      <w:bookmarkStart w:id="73903" w:name="src-hello-world"/>
      <w:bookmarkEnd w:id="73903"/>
    </w:p>
    <w:p>
      <w:pPr>
        <w:pStyle w:val="Caption"/>
        <w:keepNext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Programa Hello World em C</w:t>
      </w:r>
    </w:p>
    <w:p>
      <w:pPr>
        <w:pStyle w:val="SourceCode"/>
        <w:pBdr>
          <w:top w:val="single" w:color="000000" w:space="1" w:sz="8"/>
          <w:left w:val="single" w:color="000000" w:space="4" w:sz="8"/>
          <w:bottom w:val="single" w:color="000000" w:space="1" w:sz="8"/>
          <w:right w:val="single" w:color="000000" w:space="4" w:sz="8"/>
        </w:pBdr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World!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"/>
      </w:pPr>
      <w:r>
        <w:t xml:space="preserve">Fonte: Elaboração própria</w:t>
      </w:r>
    </w:p>
    <w:p>
      <w:pPr>
        <w:pStyle w:val="BodyText"/>
      </w:pPr>
      <w:r>
        <w:t xml:space="preserve">Outras linguagens suportadas incluem:</w:t>
      </w:r>
      <w:r>
        <w:t xml:space="preserve"> </w:t>
      </w:r>
      <w:r>
        <w:rPr>
          <w:rStyle w:val="VerbatimChar"/>
        </w:rPr>
        <w:t xml:space="preserve">src.lua:</w:t>
      </w:r>
      <w:r>
        <w:t xml:space="preserve">,</w:t>
      </w:r>
      <w:r>
        <w:t xml:space="preserve"> </w:t>
      </w:r>
      <w:r>
        <w:rPr>
          <w:rStyle w:val="VerbatimChar"/>
        </w:rPr>
        <w:t xml:space="preserve">src.python:</w:t>
      </w:r>
      <w:r>
        <w:t xml:space="preserve">,</w:t>
      </w:r>
      <w:r>
        <w:t xml:space="preserve"> </w:t>
      </w:r>
      <w:r>
        <w:rPr>
          <w:rStyle w:val="VerbatimChar"/>
        </w:rPr>
        <w:t xml:space="preserve">src.java:</w:t>
      </w:r>
      <w:r>
        <w:t xml:space="preserve">,</w:t>
      </w:r>
      <w:r>
        <w:t xml:space="preserve"> </w:t>
      </w:r>
      <w:r>
        <w:rPr>
          <w:rStyle w:val="VerbatimChar"/>
        </w:rPr>
        <w:t xml:space="preserve">src.js:</w:t>
      </w:r>
      <w:r>
        <w:t xml:space="preserve">,</w:t>
      </w:r>
      <w:r>
        <w:t xml:space="preserve"> </w:t>
      </w:r>
      <w:r>
        <w:rPr>
          <w:rStyle w:val="VerbatimChar"/>
        </w:rPr>
        <w:t xml:space="preserve">src.sql:</w:t>
      </w:r>
      <w:r>
        <w:t xml:space="preserve">, entre outras. A lista completa depende do Pandoc Skylighting.</w:t>
      </w:r>
    </w:p>
    <w:bookmarkEnd w:id="52"/>
    <w:bookmarkEnd w:id="53"/>
    <w:bookmarkStart w:id="56" w:name="TRABALHO_ACADEMICO-sec3.5"/>
    <w:p>
      <w:pPr>
        <w:pStyle w:val="Heading2"/>
        <w:numPr>
          <w:ilvl w:val="1"/>
          <w:numId w:val="1"/>
        </w:numPr>
      </w:pPr>
      <w:r>
        <w:t xml:space="preserve">Equações e Fórmulas com AsciiMath</w:t>
      </w:r>
    </w:p>
    <w:bookmarkStart w:id="54" w:name="TRABALHO_ACADEMICO-sec3.5.1"/>
    <w:p>
      <w:pPr>
        <w:pStyle w:val="Heading3"/>
        <w:numPr>
          <w:ilvl w:val="2"/>
          <w:numId w:val="1"/>
        </w:numPr>
      </w:pPr>
      <w:r>
        <w:t xml:space="preserve">Sintaxe Inline</w:t>
      </w:r>
    </w:p>
    <w:p>
      <w:pPr>
        <w:pStyle w:val="FirstParagraph"/>
      </w:pPr>
      <w:r>
        <w:t xml:space="preserve">Para inserir matemática no meio do texto, use a sintaxe</w:t>
      </w:r>
      <w:r>
        <w:t xml:space="preserve"> </w:t>
      </w:r>
      <w:r>
        <w:rPr>
          <w:rStyle w:val="VerbatimChar"/>
        </w:rPr>
        <w:t xml:space="preserve">`math: expressão`</w:t>
      </w:r>
      <w:r>
        <w:t xml:space="preserve">. Exemplos:</w:t>
      </w:r>
    </w:p>
    <w:p>
      <w:pPr>
        <w:pStyle w:val="Compact"/>
        <w:numPr>
          <w:ilvl w:val="0"/>
          <w:numId w:val="1008"/>
        </w:numPr>
      </w:pPr>
      <w:r>
        <w:t xml:space="preserve">O teorema de Pitágoras:</w:t>
      </w:r>
      <w:r>
        <w:t xml:space="preserve">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sSupPr>
            <m:ctrlPr/>
          </m:sSupPr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sSupPr>
            <m:ctrlPr/>
          </m:sSupPr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</w:p>
    <w:p>
      <w:pPr>
        <w:pStyle w:val="Compact"/>
        <w:numPr>
          <w:ilvl w:val="0"/>
          <w:numId w:val="1008"/>
        </w:numPr>
      </w:pPr>
      <w:r>
        <w:t xml:space="preserve">Área do círculo:</w:t>
      </w:r>
      <w:r>
        <w:t xml:space="preserve"> </w:t>
      </w:r>
      <m:oMath xmlns:m="http://schemas.openxmlformats.org/officeDocument/2006/math" xmlns:w="http://schemas.openxmlformats.org/wordprocessingml/2006/main">
        <m:r>
          <m:t xml:space="preserve">A=π</m:t>
        </m:r>
        <m:sSup>
          <m:sSupPr>
            <m:ctrlPr/>
          </m:sSupPr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</w:p>
    <w:p>
      <w:pPr>
        <w:pStyle w:val="Compact"/>
        <w:numPr>
          <w:ilvl w:val="0"/>
          <w:numId w:val="1008"/>
        </w:numPr>
      </w:pPr>
      <w:r>
        <w:t xml:space="preserve">Somatório:</w:t>
      </w:r>
      <w:r>
        <w:t xml:space="preserve"> </w:t>
      </w:r>
      <m:oMath xmlns:m="http://schemas.openxmlformats.org/officeDocument/2006/math" xmlns:w="http://schemas.openxmlformats.org/wordprocessingml/2006/main"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i</m:t>
            </m:r>
            =
          </m:e>
        </m:nary>
        <m:f>
          <m:fPr>
            <m:type m:val="bar"/>
          </m:fPr>
          <m:num>
            <m:r>
              <m:t xml:space="preserve">n</m:t>
            </m:r>
            <m:r>
              <m:t xml:space="preserve">(n+1)</m:t>
            </m:r>
          </m:num>
          <m:den>
            <m:r>
              <m:t xml:space="preserve">2</m:t>
            </m:r>
          </m:den>
        </m:f>
      </m:oMath>
    </w:p>
    <w:bookmarkEnd w:id="54"/>
    <w:bookmarkStart w:id="55" w:name="TRABALHO_ACADEMICO-sec3.5.2"/>
    <w:p>
      <w:pPr>
        <w:pStyle w:val="Heading3"/>
        <w:numPr>
          <w:ilvl w:val="2"/>
          <w:numId w:val="1"/>
        </w:numPr>
      </w:pPr>
      <w:r>
        <w:t xml:space="preserve">Sintaxe em Bloco (Equação Numerada)</w:t>
      </w:r>
    </w:p>
    <w:p>
      <w:pPr>
        <w:pStyle w:val="FirstParagraph"/>
      </w:pPr>
      <w:r>
        <w:t xml:space="preserve">Para equações destacadas e numeradas, use:</w:t>
      </w:r>
    </w:p>
    <w:p>
      <w:pPr>
        <w:tabs>
          <w:tab w:pos="4680" w:val="center"/>
          <w:tab w:pos="9360" w:val="right"/>
        </w:tabs>
      </w:pPr>
      <w:r>
        <w:tab/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sSupPr>
            <m:ctrlPr/>
          </m:sSupPr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sSupPr>
            <m:ctrlPr/>
          </m:sSupPr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tab/>
      </w:r>
      <w:bookmarkStart w:id="34962" w:name="math-pitagoras"/>
      <w:r>
        <w:t>(</w:t>
      </w:r>
      <w:r>
        <w:fldChar w:fldCharType="begin"/>
      </w:r>
      <w:r>
        <w:instrText xml:space="preserve"> SEQ MATH \* ARABIC </w:instrText>
      </w:r>
      <w:r>
        <w:fldChar w:fldCharType="separate"/>
      </w:r>
      <w:r>
        <w:t>1</w:t>
      </w:r>
      <w:r>
        <w:fldChar w:fldCharType="end"/>
      </w:r>
      <w:r>
        <w:t>)</w:t>
      </w:r>
      <w:bookmarkEnd w:id="34962"/>
    </w:p>
    <w:p>
      <w:pPr>
        <w:pStyle w:val="BodyText"/>
      </w:pPr>
      <w:r>
        <w:t xml:space="preserve">A</w:t>
      </w:r>
      <w:r>
        <w:t xml:space="preserve"> </w:t>
      </w:r>
      <w:hyperlink w:anchor="math-pitagoras">
        <w:r>
          <w:rPr>
            <w:rStyle w:val="Hyperlink"/>
          </w:rPr>
          <w:t xml:space="preserve">Equação 1</w:t>
        </w:r>
      </w:hyperlink>
      <w:r>
        <w:t xml:space="preserve"> </w:t>
      </w:r>
      <w:r>
        <w:t xml:space="preserve">demonstra o teorema fundamental da geometria euclidiana.</w:t>
      </w:r>
    </w:p>
    <w:p>
      <w:pPr>
        <w:pStyle w:val="BodyText"/>
      </w:pPr>
      <w:r>
        <w:t xml:space="preserve">A fórmula quadrática de Bhaskara (</w:t>
      </w:r>
      <w:hyperlink w:anchor="math-bhaskara">
        <w:r>
          <w:rPr>
            <w:rStyle w:val="Hyperlink"/>
          </w:rPr>
          <w:t xml:space="preserve">Equação 2</w:t>
        </w:r>
      </w:hyperlink>
      <w:r>
        <w:t xml:space="preserve">) fornece as raízes de equações do segundo grau:</w:t>
      </w:r>
    </w:p>
    <w:p>
      <w:pPr>
        <w:tabs>
          <w:tab w:pos="4680" w:val="center"/>
          <w:tab w:pos="9360" w:val="right"/>
        </w:tabs>
      </w:pPr>
      <w:r>
        <w:tab/>
      </w:r>
      <m:oMath xmlns:m="http://schemas.openxmlformats.org/officeDocument/2006/math" xmlns:w="http://schemas.openxmlformats.org/wordprocessingml/2006/main">
        <m:r>
          <m:t xml:space="preserve">x=</m:t>
        </m:r>
        <m:f>
          <m:fPr>
            <m:type m:val="bar"/>
          </m:fPr>
          <m:num>
            <m:r>
              <m:t xml:space="preserve">−b±</m:t>
            </m:r>
            <m:rad>
              <m:radPr>
                <m:degHide m:val="on"/>
              </m:radPr>
              <m:deg/>
              <m:e>
                <m:sSup>
                  <m:sSupPr>
                    <m:ctrlPr/>
                  </m:sSupPr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−4ac</m:t>
                </m:r>
              </m:e>
            </m:rad>
          </m:num>
          <m:den>
            <m:r>
              <m:t xml:space="preserve">2a</m:t>
            </m:r>
          </m:den>
        </m:f>
      </m:oMath>
      <w:r>
        <w:tab/>
      </w:r>
      <w:bookmarkStart w:id="42851" w:name="math-bhaskara"/>
      <w:r>
        <w:t>(</w:t>
      </w:r>
      <w:r>
        <w:fldChar w:fldCharType="begin"/>
      </w:r>
      <w:r>
        <w:instrText xml:space="preserve"> SEQ MATH \* ARABIC </w:instrText>
      </w:r>
      <w:r>
        <w:fldChar w:fldCharType="separate"/>
      </w:r>
      <w:r>
        <w:t>2</w:t>
      </w:r>
      <w:r>
        <w:fldChar w:fldCharType="end"/>
      </w:r>
      <w:r>
        <w:t>)</w:t>
      </w:r>
      <w:bookmarkEnd w:id="42851"/>
    </w:p>
    <w:p>
      <w:pPr>
        <w:pStyle w:val="BodyText"/>
      </w:pPr>
      <w:r>
        <w:t xml:space="preserve">As equações demonstram a capacidade do SpecCompiler de renderizar fórmulas matemáticas complexas usando notação AsciiMath.</w:t>
      </w:r>
    </w:p>
    <w:bookmarkEnd w:id="55"/>
    <w:bookmarkEnd w:id="56"/>
    <w:bookmarkEnd w:id="57"/>
    <w:bookmarkStart w:id="61" w:name="TRABALHO_ACADEMICO-sec4"/>
    <w:p>
      <w:pPr>
        <w:pStyle w:val="Heading1"/>
        <w:numPr>
          <w:ilvl w:val="0"/>
          <w:numId w:val="1"/>
        </w:numPr>
      </w:pPr>
      <w:r>
        <w:t xml:space="preserve">Citações e Referências Bibliográficas</w:t>
      </w:r>
    </w:p>
    <w:p>
      <w:pPr>
        <w:pStyle w:val="FirstParagraph"/>
      </w:pPr>
      <w:r>
        <w:t xml:space="preserve">O SpecCompiler utiliza Citeproc para processar citações, um único arquivo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e um estilo CSL são suficientes. O processamento segue as normas NBR 10520</w:t>
      </w:r>
      <w:r>
        <w:t xml:space="preserve"> </w:t>
      </w:r>
      <w:r>
        <w:t xml:space="preserve">(</w:t>
      </w:r>
      <w:r>
        <w:t xml:space="preserve">NBR</w:t>
      </w:r>
      <w:r>
        <w:t xml:space="preserve"> </w:t>
      </w:r>
      <w:r>
        <w:t xml:space="preserve">10520, 2002)</w:t>
      </w:r>
      <w:r>
        <w:t xml:space="preserve"> </w:t>
      </w:r>
      <w:r>
        <w:t xml:space="preserve">e NBR 6023</w:t>
      </w:r>
      <w:r>
        <w:t xml:space="preserve"> </w:t>
      </w:r>
      <w:r>
        <w:t xml:space="preserve">(</w:t>
      </w:r>
      <w:r>
        <w:t xml:space="preserve">NBR</w:t>
      </w:r>
      <w:r>
        <w:t xml:space="preserve"> </w:t>
      </w:r>
      <w:r>
        <w:t xml:space="preserve">6023, 2018)</w:t>
      </w:r>
      <w:r>
        <w:t xml:space="preserve">.</w:t>
      </w:r>
    </w:p>
    <w:bookmarkStart w:id="58" w:name="TRABALHO_ACADEMICO-sec4.1"/>
    <w:p>
      <w:pPr>
        <w:pStyle w:val="Heading2"/>
        <w:numPr>
          <w:ilvl w:val="1"/>
          <w:numId w:val="1"/>
        </w:numPr>
      </w:pPr>
      <w:r>
        <w:t xml:space="preserve">Tipos de Citação</w:t>
      </w:r>
    </w:p>
    <w:p>
      <w:pPr>
        <w:pStyle w:val="FirstParagraph"/>
      </w:pPr>
      <w:r>
        <w:rPr>
          <w:b/>
          <w:bCs/>
        </w:rPr>
        <w:t xml:space="preserve">Citação indireta</w:t>
      </w:r>
      <w:r>
        <w:t xml:space="preserve"> </w:t>
      </w:r>
      <w:r>
        <w:t xml:space="preserve">(entre parênteses): A referência aparece ao final da frase.</w:t>
      </w:r>
    </w:p>
    <w:p>
      <w:pPr>
        <w:pStyle w:val="BlockText"/>
      </w:pPr>
      <w:r>
        <w:t xml:space="preserve">A formatação de trabalhos acadêmicos deve seguir normas padronizadas</w:t>
      </w:r>
      <w:r>
        <w:t xml:space="preserve"> </w:t>
      </w:r>
      <w:r>
        <w:t xml:space="preserve">(</w:t>
      </w:r>
      <w:r>
        <w:t xml:space="preserve">NBR</w:t>
      </w:r>
      <w:r>
        <w:t xml:space="preserve"> </w:t>
      </w:r>
      <w:r>
        <w:t xml:space="preserve">14724, 2011)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Citação direta</w:t>
      </w:r>
      <w:r>
        <w:t xml:space="preserve"> </w:t>
      </w:r>
      <w:r>
        <w:t xml:space="preserve">(no texto): O autor faz parte da sentença.</w:t>
      </w:r>
    </w:p>
    <w:p>
      <w:pPr>
        <w:pStyle w:val="BlockText"/>
      </w:pPr>
      <w:r>
        <w:t xml:space="preserve">Segundo</w:t>
      </w:r>
      <w:r>
        <w:t xml:space="preserve"> </w:t>
      </w:r>
      <w:r>
        <w:t xml:space="preserve">NBR</w:t>
      </w:r>
      <w:r>
        <w:t xml:space="preserve"> </w:t>
      </w:r>
      <w:r>
        <w:t xml:space="preserve">14724 (2011)</w:t>
      </w:r>
      <w:r>
        <w:t xml:space="preserve">, os trabalhos acadêmicos devem conter elementos pré-textuais, textuais e pós-textuais.</w:t>
      </w:r>
    </w:p>
    <w:bookmarkEnd w:id="58"/>
    <w:bookmarkStart w:id="59" w:name="TRABALHO_ACADEMICO-sec4.2"/>
    <w:p>
      <w:pPr>
        <w:pStyle w:val="Heading2"/>
        <w:numPr>
          <w:ilvl w:val="1"/>
          <w:numId w:val="1"/>
        </w:numPr>
      </w:pPr>
      <w:r>
        <w:t xml:space="preserve">Múltiplas Citações</w:t>
      </w:r>
    </w:p>
    <w:p>
      <w:pPr>
        <w:pStyle w:val="FirstParagraph"/>
      </w:pPr>
      <w:r>
        <w:t xml:space="preserve">Para citar múltiplas obras simultaneamente, separe as chaves com ponto e vírgula:</w:t>
      </w:r>
    </w:p>
    <w:p>
      <w:pPr>
        <w:pStyle w:val="BlockText"/>
      </w:pPr>
      <w:r>
        <w:t xml:space="preserve">Diversos autores tratam da normalização de documentos acadêmicos</w:t>
      </w:r>
      <w:r>
        <w:t xml:space="preserve"> </w:t>
      </w:r>
      <w:r>
        <w:t xml:space="preserve">(</w:t>
      </w:r>
      <w:r>
        <w:t xml:space="preserve">NBR</w:t>
      </w:r>
      <w:r>
        <w:t xml:space="preserve"> </w:t>
      </w:r>
      <w:r>
        <w:t xml:space="preserve">10520, 2002;</w:t>
      </w:r>
      <w:r>
        <w:t xml:space="preserve"> </w:t>
      </w:r>
      <w:r>
        <w:t xml:space="preserve">NBR</w:t>
      </w:r>
      <w:r>
        <w:t xml:space="preserve"> </w:t>
      </w:r>
      <w:r>
        <w:t xml:space="preserve">14724, 2011;</w:t>
      </w:r>
      <w:r>
        <w:t xml:space="preserve"> </w:t>
      </w:r>
      <w:r>
        <w:t xml:space="preserve">NBR</w:t>
      </w:r>
      <w:r>
        <w:t xml:space="preserve"> </w:t>
      </w:r>
      <w:r>
        <w:t xml:space="preserve">6023, 2018)</w:t>
      </w:r>
      <w:r>
        <w:t xml:space="preserve">.</w:t>
      </w:r>
    </w:p>
    <w:bookmarkEnd w:id="59"/>
    <w:bookmarkStart w:id="60" w:name="TRABALHO_ACADEMICO-sec4.3"/>
    <w:p>
      <w:pPr>
        <w:pStyle w:val="Heading2"/>
        <w:numPr>
          <w:ilvl w:val="1"/>
          <w:numId w:val="1"/>
        </w:numPr>
      </w:pPr>
      <w:r>
        <w:t xml:space="preserve">Configuração: Citeproc e CSL</w:t>
      </w:r>
    </w:p>
    <w:p>
      <w:pPr>
        <w:pStyle w:val="FirstParagraph"/>
      </w:pPr>
      <w:r>
        <w:t xml:space="preserve">O processamento de citações utiliza dois componentes: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Citeproc</w:t>
      </w:r>
      <w:r>
        <w:t xml:space="preserve">: Processador de citações integrado ao Pandoc que converte</w:t>
      </w:r>
      <w:r>
        <w:t xml:space="preserve"> </w:t>
      </w:r>
      <w:r>
        <w:rPr>
          <w:rStyle w:val="VerbatimChar"/>
        </w:rPr>
        <w:t xml:space="preserve">[chave](@cite)</w:t>
      </w:r>
      <w:r>
        <w:t xml:space="preserve"> </w:t>
      </w:r>
      <w:r>
        <w:t xml:space="preserve">em citações formatadas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CSL (Citation Style Language)</w:t>
      </w:r>
      <w:r>
        <w:t xml:space="preserve">: Arquivo XML que define o estilo de formatação das citações</w:t>
      </w:r>
    </w:p>
    <w:p>
      <w:pPr>
        <w:pStyle w:val="FirstParagraph"/>
      </w:pPr>
      <w:r>
        <w:t xml:space="preserve">O template ABNT inclui o arquivo</w:t>
      </w:r>
      <w:r>
        <w:t xml:space="preserve"> </w:t>
      </w:r>
      <w:r>
        <w:rPr>
          <w:rStyle w:val="VerbatimChar"/>
        </w:rPr>
        <w:t xml:space="preserve">citations.csl</w:t>
      </w:r>
      <w:r>
        <w:t xml:space="preserve"> </w:t>
      </w:r>
      <w:r>
        <w:t xml:space="preserve">com o estilo ABNT (autor-data). A configuração é feita no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Configuração de bibliografia (citeproc)</w:t>
      </w:r>
      <w:r>
        <w:br/>
      </w:r>
      <w:r>
        <w:rPr>
          <w:rStyle w:val="VerbatimChar"/>
        </w:rPr>
        <w:t xml:space="preserve">bibliography: references.bib</w:t>
      </w:r>
      <w:r>
        <w:br/>
      </w:r>
      <w:r>
        <w:rPr>
          <w:rStyle w:val="VerbatimChar"/>
        </w:rPr>
        <w:t xml:space="preserve">csl: ../dist/citations.csl</w:t>
      </w:r>
    </w:p>
    <w:p>
      <w:pPr>
        <w:pStyle w:val="FirstParagraph"/>
      </w:pPr>
      <w:r>
        <w:t xml:space="preserve">O estilo ABNT segue a NBR 10520</w:t>
      </w:r>
      <w:r>
        <w:t xml:space="preserve"> </w:t>
      </w:r>
      <w:r>
        <w:t xml:space="preserve">(</w:t>
      </w:r>
      <w:r>
        <w:t xml:space="preserve">NBR</w:t>
      </w:r>
      <w:r>
        <w:t xml:space="preserve"> </w:t>
      </w:r>
      <w:r>
        <w:t xml:space="preserve">10520, 2002)</w:t>
      </w:r>
      <w:r>
        <w:t xml:space="preserve"> </w:t>
      </w:r>
      <w:r>
        <w:t xml:space="preserve">para citações e NBR 6023</w:t>
      </w:r>
      <w:r>
        <w:t xml:space="preserve"> </w:t>
      </w:r>
      <w:r>
        <w:t xml:space="preserve">(</w:t>
      </w:r>
      <w:r>
        <w:t xml:space="preserve">NBR</w:t>
      </w:r>
      <w:r>
        <w:t xml:space="preserve"> </w:t>
      </w:r>
      <w:r>
        <w:t xml:space="preserve">6023, 2018)</w:t>
      </w:r>
      <w:r>
        <w:t xml:space="preserve"> </w:t>
      </w:r>
      <w:r>
        <w:t xml:space="preserve">para referências.</w:t>
      </w:r>
    </w:p>
    <w:bookmarkEnd w:id="60"/>
    <w:bookmarkEnd w:id="61"/>
    <w:bookmarkStart w:id="65" w:name="TRABALHO_ACADEMICO-sec5"/>
    <w:p>
      <w:pPr>
        <w:pStyle w:val="Heading1"/>
        <w:numPr>
          <w:ilvl w:val="0"/>
          <w:numId w:val="1"/>
        </w:numPr>
      </w:pPr>
      <w:r>
        <w:t xml:space="preserve">Referências Cruzadas</w:t>
      </w:r>
    </w:p>
    <w:p>
      <w:pPr>
        <w:pStyle w:val="FirstParagraph"/>
      </w:pPr>
      <w:r>
        <w:t xml:space="preserve">O SpecCompiler suporta referências cruzadas para figuras, tabelas, quadros e seções:</w:t>
      </w:r>
    </w:p>
    <w:p>
      <w:pPr>
        <w:pStyle w:val="Compact"/>
        <w:numPr>
          <w:ilvl w:val="0"/>
          <w:numId w:val="1010"/>
        </w:numPr>
      </w:pPr>
      <w:r>
        <w:t xml:space="preserve">Figuras: conforme demonstrado na</w:t>
      </w:r>
      <w:r>
        <w:t xml:space="preserve"> </w:t>
      </w:r>
      <w:hyperlink w:anchor="fig-capybara">
        <w:r>
          <w:rPr>
            <w:rStyle w:val="Hyperlink"/>
          </w:rPr>
          <w:t xml:space="preserve">Figura 1</w:t>
        </w:r>
      </w:hyperlink>
    </w:p>
    <w:p>
      <w:pPr>
        <w:pStyle w:val="Compact"/>
        <w:numPr>
          <w:ilvl w:val="0"/>
          <w:numId w:val="1010"/>
        </w:numPr>
      </w:pPr>
      <w:r>
        <w:t xml:space="preserve">Tabelas: os dados da</w:t>
      </w:r>
      <w:r>
        <w:t xml:space="preserve"> </w:t>
      </w:r>
      <w:hyperlink w:anchor="tab-dados-regionais">
        <w:r>
          <w:rPr>
            <w:rStyle w:val="Hyperlink"/>
          </w:rPr>
          <w:t xml:space="preserve">Tabela 3</w:t>
        </w:r>
      </w:hyperlink>
      <w:r>
        <w:t xml:space="preserve"> </w:t>
      </w:r>
      <w:r>
        <w:t xml:space="preserve">mostram…</w:t>
      </w:r>
    </w:p>
    <w:p>
      <w:pPr>
        <w:pStyle w:val="Compact"/>
        <w:numPr>
          <w:ilvl w:val="0"/>
          <w:numId w:val="1010"/>
        </w:numPr>
      </w:pPr>
      <w:r>
        <w:t xml:space="preserve">Quadros: o</w:t>
      </w:r>
      <w:r>
        <w:t xml:space="preserve"> </w:t>
      </w:r>
      <w:hyperlink w:anchor="src-diferenca-tabela-quadro">
        <w:r>
          <w:rPr>
            <w:rStyle w:val="Hyperlink"/>
          </w:rPr>
          <w:t xml:space="preserve">Quadro 2</w:t>
        </w:r>
      </w:hyperlink>
      <w:r>
        <w:t xml:space="preserve"> </w:t>
      </w:r>
      <w:r>
        <w:t xml:space="preserve">explica…</w:t>
      </w:r>
    </w:p>
    <w:p>
      <w:pPr>
        <w:pStyle w:val="FirstParagraph"/>
      </w:pPr>
      <w:r>
        <w:t xml:space="preserve">A sintaxe usa</w:t>
      </w:r>
      <w:r>
        <w:t xml:space="preserve"> </w:t>
      </w:r>
      <w:r>
        <w:rPr>
          <w:rStyle w:val="VerbatimChar"/>
        </w:rPr>
        <w:t xml:space="preserve">[type:identificador](#)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Figura \[fig:id](#)</w:t>
      </w:r>
      <w:r>
        <w:br/>
      </w:r>
      <w:r>
        <w:rPr>
          <w:rStyle w:val="VerbatimChar"/>
        </w:rPr>
        <w:t xml:space="preserve">Tabela \[csv:id](#)</w:t>
      </w:r>
      <w:r>
        <w:br/>
      </w:r>
      <w:r>
        <w:rPr>
          <w:rStyle w:val="VerbatimChar"/>
        </w:rPr>
        <w:t xml:space="preserve">Quadro \[listing:id](#)</w:t>
      </w:r>
    </w:p>
    <w:p>
      <w:pPr>
        <w:pStyle w:val="FirstParagraph"/>
      </w:pPr>
      <w:r>
        <w:t xml:space="preserve">O sistema infere o</w:t>
      </w:r>
      <w:r>
        <w:t xml:space="preserve"> </w:t>
      </w:r>
      <w:r>
        <w:rPr>
          <w:b/>
          <w:bCs/>
        </w:rPr>
        <w:t xml:space="preserve">tipo de relação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XREF_FIGURE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XREF_TABLE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XREF_LISTING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XREF_MATH</w:t>
      </w:r>
      <w:r>
        <w:t xml:space="preserve">) para cada elemento flutuante durante a compilação. O gráfico a seguir (</w:t>
      </w:r>
      <w:hyperlink w:anchor="echarts-xref-usage">
        <w:r>
          <w:rPr>
            <w:rStyle w:val="Hyperlink"/>
          </w:rPr>
          <w:t xml:space="preserve">Gráfico 3</w:t>
        </w:r>
      </w:hyperlink>
      <w:r>
        <w:t xml:space="preserve">) mostra a distribuição desses tipos por seção—dados extraídos diretamente do banco de dados do documento:</w:t>
      </w:r>
    </w:p>
    <w:p>
      <w:pPr>
        <w:spacing w:before="0" w:after="0" w:lineRule="exact" w:line="20"/>
        <w:rPr>
          <w:sz w:val="2"/>
        </w:rPr>
      </w:pPr>
      <w:bookmarkStart w:id="34627" w:name="echarts-xref-usage"/>
      <w:bookmarkEnd w:id="34627"/>
    </w:p>
    <w:p>
      <w:pPr>
        <w:pStyle w:val="Caption"/>
        <w:keepNext/>
      </w:pPr>
      <w:r>
        <w:t xml:space="preserve">Gráfico </w:t>
      </w:r>
      <w:r>
        <w:fldChar w:fldCharType="begin"/>
      </w:r>
      <w:r>
        <w:instrText xml:space="preserve"> SEQ Grafico \* ARABIC </w:instrText>
      </w:r>
      <w:r>
        <w:fldChar w:fldCharType="separate"/>
      </w:r>
      <w:r>
        <w:t>1</w:t>
      </w:r>
      <w:r>
        <w:fldChar w:fldCharType="end"/>
      </w:r>
      <w:r>
        <w:t xml:space="preserve"> – Tipos XREF por Seção — inferência de relações em tempo de compilação</w:t>
      </w:r>
    </w:p>
    <w:p>
      <w:pPr>
        <w:pStyle w:val="BodyText"/>
        <w:jc w:val="center"/>
        <w:keepNext/>
      </w:pPr>
      <w:r>
        <w:drawing>
          <wp:inline>
            <wp:extent cx="5334000" cy="298704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harts/8c7891c20c9ed8dd159fd5db2e84e8a599f6b15a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TRABALHO_ACADEMICO-sec6"/>
    <w:p>
      <w:pPr>
        <w:pStyle w:val="Heading1"/>
        <w:numPr>
          <w:ilvl w:val="0"/>
          <w:numId w:val="1"/>
        </w:numPr>
      </w:pPr>
      <w:r>
        <w:t xml:space="preserve">Siglas e Abreviaturas</w:t>
      </w:r>
    </w:p>
    <w:p>
      <w:pPr>
        <w:pStyle w:val="FirstParagraph"/>
      </w:pPr>
      <w:r>
        <w:t xml:space="preserve">O SpecCompiler gerencia siglas automaticamente. Na primeira ocorrência, o termo completo é exibido com a sigla entre parênteses. Nas ocorrências seguintes, apenas a sigla aparece.</w:t>
      </w:r>
    </w:p>
    <w:p>
      <w:pPr>
        <w:pStyle w:val="BodyText"/>
      </w:pPr>
      <w:r>
        <w:t xml:space="preserve">Para definir uma sigla, use:</w:t>
      </w:r>
    </w:p>
    <w:p>
      <w:pPr>
        <w:pStyle w:val="SourceCode"/>
      </w:pPr>
      <w:r>
        <w:rPr>
          <w:rStyle w:val="VerbatimChar"/>
        </w:rPr>
        <w:t xml:space="preserve">`sigla: Termo Completo (SIGLA)`</w:t>
      </w:r>
    </w:p>
    <w:p>
      <w:pPr>
        <w:pStyle w:val="FirstParagraph"/>
      </w:pPr>
      <w:r>
        <w:t xml:space="preserve">Ao longo deste documento, várias siglas foram utilizadas: ABNT, SDN, ECH, UML, IBGE. Todas aparecem automaticamente na Lista de Abreviaturas e Siglas.</w:t>
      </w:r>
    </w:p>
    <w:bookmarkEnd w:id="66"/>
    <w:bookmarkStart w:id="72" w:name="TRABALHO_ACADEMICO-sec7"/>
    <w:p>
      <w:pPr>
        <w:pStyle w:val="Heading1"/>
        <w:numPr>
          <w:ilvl w:val="0"/>
          <w:numId w:val="1"/>
        </w:numPr>
      </w:pPr>
      <w:r>
        <w:t xml:space="preserve">Peculiaridades das Normas ABNT</w:t>
      </w:r>
    </w:p>
    <w:p>
      <w:pPr>
        <w:pStyle w:val="FirstParagraph"/>
      </w:pPr>
      <w:r>
        <w:t xml:space="preserve">As normas ABNT para trabalhos acadêmicos incluem requisitos complexos que o SpecCompiler implementa.</w:t>
      </w:r>
    </w:p>
    <w:bookmarkStart w:id="67" w:name="TRABALHO_ACADEMICO-sec7.1"/>
    <w:p>
      <w:pPr>
        <w:pStyle w:val="Heading2"/>
        <w:numPr>
          <w:ilvl w:val="1"/>
          <w:numId w:val="1"/>
        </w:numPr>
      </w:pPr>
      <w:r>
        <w:t xml:space="preserve">Numeração de Páginas</w:t>
      </w:r>
    </w:p>
    <w:p>
      <w:pPr>
        <w:pStyle w:val="FirstParagraph"/>
      </w:pPr>
      <w:r>
        <w:t xml:space="preserve">A NBR 14724</w:t>
      </w:r>
      <w:r>
        <w:t xml:space="preserve"> </w:t>
      </w:r>
      <w:r>
        <w:t xml:space="preserve">(</w:t>
      </w:r>
      <w:r>
        <w:t xml:space="preserve">NBR</w:t>
      </w:r>
      <w:r>
        <w:t xml:space="preserve"> </w:t>
      </w:r>
      <w:r>
        <w:t xml:space="preserve">14724, 2011)</w:t>
      </w:r>
      <w:r>
        <w:t xml:space="preserve"> </w:t>
      </w:r>
      <w:r>
        <w:t xml:space="preserve">estabelece que os elementos pré-textuais são</w:t>
      </w:r>
      <w:r>
        <w:t xml:space="preserve"> </w:t>
      </w:r>
      <w:r>
        <w:rPr>
          <w:b/>
          <w:bCs/>
        </w:rPr>
        <w:t xml:space="preserve">contados, mas não numerados</w:t>
      </w:r>
      <w:r>
        <w:t xml:space="preserve">. A numeração visível começa apenas na parte textual, em algarismos arábicos.</w:t>
      </w:r>
    </w:p>
    <w:p>
      <w:pPr>
        <w:pStyle w:val="BodyText"/>
      </w:pPr>
      <w:r>
        <w:t xml:space="preserve">Curiosamente, o uso de algarismos romanos no súmario para elementos pré-textuais não é exigido pela norma, mas uma adição que tornou-se quase padrão.</w:t>
      </w:r>
    </w:p>
    <w:bookmarkEnd w:id="67"/>
    <w:bookmarkStart w:id="68" w:name="TRABALHO_ACADEMICO-sec7.2"/>
    <w:p>
      <w:pPr>
        <w:pStyle w:val="Heading2"/>
        <w:numPr>
          <w:ilvl w:val="1"/>
          <w:numId w:val="1"/>
        </w:numPr>
      </w:pPr>
      <w:r>
        <w:t xml:space="preserve">Capítulos em Páginas Ímpares</w:t>
      </w:r>
    </w:p>
    <w:p>
      <w:pPr>
        <w:pStyle w:val="FirstParagraph"/>
      </w:pPr>
      <w:r>
        <w:t xml:space="preserve">Para impressão frente e verso, a norma exige que capítulos iniciem em páginas ímpares (lado direito do documento aberto). O SpecCompiler insere automaticamente páginas em branco quando necessário.</w:t>
      </w:r>
    </w:p>
    <w:bookmarkEnd w:id="68"/>
    <w:bookmarkStart w:id="69" w:name="TRABALHO_ACADEMICO-sec7.3"/>
    <w:p>
      <w:pPr>
        <w:pStyle w:val="Heading2"/>
        <w:numPr>
          <w:ilvl w:val="1"/>
          <w:numId w:val="1"/>
        </w:numPr>
      </w:pPr>
      <w:r>
        <w:t xml:space="preserve">Margens Espelhadas</w:t>
      </w:r>
    </w:p>
    <w:p>
      <w:pPr>
        <w:pStyle w:val="FirstParagraph"/>
      </w:pPr>
      <w:r>
        <w:t xml:space="preserve">Para encadernação, as margens são espelhadas:</w:t>
      </w:r>
    </w:p>
    <w:p>
      <w:pPr>
        <w:pStyle w:val="Compact"/>
        <w:numPr>
          <w:ilvl w:val="0"/>
          <w:numId w:val="1011"/>
        </w:numPr>
      </w:pPr>
      <w:r>
        <w:t xml:space="preserve">Margem interna (encadernação): 3 cm</w:t>
      </w:r>
    </w:p>
    <w:p>
      <w:pPr>
        <w:pStyle w:val="Compact"/>
        <w:numPr>
          <w:ilvl w:val="0"/>
          <w:numId w:val="1011"/>
        </w:numPr>
      </w:pPr>
      <w:r>
        <w:t xml:space="preserve">Margem externa: 2 cm</w:t>
      </w:r>
    </w:p>
    <w:bookmarkEnd w:id="69"/>
    <w:bookmarkStart w:id="70" w:name="TRABALHO_ACADEMICO-sec7.4"/>
    <w:p>
      <w:pPr>
        <w:pStyle w:val="Heading2"/>
        <w:numPr>
          <w:ilvl w:val="1"/>
          <w:numId w:val="1"/>
        </w:numPr>
      </w:pPr>
      <w:r>
        <w:t xml:space="preserve">Formatação de Tabelas (Padrão IBGE)</w:t>
      </w:r>
    </w:p>
    <w:p>
      <w:pPr>
        <w:pStyle w:val="FirstParagraph"/>
      </w:pPr>
      <w:r>
        <w:t xml:space="preserve">Tabelas seguem o padrão do IBGE</w:t>
      </w:r>
      <w:r>
        <w:t xml:space="preserve"> </w:t>
      </w:r>
      <w:r>
        <w:t xml:space="preserve">(IBGE, 1993)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Bordas abertas nas laterais</w:t>
      </w:r>
    </w:p>
    <w:p>
      <w:pPr>
        <w:pStyle w:val="Compact"/>
        <w:numPr>
          <w:ilvl w:val="0"/>
          <w:numId w:val="1012"/>
        </w:numPr>
      </w:pPr>
      <w:r>
        <w:t xml:space="preserve">Apenas linhas horizontais (topo, separador, base)</w:t>
      </w:r>
    </w:p>
    <w:p>
      <w:pPr>
        <w:pStyle w:val="Compact"/>
        <w:numPr>
          <w:ilvl w:val="0"/>
          <w:numId w:val="1012"/>
        </w:numPr>
      </w:pPr>
      <w:r>
        <w:t xml:space="preserve">Título acima da tabela</w:t>
      </w:r>
    </w:p>
    <w:p>
      <w:pPr>
        <w:pStyle w:val="Compact"/>
        <w:numPr>
          <w:ilvl w:val="0"/>
          <w:numId w:val="1012"/>
        </w:numPr>
      </w:pPr>
      <w:r>
        <w:t xml:space="preserve">Fonte abaixo</w:t>
      </w:r>
    </w:p>
    <w:bookmarkEnd w:id="70"/>
    <w:bookmarkStart w:id="71" w:name="TRABALHO_ACADEMICO-sec7.5"/>
    <w:p>
      <w:pPr>
        <w:pStyle w:val="Heading2"/>
        <w:numPr>
          <w:ilvl w:val="1"/>
          <w:numId w:val="1"/>
        </w:numPr>
      </w:pPr>
      <w:r>
        <w:t xml:space="preserve">Template Extensível</w:t>
      </w:r>
    </w:p>
    <w:p>
      <w:pPr>
        <w:pStyle w:val="FirstParagraph"/>
      </w:pPr>
      <w:r>
        <w:t xml:space="preserve">O template ABNT é apenas um exemplo das capacidades do SpecCompiler. O sistema de extensões permite criar templates para qualquer padrão documental — Institute of Electrical and Electronics Engineers (IEEE), American Psychological Association (APA), normas corporativas, etc.</w:t>
      </w:r>
    </w:p>
    <w:p>
      <w:pPr>
        <w:pStyle w:val="BodyText"/>
      </w:pPr>
      <w:r>
        <w:t xml:space="preserve">O template ABNT estende o template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herdando funcionalidades como gráficos, PlantUML e tabelas (list-table, CSV, TSV) e adicionando tipos específicos para a estrutura acadêmica brasileira.</w:t>
      </w:r>
    </w:p>
    <w:p>
      <w:pPr>
        <w:spacing w:before="0" w:after="0" w:lineRule="auto" w:line="240"/>
      </w:pPr>
      <w:r>
        <w:br w:type="page"/>
      </w:r>
    </w:p>
    <w:bookmarkEnd w:id="71"/>
    <w:bookmarkEnd w:id="72"/>
    <w:bookmarkStart w:id="73" w:name="CONCLUSION-001"/>
    <w:p>
      <w:pPr>
        <w:pStyle w:val="Heading1"/>
        <w:numPr>
          <w:ilvl w:val="0"/>
          <w:numId w:val="1"/>
        </w:numPr>
      </w:pPr>
      <w:r>
        <w:t xml:space="preserve">Conclusão</w:t>
      </w:r>
    </w:p>
    <w:bookmarkEnd w:id="73"/>
    <w:p>
      <w:pPr>
        <w:pStyle w:val="FirstParagraph"/>
      </w:pPr>
      <w:r>
        <w:t xml:space="preserve">Este documento demonstrou como utilizar o template ABNT do SpecCompiler para criar trabalhos acadêmicos em conformidade com a NBR 14724</w:t>
      </w:r>
      <w:r>
        <w:t xml:space="preserve"> </w:t>
      </w:r>
      <w:r>
        <w:t xml:space="preserve">(</w:t>
      </w:r>
      <w:r>
        <w:t xml:space="preserve">NBR</w:t>
      </w:r>
      <w:r>
        <w:t xml:space="preserve"> </w:t>
      </w:r>
      <w:r>
        <w:t xml:space="preserve">14724, 2011)</w:t>
      </w:r>
      <w:r>
        <w:t xml:space="preserve">. Através de exemplos práticos, foram apresentados:</w:t>
      </w:r>
    </w:p>
    <w:p>
      <w:pPr>
        <w:pStyle w:val="Compact"/>
        <w:numPr>
          <w:ilvl w:val="0"/>
          <w:numId w:val="1013"/>
        </w:numPr>
      </w:pPr>
      <w:r>
        <w:t xml:space="preserve">Inserção de figuras com legendas padronizadas (</w:t>
      </w:r>
      <w:hyperlink w:anchor="fig-capybara">
        <w:r>
          <w:rPr>
            <w:rStyle w:val="Hyperlink"/>
          </w:rPr>
          <w:t xml:space="preserve">Figura 1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Gráficos com dados do banco (</w:t>
      </w:r>
      <w:hyperlink w:anchor="echarts-abnt-types">
        <w:r>
          <w:rPr>
            <w:rStyle w:val="Hyperlink"/>
          </w:rPr>
          <w:t xml:space="preserve">Gráfico 1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Diagramas PlantUML (</w:t>
      </w:r>
      <w:hyperlink w:anchor="puml-fluxo-documento">
        <w:r>
          <w:rPr>
            <w:rStyle w:val="Hyperlink"/>
          </w:rPr>
          <w:t xml:space="preserve">Figura 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Tabelas com sintaxe list-table (</w:t>
      </w:r>
      <w:hyperlink w:anchor="tab-elementos-pretextuais">
        <w:r>
          <w:rPr>
            <w:rStyle w:val="Hyperlink"/>
          </w:rPr>
          <w:t xml:space="preserve">Tabela 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Tabelas com sintaxe CSV (</w:t>
      </w:r>
      <w:hyperlink w:anchor="tab-dados-regionais">
        <w:r>
          <w:rPr>
            <w:rStyle w:val="Hyperlink"/>
          </w:rPr>
          <w:t xml:space="preserve">Tabela 3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Quadros para informações textuais (</w:t>
      </w:r>
      <w:hyperlink w:anchor="src-vantagens-SpecCompiler">
        <w:r>
          <w:rPr>
            <w:rStyle w:val="Hyperlink"/>
          </w:rPr>
          <w:t xml:space="preserve">Quadro 3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Citações bibliográficas conforme ABNT</w:t>
      </w:r>
    </w:p>
    <w:p>
      <w:pPr>
        <w:pStyle w:val="Compact"/>
        <w:numPr>
          <w:ilvl w:val="0"/>
          <w:numId w:val="1013"/>
        </w:numPr>
      </w:pPr>
      <w:r>
        <w:t xml:space="preserve">Referências cruzadas automáticas</w:t>
      </w:r>
    </w:p>
    <w:p>
      <w:pPr>
        <w:pStyle w:val="Compact"/>
        <w:numPr>
          <w:ilvl w:val="0"/>
          <w:numId w:val="1013"/>
        </w:numPr>
      </w:pPr>
      <w:r>
        <w:t xml:space="preserve">Gerenciamento de siglas</w:t>
      </w:r>
    </w:p>
    <w:bookmarkStart w:id="74" w:name="TRABALHO_ACADEMICO-sec7.6"/>
    <w:p>
      <w:pPr>
        <w:pStyle w:val="Heading2"/>
        <w:numPr>
          <w:ilvl w:val="1"/>
          <w:numId w:val="1"/>
        </w:numPr>
      </w:pPr>
      <w:r>
        <w:t xml:space="preserve">Documentação e Relatórios</w:t>
      </w:r>
    </w:p>
    <w:p>
      <w:pPr>
        <w:pStyle w:val="FirstParagraph"/>
      </w:pPr>
      <w:r>
        <w:t xml:space="preserve">Ferramentas tradicionais separam</w:t>
      </w:r>
      <w:r>
        <w:t xml:space="preserve"> </w:t>
      </w:r>
      <w:r>
        <w:rPr>
          <w:b/>
          <w:bCs/>
        </w:rPr>
        <w:t xml:space="preserve">documentação</w:t>
      </w:r>
      <w:r>
        <w:t xml:space="preserve"> </w:t>
      </w:r>
      <w:r>
        <w:t xml:space="preserve">(conteúdo estático, escrito manualmente) de</w:t>
      </w:r>
      <w:r>
        <w:t xml:space="preserve"> </w:t>
      </w:r>
      <w:r>
        <w:rPr>
          <w:b/>
          <w:bCs/>
        </w:rPr>
        <w:t xml:space="preserve">relatórios</w:t>
      </w:r>
      <w:r>
        <w:t xml:space="preserve"> </w:t>
      </w:r>
      <w:r>
        <w:t xml:space="preserve">(conteúdo dinâmico, gerado de dados). O SpecCompiler dissolve essa fronteira.</w:t>
      </w:r>
    </w:p>
    <w:p>
      <w:pPr>
        <w:pStyle w:val="BodyText"/>
      </w:pPr>
      <w:r>
        <w:t xml:space="preserve">Neste documento, elementos como: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toc:</w:t>
      </w:r>
      <w:r>
        <w:t xml:space="preserve"> </w:t>
      </w:r>
      <w:r>
        <w:t xml:space="preserve">— sumário gerado automaticamente da estrutura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lof:</w:t>
      </w:r>
      <w:r>
        <w:t xml:space="preserve"> </w:t>
      </w:r>
      <w:r>
        <w:t xml:space="preserve">— lista de figuras extraída do banco de dados</w:t>
      </w:r>
    </w:p>
    <w:p>
      <w:pPr>
        <w:pStyle w:val="Compact"/>
        <w:numPr>
          <w:ilvl w:val="0"/>
          <w:numId w:val="1014"/>
        </w:numPr>
      </w:pPr>
      <w:r>
        <w:t xml:space="preserve">[ABBREVIATION LIST] — lista de siglas populada durante a compilação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chart:abnt-types{query="..."}</w:t>
      </w:r>
      <w:r>
        <w:t xml:space="preserve"> </w:t>
      </w:r>
      <w:r>
        <w:t xml:space="preserve">— gráfico que consulta views SQL</w:t>
      </w:r>
    </w:p>
    <w:p>
      <w:pPr>
        <w:pStyle w:val="FirstParagraph"/>
      </w:pPr>
      <w:r>
        <w:t xml:space="preserve">…não são conteúdo estático. São</w:t>
      </w:r>
      <w:r>
        <w:t xml:space="preserve"> </w:t>
      </w:r>
      <w:r>
        <w:rPr>
          <w:b/>
          <w:bCs/>
        </w:rPr>
        <w:t xml:space="preserve">consultas materializadas</w:t>
      </w:r>
      <w:r>
        <w:t xml:space="preserve"> </w:t>
      </w:r>
      <w:r>
        <w:t xml:space="preserve">que se atualizam a cada build. O documento é simultaneamente</w:t>
      </w:r>
      <w:r>
        <w:t xml:space="preserve"> </w:t>
      </w:r>
      <w:r>
        <w:rPr>
          <w:b/>
          <w:bCs/>
        </w:rPr>
        <w:t xml:space="preserve">documentação</w:t>
      </w:r>
      <w:r>
        <w:t xml:space="preserve"> </w:t>
      </w:r>
      <w:r>
        <w:t xml:space="preserve">(texto autoral) e</w:t>
      </w:r>
      <w:r>
        <w:t xml:space="preserve"> </w:t>
      </w:r>
      <w:r>
        <w:rPr>
          <w:b/>
          <w:bCs/>
        </w:rPr>
        <w:t xml:space="preserve">relatório</w:t>
      </w:r>
      <w:r>
        <w:t xml:space="preserve"> </w:t>
      </w:r>
      <w:r>
        <w:t xml:space="preserve">(dados do sistema).</w:t>
      </w:r>
    </w:p>
    <w:p>
      <w:pPr>
        <w:pStyle w:val="BodyText"/>
      </w:pPr>
      <w:r>
        <w:t xml:space="preserve">Essa fusão é possível porque o SpecCompiler armazena tudo em SQLite: objetos, relações, atributos, hierarquias. Views SQL podem agregar, filtrar e projetar esses dados—e gráficos ECharts podem visualizá-los.</w:t>
      </w:r>
    </w:p>
    <w:p>
      <w:pPr>
        <w:pStyle w:val="BodyText"/>
      </w:pPr>
      <w:r>
        <w:t xml:space="preserve">O mesmo mecanismo que gera</w:t>
      </w:r>
      <w:r>
        <w:t xml:space="preserve"> </w:t>
      </w:r>
      <w:r>
        <w:t xml:space="preserve">“Lista de Figuras”</w:t>
      </w:r>
      <w:r>
        <w:t xml:space="preserve"> </w:t>
      </w:r>
      <w:r>
        <w:t xml:space="preserve">numa monografia pode gerar</w:t>
      </w:r>
      <w:r>
        <w:t xml:space="preserve"> </w:t>
      </w:r>
      <w:r>
        <w:t xml:space="preserve">“Matriz de Rastreabilidade”</w:t>
      </w:r>
      <w:r>
        <w:t xml:space="preserve"> </w:t>
      </w:r>
      <w:r>
        <w:t xml:space="preserve">num SRS ou</w:t>
      </w:r>
      <w:r>
        <w:t xml:space="preserve"> </w:t>
      </w:r>
      <w:r>
        <w:t xml:space="preserve">“Relatório de Cobertura”</w:t>
      </w:r>
      <w:r>
        <w:t xml:space="preserve"> </w:t>
      </w:r>
      <w:r>
        <w:t xml:space="preserve">num TRR.</w:t>
      </w:r>
    </w:p>
    <w:bookmarkEnd w:id="74"/>
    <w:bookmarkStart w:id="106" w:name="TRABALHO_ACADEMICO-sec8"/>
    <w:p>
      <w:pPr>
        <w:pStyle w:val="Heading1"/>
        <w:numPr>
          <w:ilvl w:val="0"/>
          <w:numId w:val="1"/>
        </w:numPr>
      </w:pPr>
      <w:r>
        <w:t xml:space="preserve">Trabalhos Futuros</w:t>
      </w:r>
    </w:p>
    <w:p>
      <w:pPr>
        <w:pStyle w:val="FirstParagraph"/>
      </w:pPr>
      <w:r>
        <w:t xml:space="preserve">O desenvolvimento do specc-abnt segue duas direções prioritárias:</w:t>
      </w:r>
    </w:p>
    <w:bookmarkStart w:id="75" w:name="TRABALHO_ACADEMICO-sec8.1"/>
    <w:p>
      <w:pPr>
        <w:pStyle w:val="Heading2"/>
        <w:numPr>
          <w:ilvl w:val="1"/>
          <w:numId w:val="1"/>
        </w:numPr>
      </w:pPr>
      <w:r>
        <w:t xml:space="preserve">Editor Colaborativo em Tempo Real</w:t>
      </w:r>
    </w:p>
    <w:p>
      <w:pPr>
        <w:pStyle w:val="FirstParagraph"/>
      </w:pPr>
      <w:r>
        <w:t xml:space="preserve">Integração com um editor web que permita múltiplos autores editarem o mesmo documento simultaneamente, similar à experiência do Google Docs ou Overleaf.</w:t>
      </w:r>
    </w:p>
    <w:bookmarkEnd w:id="75"/>
    <w:bookmarkStart w:id="91" w:name="TRABALHO_ACADEMICO-sec8.2"/>
    <w:p>
      <w:pPr>
        <w:pStyle w:val="Heading2"/>
        <w:numPr>
          <w:ilvl w:val="1"/>
          <w:numId w:val="1"/>
        </w:numPr>
      </w:pPr>
      <w:r>
        <w:t xml:space="preserve">Interoperabilidade DOCX (Round-Trip)</w:t>
      </w:r>
    </w:p>
    <w:p>
      <w:pPr>
        <w:pStyle w:val="FirstParagraph"/>
      </w:pPr>
      <w:r>
        <w:t xml:space="preserve">Atualmente, o fluxo é unidirecional: Markdown → DOCX. Um objetivo futuro é suportar importação de arquivos DOCX existentes, convertendo-os para a estrutura Markdown do SpecCompiler para permitir Ciclos iterativos de edição (</w:t>
      </w:r>
      <w:r>
        <w:rPr>
          <w:i/>
          <w:iCs/>
        </w:rPr>
        <w:t xml:space="preserve">round-trip</w:t>
      </w:r>
      <w:r>
        <w:t xml:space="preserve">) sem perda.</w:t>
      </w:r>
    </w:p>
    <w:p>
      <w:pPr>
        <w:spacing w:before="0" w:after="0" w:lineRule="auto" w:line="240"/>
      </w:pPr>
      <w:r>
        <w:br w:type="page"/>
      </w:r>
    </w:p>
    <w:p>
      <w:pPr>
        <w:pStyle w:val="UnnumberedHeading"/>
      </w:pPr>
      <w:r>
        <w:t>REFERENCIAS</w:t>
      </w:r>
    </w:p>
    <w:bookmarkStart w:id="90" w:name="refs"/>
    <w:bookmarkStart w:id="77" w:name="ref-abntex2classe"/>
    <w:p>
      <w:pPr>
        <w:pStyle w:val="Reference"/>
      </w:pPr>
      <w:r>
        <w:t xml:space="preserve">ARAUJO, Lauro César.</w:t>
      </w:r>
      <w:r>
        <w:t xml:space="preserve"> </w:t>
      </w:r>
      <w:hyperlink r:id="rId76">
        <w:r>
          <w:rPr>
            <w:rStyle w:val="Hyperlink"/>
            <w:b/>
            <w:bCs/>
          </w:rPr>
          <w:t xml:space="preserve">A classe abntex2: Modelo canônico de trabalhos acadêmicos brasileiros compatível com as normas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ABNT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NBR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14724:2011,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ABNT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NBR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6024:2012 e outras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Equipe abnTeX2, 2015.</w:t>
      </w:r>
    </w:p>
    <w:bookmarkEnd w:id="77"/>
    <w:bookmarkStart w:id="78" w:name="ref-ibge1993"/>
    <w:p>
      <w:pPr>
        <w:pStyle w:val="Reference"/>
      </w:pPr>
      <w:r>
        <w:t xml:space="preserve">IBGE.</w:t>
      </w:r>
      <w:r>
        <w:t xml:space="preserve"> </w:t>
      </w:r>
      <w:r>
        <w:rPr>
          <w:b/>
          <w:bCs/>
        </w:rPr>
        <w:t xml:space="preserve">Normas de apresentação tabular</w:t>
      </w:r>
      <w:r>
        <w:t xml:space="preserve">. 3. ed. Rio de Janeiro: Centro de Documentação e Disseminação de Informações, 1993.</w:t>
      </w:r>
    </w:p>
    <w:bookmarkEnd w:id="78"/>
    <w:bookmarkStart w:id="79" w:name="ref-NBR10520:2002"/>
    <w:p>
      <w:pPr>
        <w:pStyle w:val="Reference"/>
      </w:pPr>
      <w:r>
        <w:rPr>
          <w:b/>
          <w:bCs/>
        </w:rPr>
        <w:t xml:space="preserve">NBR</w:t>
      </w:r>
      <w:r>
        <w:rPr>
          <w:b/>
          <w:bCs/>
        </w:rPr>
        <w:t xml:space="preserve"> </w:t>
      </w:r>
      <w:r>
        <w:rPr>
          <w:b/>
          <w:bCs/>
        </w:rPr>
        <w:t xml:space="preserve">10520: Informação e documentação — Apresentação de citações em documentos</w:t>
      </w:r>
      <w:r>
        <w:t xml:space="preserve">. Rio de Janeiro: Associação Brasileira de Normas Técnicas, 2002. p. 7</w:t>
      </w:r>
    </w:p>
    <w:bookmarkEnd w:id="79"/>
    <w:bookmarkStart w:id="80" w:name="ref-NBR14724:2011"/>
    <w:p>
      <w:pPr>
        <w:pStyle w:val="Reference"/>
      </w:pPr>
      <w:r>
        <w:rPr>
          <w:b/>
          <w:bCs/>
        </w:rPr>
        <w:t xml:space="preserve">NBR</w:t>
      </w:r>
      <w:r>
        <w:rPr>
          <w:b/>
          <w:bCs/>
        </w:rPr>
        <w:t xml:space="preserve"> </w:t>
      </w:r>
      <w:r>
        <w:rPr>
          <w:b/>
          <w:bCs/>
        </w:rPr>
        <w:t xml:space="preserve">14724: Informação e documentação — trabalhos acadêmicos — apresentação</w:t>
      </w:r>
      <w:r>
        <w:t xml:space="preserve">. Rio de Janeiro: Associação Brasileira de Normas Técnicas, 2011. p. 15</w:t>
      </w:r>
    </w:p>
    <w:bookmarkEnd w:id="80"/>
    <w:bookmarkStart w:id="81" w:name="ref-NBR14724:2024"/>
    <w:p>
      <w:pPr>
        <w:pStyle w:val="Reference"/>
      </w:pPr>
      <w:r>
        <w:rPr>
          <w:b/>
          <w:bCs/>
        </w:rPr>
        <w:t xml:space="preserve">NBR</w:t>
      </w:r>
      <w:r>
        <w:rPr>
          <w:b/>
          <w:bCs/>
        </w:rPr>
        <w:t xml:space="preserve"> </w:t>
      </w:r>
      <w:r>
        <w:rPr>
          <w:b/>
          <w:bCs/>
        </w:rPr>
        <w:t xml:space="preserve">14724: Informação e documentação — trabalhos acadêmicos — apresentação</w:t>
      </w:r>
      <w:r>
        <w:t xml:space="preserve">. Rio de Janeiro: Associação Brasileira de Normas Técnicas, 2024. p. 12</w:t>
      </w:r>
    </w:p>
    <w:bookmarkEnd w:id="81"/>
    <w:bookmarkStart w:id="82" w:name="ref-NBR6023:2018"/>
    <w:p>
      <w:pPr>
        <w:pStyle w:val="Reference"/>
      </w:pPr>
      <w:r>
        <w:rPr>
          <w:b/>
          <w:bCs/>
        </w:rPr>
        <w:t xml:space="preserve">NBR</w:t>
      </w:r>
      <w:r>
        <w:rPr>
          <w:b/>
          <w:bCs/>
        </w:rPr>
        <w:t xml:space="preserve"> </w:t>
      </w:r>
      <w:r>
        <w:rPr>
          <w:b/>
          <w:bCs/>
        </w:rPr>
        <w:t xml:space="preserve">6023: Informação e documentação — Referências — Elaboração</w:t>
      </w:r>
      <w:r>
        <w:t xml:space="preserve">. Rio de Janeiro: Associação Brasileira de Normas Técnicas, 2018. p. 74</w:t>
      </w:r>
    </w:p>
    <w:bookmarkEnd w:id="82"/>
    <w:bookmarkStart w:id="83" w:name="ref-NBR6024:2012"/>
    <w:p>
      <w:pPr>
        <w:pStyle w:val="Reference"/>
      </w:pPr>
      <w:r>
        <w:rPr>
          <w:b/>
          <w:bCs/>
        </w:rPr>
        <w:t xml:space="preserve">NBR</w:t>
      </w:r>
      <w:r>
        <w:rPr>
          <w:b/>
          <w:bCs/>
        </w:rPr>
        <w:t xml:space="preserve"> </w:t>
      </w:r>
      <w:r>
        <w:rPr>
          <w:b/>
          <w:bCs/>
        </w:rPr>
        <w:t xml:space="preserve">6024: Informação e documentação — Numeração progressiva das seções de um documento</w:t>
      </w:r>
      <w:r>
        <w:t xml:space="preserve">. Rio de Janeiro: Associação Brasileira de Normas Técnicas, 2012. p. 4</w:t>
      </w:r>
    </w:p>
    <w:bookmarkEnd w:id="83"/>
    <w:bookmarkStart w:id="84" w:name="ref-NBR6027:2012"/>
    <w:p>
      <w:pPr>
        <w:pStyle w:val="Reference"/>
      </w:pPr>
      <w:r>
        <w:rPr>
          <w:b/>
          <w:bCs/>
        </w:rPr>
        <w:t xml:space="preserve">NBR</w:t>
      </w:r>
      <w:r>
        <w:rPr>
          <w:b/>
          <w:bCs/>
        </w:rPr>
        <w:t xml:space="preserve"> </w:t>
      </w:r>
      <w:r>
        <w:rPr>
          <w:b/>
          <w:bCs/>
        </w:rPr>
        <w:t xml:space="preserve">6027: Informação e documentação — Sumário — Apresentação</w:t>
      </w:r>
      <w:r>
        <w:t xml:space="preserve">. Rio de Janeiro: Associação Brasileira de Normas Técnicas, 2012. p. 3</w:t>
      </w:r>
    </w:p>
    <w:bookmarkEnd w:id="84"/>
    <w:bookmarkStart w:id="85" w:name="ref-NBR6028:2003"/>
    <w:p>
      <w:pPr>
        <w:pStyle w:val="Reference"/>
      </w:pPr>
      <w:r>
        <w:rPr>
          <w:b/>
          <w:bCs/>
        </w:rPr>
        <w:t xml:space="preserve">NBR</w:t>
      </w:r>
      <w:r>
        <w:rPr>
          <w:b/>
          <w:bCs/>
        </w:rPr>
        <w:t xml:space="preserve"> </w:t>
      </w:r>
      <w:r>
        <w:rPr>
          <w:b/>
          <w:bCs/>
        </w:rPr>
        <w:t xml:space="preserve">6028: Informação e documentação — Resumo — Apresentação</w:t>
      </w:r>
      <w:r>
        <w:t xml:space="preserve">. Rio de Janeiro: Associação Brasileira de Normas Técnicas, 2003. p. 2</w:t>
      </w:r>
    </w:p>
    <w:bookmarkEnd w:id="85"/>
    <w:bookmarkStart w:id="87" w:name="ref-quarto"/>
    <w:p>
      <w:pPr>
        <w:pStyle w:val="Reference"/>
      </w:pPr>
      <w:r>
        <w:t xml:space="preserve">POSIT PBC.</w:t>
      </w:r>
      <w:r>
        <w:t xml:space="preserve"> </w:t>
      </w:r>
      <w:r>
        <w:rPr>
          <w:b/>
          <w:bCs/>
        </w:rPr>
        <w:t xml:space="preserve">Quarto: An open-source scientific and technical publishing system</w:t>
      </w:r>
      <w:r>
        <w:t xml:space="preserve">., 2022. Disponível em: &lt;</w:t>
      </w:r>
      <w:hyperlink r:id="rId86">
        <w:r>
          <w:rPr>
            <w:rStyle w:val="Hyperlink"/>
          </w:rPr>
          <w:t xml:space="preserve">https://quarto.org</w:t>
        </w:r>
      </w:hyperlink>
      <w:r>
        <w:t xml:space="preserve">&gt;</w:t>
      </w:r>
    </w:p>
    <w:bookmarkEnd w:id="87"/>
    <w:bookmarkStart w:id="89" w:name="ref-limarka"/>
    <w:p>
      <w:pPr>
        <w:pStyle w:val="Reference"/>
      </w:pPr>
      <w:r>
        <w:t xml:space="preserve">VIEIRA, Eduardo de Santana Medeiros.</w:t>
      </w:r>
      <w:r>
        <w:t xml:space="preserve"> </w:t>
      </w:r>
      <w:r>
        <w:rPr>
          <w:b/>
          <w:bCs/>
        </w:rPr>
        <w:t xml:space="preserve">Limarka: Markdown para trabalhos acadêmicos com ABNT</w:t>
      </w:r>
      <w:r>
        <w:t xml:space="preserve">., 2016. Disponível em: &lt;</w:t>
      </w:r>
      <w:hyperlink r:id="rId88">
        <w:r>
          <w:rPr>
            <w:rStyle w:val="Hyperlink"/>
          </w:rPr>
          <w:t xml:space="preserve">https://github.com/abntex/limarka</w:t>
        </w:r>
      </w:hyperlink>
      <w:r>
        <w:t xml:space="preserve">&gt;</w:t>
      </w:r>
    </w:p>
    <w:bookmarkEnd w:id="89"/>
    <w:bookmarkEnd w:id="90"/>
    <w:p>
      <w:pPr>
        <w:spacing w:before="0" w:after="0" w:lineRule="auto" w:line="240"/>
      </w:pPr>
      <w:r>
        <w:br w:type="page"/>
      </w:r>
    </w:p>
    <w:p>
      <w:pPr>
        <w:pStyle w:val="UnnumberedHeading"/>
      </w:pPr>
      <w:r>
        <w:t>APÊNDICE A – Referência Rápida de Sintaxe</w:t>
      </w:r>
    </w:p>
    <w:bookmarkEnd w:id="91"/>
    <w:bookmarkStart w:id="92" w:name="TRABALHO_ACADEMICO-sec8.3"/>
    <w:p>
      <w:pPr>
        <w:pStyle w:val="Heading2"/>
        <w:numPr>
          <w:ilvl w:val="1"/>
          <w:numId w:val="1"/>
        </w:numPr>
      </w:pPr>
      <w:r>
        <w:t xml:space="preserve">Atributos do Documento</w:t>
      </w:r>
    </w:p>
    <w:p>
      <w:pPr>
        <w:pStyle w:val="SourceCode"/>
      </w:pPr>
      <w:r>
        <w:rPr>
          <w:rStyle w:val="VerbatimChar"/>
        </w:rPr>
        <w:t xml:space="preserve">&gt; institution: Nome da Instituição</w:t>
      </w:r>
      <w:r>
        <w:br/>
      </w:r>
      <w:r>
        <w:br/>
      </w:r>
      <w:r>
        <w:rPr>
          <w:rStyle w:val="VerbatimChar"/>
        </w:rPr>
        <w:t xml:space="preserve">&gt; author: Nome do Autor</w:t>
      </w:r>
      <w:r>
        <w:br/>
      </w:r>
      <w:r>
        <w:br/>
      </w:r>
      <w:r>
        <w:rPr>
          <w:rStyle w:val="VerbatimChar"/>
        </w:rPr>
        <w:t xml:space="preserve">&gt; title: Título do Trabalho</w:t>
      </w:r>
    </w:p>
    <w:bookmarkEnd w:id="92"/>
    <w:bookmarkStart w:id="93" w:name="TRABALHO_ACADEMICO-sec8.4"/>
    <w:p>
      <w:pPr>
        <w:pStyle w:val="Heading2"/>
        <w:numPr>
          <w:ilvl w:val="1"/>
          <w:numId w:val="1"/>
        </w:numPr>
      </w:pPr>
      <w:r>
        <w:t xml:space="preserve">Figuras</w:t>
      </w:r>
    </w:p>
    <w:p>
      <w:pPr>
        <w:pStyle w:val="SourceCode"/>
      </w:pPr>
      <w:r>
        <w:rPr>
          <w:rStyle w:val="VerbatimChar"/>
        </w:rPr>
        <w:t xml:space="preserve">```fig:id{caption="Legenda" source="Fonte" width="400" height="300"}</w:t>
      </w:r>
      <w:r>
        <w:br/>
      </w:r>
      <w:r>
        <w:rPr>
          <w:rStyle w:val="VerbatimChar"/>
        </w:rPr>
        <w:t xml:space="preserve">caminho/imagem.jpg</w:t>
      </w:r>
      <w:r>
        <w:br/>
      </w:r>
      <w:r>
        <w:rPr>
          <w:rStyle w:val="VerbatimChar"/>
        </w:rPr>
        <w:t xml:space="preserve">```</w:t>
      </w:r>
    </w:p>
    <w:bookmarkEnd w:id="93"/>
    <w:bookmarkStart w:id="94" w:name="TRABALHO_ACADEMICO-sec8.5"/>
    <w:p>
      <w:pPr>
        <w:pStyle w:val="Heading2"/>
        <w:numPr>
          <w:ilvl w:val="1"/>
          <w:numId w:val="1"/>
        </w:numPr>
      </w:pPr>
      <w:r>
        <w:t xml:space="preserve">Diagramas PlantUML</w:t>
      </w:r>
    </w:p>
    <w:p>
      <w:pPr>
        <w:pStyle w:val="SourceCode"/>
      </w:pPr>
      <w:r>
        <w:rPr>
          <w:rStyle w:val="VerbatimChar"/>
        </w:rPr>
        <w:t xml:space="preserve">```puml:id{caption="Título do diagrama" width="600"}</w:t>
      </w:r>
      <w:r>
        <w:br/>
      </w: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@enduml</w:t>
      </w:r>
      <w:r>
        <w:br/>
      </w:r>
      <w:r>
        <w:rPr>
          <w:rStyle w:val="VerbatimChar"/>
        </w:rPr>
        <w:t xml:space="preserve">```</w:t>
      </w:r>
    </w:p>
    <w:bookmarkEnd w:id="94"/>
    <w:bookmarkStart w:id="95" w:name="TRABALHO_ACADEMICO-sec8.6"/>
    <w:p>
      <w:pPr>
        <w:pStyle w:val="Heading2"/>
        <w:numPr>
          <w:ilvl w:val="1"/>
          <w:numId w:val="1"/>
        </w:numPr>
      </w:pPr>
      <w:r>
        <w:t xml:space="preserve">Gráficos com Query</w:t>
      </w:r>
    </w:p>
    <w:p>
      <w:pPr>
        <w:pStyle w:val="SourceCode"/>
      </w:pPr>
      <w:r>
        <w:rPr>
          <w:rStyle w:val="VerbatimChar"/>
        </w:rPr>
        <w:t xml:space="preserve">```chart:id{query="nome_da_view" caption="Título" width="800" height="500"}</w:t>
      </w:r>
      <w:r>
        <w:br/>
      </w:r>
      <w:r>
        <w:rPr>
          <w:rStyle w:val="VerbatimChar"/>
        </w:rPr>
        <w:t xml:space="preserve">{ ...configuração ECharts... }</w:t>
      </w:r>
      <w:r>
        <w:br/>
      </w:r>
      <w:r>
        <w:rPr>
          <w:rStyle w:val="VerbatimChar"/>
        </w:rPr>
        <w:t xml:space="preserve">```</w:t>
      </w:r>
    </w:p>
    <w:bookmarkEnd w:id="95"/>
    <w:bookmarkStart w:id="96" w:name="TRABALHO_ACADEMICO-sec8.7"/>
    <w:p>
      <w:pPr>
        <w:pStyle w:val="Heading2"/>
        <w:numPr>
          <w:ilvl w:val="1"/>
          <w:numId w:val="1"/>
        </w:numPr>
      </w:pPr>
      <w:r>
        <w:t xml:space="preserve">Atributos de Dimensões e Fonte</w:t>
      </w:r>
    </w:p>
    <w:p>
      <w:pPr>
        <w:pStyle w:val="FirstParagraph"/>
      </w:pPr>
      <w:r>
        <w:t xml:space="preserve">Aplicáveis a</w:t>
      </w:r>
      <w:r>
        <w:t xml:space="preserve"> </w:t>
      </w:r>
      <w:r>
        <w:rPr>
          <w:rStyle w:val="VerbatimChar"/>
        </w:rPr>
        <w:t xml:space="preserve">fig:</w:t>
      </w:r>
      <w:r>
        <w:t xml:space="preserve">,</w:t>
      </w:r>
      <w:r>
        <w:t xml:space="preserve"> </w:t>
      </w:r>
      <w:r>
        <w:rPr>
          <w:rStyle w:val="VerbatimChar"/>
        </w:rPr>
        <w:t xml:space="preserve">puml: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chart: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width</w:t>
      </w:r>
      <w:r>
        <w:t xml:space="preserve">: Largura (px, %, cm, in)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height</w:t>
      </w:r>
      <w:r>
        <w:t xml:space="preserve">: Altura (px, %, cm, in)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source</w:t>
      </w:r>
      <w:r>
        <w:t xml:space="preserve">: Fonte — texto,</w:t>
      </w:r>
      <w:r>
        <w:t xml:space="preserve"> </w:t>
      </w:r>
      <w:r>
        <w:rPr>
          <w:rStyle w:val="VerbatimChar"/>
        </w:rPr>
        <w:t xml:space="preserve">@citação</w:t>
      </w:r>
      <w:r>
        <w:t xml:space="preserve">, ou omitido →</w:t>
      </w:r>
      <w:r>
        <w:t xml:space="preserve"> </w:t>
      </w:r>
      <w:r>
        <w:t xml:space="preserve">“Elaborado pelo autor”</w:t>
      </w:r>
    </w:p>
    <w:bookmarkEnd w:id="96"/>
    <w:bookmarkStart w:id="97" w:name="TRABALHO_ACADEMICO-sec8.8"/>
    <w:p>
      <w:pPr>
        <w:pStyle w:val="Heading2"/>
        <w:numPr>
          <w:ilvl w:val="1"/>
          <w:numId w:val="1"/>
        </w:numPr>
      </w:pPr>
      <w:r>
        <w:t xml:space="preserve">Tabelas (list-table)</w:t>
      </w:r>
    </w:p>
    <w:p>
      <w:pPr>
        <w:pStyle w:val="SourceCode"/>
      </w:pPr>
      <w:r>
        <w:rPr>
          <w:rStyle w:val="VerbatimChar"/>
        </w:rPr>
        <w:t xml:space="preserve">```list-table:id{caption="Título" source="Fonte"}</w:t>
      </w:r>
      <w:r>
        <w:br/>
      </w:r>
      <w:r>
        <w:rPr>
          <w:rStyle w:val="VerbatimChar"/>
        </w:rPr>
        <w:t xml:space="preserve">&gt; header-rows: 1</w:t>
      </w:r>
      <w:r>
        <w:br/>
      </w:r>
      <w:r>
        <w:rPr>
          <w:rStyle w:val="VerbatimChar"/>
        </w:rPr>
        <w:t xml:space="preserve">&gt; aligns: l,c,r</w:t>
      </w:r>
      <w:r>
        <w:br/>
      </w:r>
      <w:r>
        <w:rPr>
          <w:rStyle w:val="VerbatimChar"/>
        </w:rPr>
        <w:t xml:space="preserve">* - Col1</w:t>
      </w:r>
      <w:r>
        <w:br/>
      </w:r>
      <w:r>
        <w:rPr>
          <w:rStyle w:val="VerbatimChar"/>
        </w:rPr>
        <w:t xml:space="preserve">  - Col2</w:t>
      </w:r>
      <w:r>
        <w:br/>
      </w:r>
      <w:r>
        <w:rPr>
          <w:rStyle w:val="VerbatimChar"/>
        </w:rPr>
        <w:t xml:space="preserve">* - Valor1</w:t>
      </w:r>
      <w:r>
        <w:br/>
      </w:r>
      <w:r>
        <w:rPr>
          <w:rStyle w:val="VerbatimChar"/>
        </w:rPr>
        <w:t xml:space="preserve">  - Valor2</w:t>
      </w:r>
      <w:r>
        <w:br/>
      </w:r>
      <w:r>
        <w:rPr>
          <w:rStyle w:val="VerbatimChar"/>
        </w:rPr>
        <w:t xml:space="preserve">```</w:t>
      </w:r>
    </w:p>
    <w:bookmarkEnd w:id="97"/>
    <w:bookmarkStart w:id="98" w:name="TRABALHO_ACADEMICO-sec8.9"/>
    <w:p>
      <w:pPr>
        <w:pStyle w:val="Heading2"/>
        <w:numPr>
          <w:ilvl w:val="1"/>
          <w:numId w:val="1"/>
        </w:numPr>
      </w:pPr>
      <w:r>
        <w:t xml:space="preserve">Tabelas (CSV)</w:t>
      </w:r>
    </w:p>
    <w:p>
      <w:pPr>
        <w:pStyle w:val="SourceCode"/>
      </w:pPr>
      <w:r>
        <w:rPr>
          <w:rStyle w:val="VerbatimChar"/>
        </w:rPr>
        <w:t xml:space="preserve">```csv:id{caption="Título" source="Fonte"}</w:t>
      </w:r>
      <w:r>
        <w:br/>
      </w:r>
      <w:r>
        <w:rPr>
          <w:rStyle w:val="VerbatimChar"/>
        </w:rPr>
        <w:t xml:space="preserve">Col1,Col2,Col3</w:t>
      </w:r>
      <w:r>
        <w:br/>
      </w:r>
      <w:r>
        <w:rPr>
          <w:rStyle w:val="VerbatimChar"/>
        </w:rPr>
        <w:t xml:space="preserve">Val1,Val2,Val3</w:t>
      </w:r>
      <w:r>
        <w:br/>
      </w:r>
      <w:r>
        <w:rPr>
          <w:rStyle w:val="VerbatimChar"/>
        </w:rPr>
        <w:t xml:space="preserve">```</w:t>
      </w:r>
    </w:p>
    <w:bookmarkEnd w:id="98"/>
    <w:bookmarkStart w:id="99" w:name="TRABALHO_ACADEMICO-sec8.10"/>
    <w:p>
      <w:pPr>
        <w:pStyle w:val="Heading2"/>
        <w:numPr>
          <w:ilvl w:val="1"/>
          <w:numId w:val="1"/>
        </w:numPr>
      </w:pPr>
      <w:r>
        <w:t xml:space="preserve">Quadros</w:t>
      </w:r>
    </w:p>
    <w:p>
      <w:pPr>
        <w:pStyle w:val="SourceCode"/>
      </w:pPr>
      <w:r>
        <w:rPr>
          <w:rStyle w:val="VerbatimChar"/>
        </w:rPr>
        <w:t xml:space="preserve">```listing:id{caption="Título" source="Fonte"}</w:t>
      </w:r>
      <w:r>
        <w:br/>
      </w:r>
      <w:r>
        <w:rPr>
          <w:rStyle w:val="VerbatimChar"/>
        </w:rPr>
        <w:t xml:space="preserve">Conteúdo textual do quadro</w:t>
      </w:r>
      <w:r>
        <w:br/>
      </w:r>
      <w:r>
        <w:rPr>
          <w:rStyle w:val="VerbatimChar"/>
        </w:rPr>
        <w:t xml:space="preserve">```</w:t>
      </w:r>
    </w:p>
    <w:bookmarkEnd w:id="99"/>
    <w:bookmarkStart w:id="100" w:name="TRABALHO_ACADEMICO-sec8.11"/>
    <w:p>
      <w:pPr>
        <w:pStyle w:val="Heading2"/>
        <w:numPr>
          <w:ilvl w:val="1"/>
          <w:numId w:val="1"/>
        </w:numPr>
      </w:pPr>
      <w:r>
        <w:t xml:space="preserve">Citações</w:t>
      </w:r>
    </w:p>
    <w:p>
      <w:pPr>
        <w:pStyle w:val="SourceCode"/>
      </w:pPr>
      <w:r>
        <w:rPr>
          <w:rStyle w:val="VerbatimChar"/>
        </w:rPr>
        <w:t xml:space="preserve">[chave](@cite)              — Citação entre parênteses</w:t>
      </w:r>
      <w:r>
        <w:br/>
      </w:r>
      <w:r>
        <w:rPr>
          <w:rStyle w:val="VerbatimChar"/>
        </w:rPr>
        <w:t xml:space="preserve">[chave](@citep)             — Citação no texto</w:t>
      </w:r>
      <w:r>
        <w:br/>
      </w:r>
      <w:r>
        <w:rPr>
          <w:rStyle w:val="VerbatimChar"/>
        </w:rPr>
        <w:t xml:space="preserve">[chave1;chave2](@cite)      — Múltiplas citações</w:t>
      </w:r>
    </w:p>
    <w:bookmarkEnd w:id="100"/>
    <w:bookmarkStart w:id="101" w:name="TRABALHO_ACADEMICO-sec8.12"/>
    <w:p>
      <w:pPr>
        <w:pStyle w:val="Heading2"/>
        <w:numPr>
          <w:ilvl w:val="1"/>
          <w:numId w:val="1"/>
        </w:numPr>
      </w:pPr>
      <w:r>
        <w:t xml:space="preserve">Notas de Rodapé</w:t>
      </w:r>
    </w:p>
    <w:p>
      <w:pPr>
        <w:pStyle w:val="SourceCode"/>
      </w:pPr>
      <w:r>
        <w:rPr>
          <w:rStyle w:val="VerbatimChar"/>
        </w:rPr>
        <w:t xml:space="preserve">Texto com nota[^id].     — Referência inline</w:t>
      </w:r>
      <w:r>
        <w:br/>
      </w:r>
      <w:r>
        <w:br/>
      </w:r>
      <w:r>
        <w:rPr>
          <w:rStyle w:val="VerbatimChar"/>
        </w:rPr>
        <w:t xml:space="preserve">[^id]: Conteúdo da nota de rodapé.</w:t>
      </w:r>
    </w:p>
    <w:bookmarkEnd w:id="101"/>
    <w:bookmarkStart w:id="102" w:name="TRABALHO_ACADEMICO-sec8.13"/>
    <w:p>
      <w:pPr>
        <w:pStyle w:val="Heading2"/>
        <w:numPr>
          <w:ilvl w:val="1"/>
          <w:numId w:val="1"/>
        </w:numPr>
      </w:pPr>
      <w:r>
        <w:t xml:space="preserve">Referências Cruzadas</w:t>
      </w:r>
    </w:p>
    <w:p>
      <w:pPr>
        <w:pStyle w:val="SourceCode"/>
      </w:pPr>
      <w:r>
        <w:rPr>
          <w:rStyle w:val="VerbatimChar"/>
        </w:rPr>
        <w:t xml:space="preserve">Figura [fig:id](#)</w:t>
      </w:r>
      <w:r>
        <w:br/>
      </w:r>
      <w:r>
        <w:rPr>
          <w:rStyle w:val="VerbatimChar"/>
        </w:rPr>
        <w:t xml:space="preserve">Tabela [table:id](#)</w:t>
      </w:r>
      <w:r>
        <w:br/>
      </w:r>
      <w:r>
        <w:rPr>
          <w:rStyle w:val="VerbatimChar"/>
        </w:rPr>
        <w:t xml:space="preserve">Quadro [listing:id](#)</w:t>
      </w:r>
    </w:p>
    <w:bookmarkEnd w:id="102"/>
    <w:bookmarkStart w:id="103" w:name="TRABALHO_ACADEMICO-sec8.14"/>
    <w:p>
      <w:pPr>
        <w:pStyle w:val="Heading2"/>
        <w:numPr>
          <w:ilvl w:val="1"/>
          <w:numId w:val="1"/>
        </w:numPr>
      </w:pPr>
      <w:r>
        <w:t xml:space="preserve">Siglas</w:t>
      </w:r>
    </w:p>
    <w:p>
      <w:pPr>
        <w:pStyle w:val="SourceCode"/>
      </w:pPr>
      <w:r>
        <w:rPr>
          <w:rStyle w:val="VerbatimChar"/>
        </w:rPr>
        <w:t xml:space="preserve">`sigla: Termo Completo (SIGLA)`</w:t>
      </w:r>
    </w:p>
    <w:bookmarkEnd w:id="103"/>
    <w:bookmarkStart w:id="104" w:name="TRABALHO_ACADEMICO-sec8.15"/>
    <w:p>
      <w:pPr>
        <w:pStyle w:val="Heading2"/>
        <w:numPr>
          <w:ilvl w:val="1"/>
          <w:numId w:val="1"/>
        </w:numPr>
      </w:pPr>
      <w:r>
        <w:t xml:space="preserve">Listas Automáticas</w:t>
      </w:r>
    </w:p>
    <w:p>
      <w:pPr>
        <w:pStyle w:val="SourceCode"/>
      </w:pPr>
      <w:r>
        <w:rPr>
          <w:rStyle w:val="VerbatimChar"/>
        </w:rPr>
        <w:t xml:space="preserve">`toc:`        — Sumário</w:t>
      </w:r>
      <w:r>
        <w:br/>
      </w:r>
      <w:r>
        <w:rPr>
          <w:rStyle w:val="VerbatimChar"/>
        </w:rPr>
        <w:t xml:space="preserve">`lof:`        — Lista de figuras</w:t>
      </w:r>
      <w:r>
        <w:br/>
      </w:r>
      <w:r>
        <w:rPr>
          <w:rStyle w:val="VerbatimChar"/>
        </w:rPr>
        <w:t xml:space="preserve">`lot:`        — Lista de tabelas</w:t>
      </w:r>
      <w:r>
        <w:br/>
      </w:r>
      <w:r>
        <w:rPr>
          <w:rStyle w:val="VerbatimChar"/>
        </w:rPr>
        <w:t xml:space="preserve">`sigla_list:` — Lista de siglas</w:t>
      </w:r>
    </w:p>
    <w:bookmarkEnd w:id="104"/>
    <w:bookmarkStart w:id="105" w:name="TRABALHO_ACADEMICO-sec8.16"/>
    <w:p>
      <w:pPr>
        <w:pStyle w:val="Heading2"/>
        <w:numPr>
          <w:ilvl w:val="1"/>
          <w:numId w:val="1"/>
        </w:numPr>
      </w:pPr>
      <w:r>
        <w:t xml:space="preserve">Configuração (project.yaml)</w:t>
      </w:r>
    </w:p>
    <w:p>
      <w:pPr>
        <w:pStyle w:val="SourceCode"/>
      </w:pPr>
      <w:r>
        <w:rPr>
          <w:rStyle w:val="VerbatimChar"/>
        </w:rPr>
        <w:t xml:space="preserve"># Template e tipos</w:t>
      </w:r>
      <w:r>
        <w:br/>
      </w:r>
      <w:r>
        <w:rPr>
          <w:rStyle w:val="VerbatimChar"/>
        </w:rPr>
        <w:t xml:space="preserve">template: abnt</w:t>
      </w:r>
      <w:r>
        <w:br/>
      </w:r>
      <w:r>
        <w:rPr>
          <w:rStyle w:val="VerbatimChar"/>
        </w:rPr>
        <w:t xml:space="preserve">type_file: ../dist/db/seed.sql</w:t>
      </w:r>
      <w:r>
        <w:br/>
      </w:r>
      <w:r>
        <w:br/>
      </w:r>
      <w:r>
        <w:rPr>
          <w:rStyle w:val="VerbatimChar"/>
        </w:rPr>
        <w:t xml:space="preserve"># Arquivos fonte</w:t>
      </w:r>
      <w:r>
        <w:br/>
      </w:r>
      <w:r>
        <w:rPr>
          <w:rStyle w:val="VerbatimChar"/>
        </w:rPr>
        <w:t xml:space="preserve">doc_files:</w:t>
      </w:r>
      <w:r>
        <w:br/>
      </w:r>
      <w:r>
        <w:rPr>
          <w:rStyle w:val="VerbatimChar"/>
        </w:rPr>
        <w:t xml:space="preserve">  - monografia.md</w:t>
      </w:r>
      <w:r>
        <w:br/>
      </w:r>
      <w:r>
        <w:br/>
      </w:r>
      <w:r>
        <w:rPr>
          <w:rStyle w:val="VerbatimChar"/>
        </w:rPr>
        <w:t xml:space="preserve"># Saída</w:t>
      </w:r>
      <w:r>
        <w:br/>
      </w:r>
      <w:r>
        <w:rPr>
          <w:rStyle w:val="VerbatimChar"/>
        </w:rPr>
        <w:t xml:space="preserve">output_dir: build/</w:t>
      </w:r>
      <w:r>
        <w:br/>
      </w:r>
      <w:r>
        <w:rPr>
          <w:rStyle w:val="VerbatimChar"/>
        </w:rPr>
        <w:t xml:space="preserve">output_formats: [docx]</w:t>
      </w:r>
      <w:r>
        <w:br/>
      </w:r>
      <w:r>
        <w:br/>
      </w:r>
      <w:r>
        <w:rPr>
          <w:rStyle w:val="VerbatimChar"/>
        </w:rPr>
        <w:t xml:space="preserve"># Estilos DOCX</w:t>
      </w:r>
      <w:r>
        <w:br/>
      </w:r>
      <w:r>
        <w:rPr>
          <w:rStyle w:val="VerbatimChar"/>
        </w:rPr>
        <w:t xml:space="preserve">docx:</w:t>
      </w:r>
      <w:r>
        <w:br/>
      </w:r>
      <w:r>
        <w:rPr>
          <w:rStyle w:val="VerbatimChar"/>
        </w:rPr>
        <w:t xml:space="preserve">  preset: academico</w:t>
      </w:r>
      <w:r>
        <w:br/>
      </w:r>
      <w:r>
        <w:rPr>
          <w:rStyle w:val="VerbatimChar"/>
        </w:rPr>
        <w:t xml:space="preserve">  reference_doc: ../dist/reference.docx</w:t>
      </w:r>
      <w:r>
        <w:br/>
      </w:r>
      <w:r>
        <w:br/>
      </w:r>
      <w:r>
        <w:rPr>
          <w:rStyle w:val="VerbatimChar"/>
        </w:rPr>
        <w:t xml:space="preserve"># Bibliografia (citeproc)</w:t>
      </w:r>
      <w:r>
        <w:br/>
      </w:r>
      <w:r>
        <w:rPr>
          <w:rStyle w:val="VerbatimChar"/>
        </w:rPr>
        <w:t xml:space="preserve">bibliography: references.bib</w:t>
      </w:r>
      <w:r>
        <w:br/>
      </w:r>
      <w:r>
        <w:rPr>
          <w:rStyle w:val="VerbatimChar"/>
        </w:rPr>
        <w:t xml:space="preserve">csl: ../dist/citations.csl</w:t>
      </w:r>
    </w:p>
    <w:p>
      <w:pPr>
        <w:spacing w:before="0" w:after="0" w:lineRule="auto" w:line="240"/>
      </w:pPr>
      <w:r>
        <w:br w:type="page"/>
      </w:r>
    </w:p>
    <w:p>
      <w:pPr>
        <w:pStyle w:val="UnnumberedHeading"/>
      </w:pPr>
      <w:r>
        <w:t>ANEXO A – Normas ABNT Consultadas</w:t>
      </w:r>
    </w:p>
    <w:p>
      <w:pPr>
        <w:pStyle w:val="FirstParagraph"/>
      </w:pPr>
      <w:r>
        <w:t xml:space="preserve">Normas da ABNT consultadas para desenvolvimento do template</w:t>
      </w:r>
      <w:r>
        <w:t xml:space="preserve"> </w:t>
      </w:r>
      <w:r>
        <w:t xml:space="preserve">(</w:t>
      </w:r>
      <w:r>
        <w:t xml:space="preserve">NBR</w:t>
      </w:r>
      <w:r>
        <w:t xml:space="preserve"> </w:t>
      </w:r>
      <w:r>
        <w:t xml:space="preserve">10520, 2002;</w:t>
      </w:r>
      <w:r>
        <w:t xml:space="preserve"> </w:t>
      </w:r>
      <w:r>
        <w:t xml:space="preserve">NBR</w:t>
      </w:r>
      <w:r>
        <w:t xml:space="preserve"> </w:t>
      </w:r>
      <w:r>
        <w:t xml:space="preserve">14724, 2011, 2024;</w:t>
      </w:r>
      <w:r>
        <w:t xml:space="preserve"> </w:t>
      </w:r>
      <w:r>
        <w:t xml:space="preserve">NBR</w:t>
      </w:r>
      <w:r>
        <w:t xml:space="preserve"> </w:t>
      </w:r>
      <w:r>
        <w:t xml:space="preserve">6023, 2018;</w:t>
      </w:r>
      <w:r>
        <w:t xml:space="preserve"> </w:t>
      </w:r>
      <w:r>
        <w:t xml:space="preserve">NBR</w:t>
      </w:r>
      <w:r>
        <w:t xml:space="preserve"> </w:t>
      </w:r>
      <w:r>
        <w:t xml:space="preserve">6024, 2012;</w:t>
      </w:r>
      <w:r>
        <w:t xml:space="preserve"> </w:t>
      </w:r>
      <w:r>
        <w:t xml:space="preserve">NBR</w:t>
      </w:r>
      <w:r>
        <w:t xml:space="preserve"> </w:t>
      </w:r>
      <w:r>
        <w:t xml:space="preserve">6027, 2012;</w:t>
      </w:r>
      <w:r>
        <w:t xml:space="preserve"> </w:t>
      </w:r>
      <w:r>
        <w:t xml:space="preserve">NBR</w:t>
      </w:r>
      <w:r>
        <w:t xml:space="preserve"> </w:t>
      </w:r>
      <w:r>
        <w:t xml:space="preserve">6028, 2003)</w:t>
      </w:r>
      <w:r>
        <w:t xml:space="preserve">.</w:t>
      </w:r>
    </w:p>
    <w:bookmarkEnd w:id="105"/>
    <w:bookmarkEnd w:id="106"/>
    <w:sectPr>
      <w:headerReference r:id="rId89" w:type="even"/>
      <w:headerReference r:id="rId90" w:type="default"/>
      <w:headerReference r:id="rId91" w:type="first"/>
      <w:pgSz w:h="16838" w:w="11906"/>
      <w:pgMar w:footer="709" w:top="1701" w:header="709" w:bottom="1134" w:gutter="0" w:left="1701" w:right="1134"/>
      <w:pgNumType w:fmt="decimal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Notas de rodapé são suportadas nativamente via Pandoc</w:t>
      </w:r>
      <w:r>
        <w:t xml:space="preserve"> </w:t>
      </w:r>
      <w:r>
        <w:rPr>
          <w:rStyle w:val="VerbatimChar"/>
        </w:rPr>
        <w:t xml:space="preserve">commonmark_x</w:t>
      </w:r>
      <w:r>
        <w:t xml:space="preserve">. Esta é uma nota de exemplo que aparecerá no rodapé da página.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Apache ECharts — biblioteca open-source para visualização interativa. Documentação em</w:t>
      </w:r>
      <w:r>
        <w:t xml:space="preserve"> </w:t>
      </w:r>
      <w:hyperlink r:id="rId31">
        <w:r>
          <w:rPr>
            <w:rStyle w:val="Hyperlink"/>
          </w:rPr>
          <w:t xml:space="preserve">https://echarts.apache.org</w:t>
        </w:r>
      </w:hyperlink>
      <w:r>
        <w:t xml:space="preserve">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4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AB140001"/>
    <w:multiLevelType w:val="multilevel"/>
    <w:tmpl w:val="AB140002"/>
    <w:name w:val="HeadingNumbering"/>
    <w:lvl w:ilvl="0">
      <w:start w:val="1"/>
      <w:numFmt w:val="decimal"/>
      <w:pStyle w:val="Heading1"/>
      <w:suff w:val="space"/>
      <w:lvlText w:val="%1"/>
      <w:lvlJc w:val="left"/>
      <w:pPr>
        <w:ind w:left="0" w:hanging="0"/>
      </w:pPr>
    </w:lvl>
    <w:lvl w:ilvl="1">
      <w:start w:val="1"/>
      <w:numFmt w:val="decimal"/>
      <w:pStyle w:val="Heading2"/>
      <w:lvlRestart w:val="1"/>
      <w:suff w:val="space"/>
      <w:lvlText w:val="%1.%2"/>
      <w:lvlJc w:val="left"/>
      <w:pPr>
        <w:ind w:left="0" w:hanging="0"/>
      </w:pPr>
    </w:lvl>
    <w:lvl w:ilvl="2">
      <w:start w:val="1"/>
      <w:numFmt w:val="decimal"/>
      <w:pStyle w:val="Heading3"/>
      <w:lvlRestart w:val="2"/>
      <w:suff w:val="space"/>
      <w:lvlText w:val="%1.%2.%3"/>
      <w:lvlJc w:val="left"/>
      <w:pPr>
        <w:ind w:left="0" w:hanging="0"/>
      </w:pPr>
    </w:lvl>
    <w:lvl w:ilvl="3">
      <w:start w:val="1"/>
      <w:numFmt w:val="decimal"/>
      <w:pStyle w:val="Heading4"/>
      <w:lvlRestart w:val="3"/>
      <w:suff w:val="space"/>
      <w:lvlText w:val="%1.%2.%3.%4"/>
      <w:lvlJc w:val="left"/>
      <w:pPr>
        <w:ind w:left="0" w:hanging="0"/>
      </w:pPr>
    </w:lvl>
    <w:lvl w:ilvl="4">
      <w:start w:val="1"/>
      <w:numFmt w:val="decimal"/>
      <w:pStyle w:val="Heading5"/>
      <w:lvlRestart w:val="4"/>
      <w:suff w:val="space"/>
      <w:lvlText w:val="%1.%2.%3.%4.%5"/>
      <w:lvlJc w:val="left"/>
      <w:pPr>
        <w:ind w:left="0" w:hanging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evenAndOddHeader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qFormat/>
    <w:uiPriority w:val="99"/>
    <w:pPr>
      <w:widowControl/>
      <w:spacing w:after="0" w:line="360" w:lineRule="auto"/>
      <w:ind w:firstLine="737"/>
      <w:jc w:val="both"/>
    </w:pPr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qFormat/>
    <w:uiPriority w:val="99"/>
    <w:pPr>
      <w:widowControl/>
      <w:spacing w:after="0" w:line="360" w:lineRule="auto"/>
      <w:ind w:firstLine="737"/>
      <w:jc w:val="both"/>
    </w:pPr>
    <w:rPr>
      <w:rFonts w:ascii="Times New Roman" w:cs="Times New Roman" w:eastAsia="Times New Roman" w:hAnsi="Times New Roman"/>
      <w:sz w:val="24"/>
      <w:szCs w:val="24"/>
    </w:rPr>
  </w:style>
  <w:style w:styleId="FirstParagraph" w:type="paragraph">
    <w:name w:val="First Paragraph"/>
    <w:basedOn w:val="Normal"/>
    <w:next w:val="Normal"/>
    <w:qFormat/>
    <w:uiPriority w:val="99"/>
    <w:pPr>
      <w:widowControl/>
      <w:spacing w:after="0" w:before="120" w:line="360" w:lineRule="auto"/>
      <w:ind w:firstLine="0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Compact" w:type="paragraph">
    <w:name w:val="Compact"/>
    <w:basedOn w:val="Normal"/>
    <w:qFormat/>
    <w:uiPriority w:val="99"/>
    <w:pPr>
      <w:widowControl/>
      <w:spacing w:after="0" w:before="0" w:line="240" w:lineRule="auto"/>
      <w:ind w:firstLine="0"/>
    </w:pPr>
    <w:rPr>
      <w:rFonts w:ascii="Times New Roman" w:cs="Times New Roman" w:eastAsia="Times New Roman" w:hAnsi="Times New Roman"/>
      <w:sz w:val="24"/>
      <w:szCs w:val="24"/>
    </w:rPr>
  </w:style>
  <w:style w:styleId="Title" w:type="paragraph">
    <w:name w:val="Title"/>
    <w:basedOn w:val="Normal"/>
    <w:next w:val="Normal"/>
    <w:qFormat/>
    <w:uiPriority w:val="99"/>
    <w:pPr>
      <w:widowControl/>
      <w:spacing w:after="480" w:before="0" w:line="360" w:lineRule="auto"/>
      <w:ind w:firstLine="0"/>
      <w:jc w:val="center"/>
    </w:pPr>
    <w:rPr>
      <w:rFonts w:ascii="Arial" w:cs="Arial" w:eastAsia="Arial" w:hAnsi="Arial"/>
      <w:b/>
      <w:bCs/>
      <w:caps/>
      <w:sz w:val="28"/>
      <w:szCs w:val="28"/>
    </w:rPr>
  </w:style>
  <w:style w:customStyle="1" w:styleId="TitleChar" w:type="character">
    <w:name w:val="Title Char"/>
    <w:basedOn w:val="DefaultParagraphFont"/>
    <w:link w:val="Title"/>
    <w:qFormat/>
    <w:uiPriority w:val="99"/>
    <w:rPr>
      <w:rFonts w:ascii="Arial" w:cs="Arial" w:eastAsia="Arial" w:hAnsi="Arial"/>
      <w:b/>
      <w:bCs/>
      <w:caps/>
      <w:sz w:val="28"/>
      <w:szCs w:val="28"/>
    </w:rPr>
  </w:style>
  <w:style w:styleId="Subtitle" w:type="paragraph">
    <w:name w:val="Subtitle"/>
    <w:basedOn w:val="Normal"/>
    <w:next w:val="Normal"/>
    <w:qFormat/>
    <w:uiPriority w:val="99"/>
    <w:pPr>
      <w:widowControl/>
      <w:spacing w:after="480" w:before="0" w:line="360" w:lineRule="auto"/>
      <w:ind w:firstLine="0"/>
      <w:jc w:val="center"/>
    </w:pPr>
    <w:rPr>
      <w:rFonts w:ascii="Arial" w:cs="Arial" w:eastAsia="Arial" w:hAnsi="Arial"/>
      <w:sz w:val="24"/>
      <w:szCs w:val="24"/>
    </w:rPr>
  </w:style>
  <w:style w:customStyle="1" w:styleId="SubtitleChar" w:type="character">
    <w:name w:val="Subtitle Char"/>
    <w:basedOn w:val="DefaultParagraphFont"/>
    <w:link w:val="Subtitle"/>
    <w:qFormat/>
    <w:uiPriority w:val="99"/>
    <w:rPr>
      <w:rFonts w:ascii="Arial" w:cs="Arial" w:eastAsia="Arial" w:hAnsi="Arial"/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qFormat/>
    <w:uiPriority w:val="99"/>
    <w:pPr>
      <w:widowControl/>
      <w:spacing w:after="240" w:line="240" w:lineRule="auto"/>
      <w:ind w:firstLine="0"/>
      <w:jc w:val="both"/>
    </w:pPr>
    <w:rPr>
      <w:rFonts w:ascii="Times New Roman" w:cs="Times New Roman" w:eastAsia="Times New Roman" w:hAnsi="Times New Roman"/>
      <w:sz w:val="24"/>
      <w:szCs w:val="24"/>
      <w:lang w:val="en-US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uiPriority w:val="99"/>
    <w:pPr>
      <w:widowControl/>
      <w:keepNext/>
      <w:keepLines/>
      <w:pageBreakBefore/>
      <w:spacing w:after="360" w:before="0" w:line="240" w:lineRule="auto"/>
      <w:ind w:firstLine="0"/>
      <w:outlineLvl w:val="0"/>
    </w:pPr>
    <w:rPr>
      <w:rFonts w:ascii="Arial" w:cs="Arial" w:eastAsia="Arial" w:hAnsi="Arial"/>
      <w:b/>
      <w:bCs/>
      <w:caps/>
      <w:sz w:val="28"/>
      <w:szCs w:val="28"/>
    </w:rPr>
  </w:style>
  <w:style w:styleId="Heading2" w:type="paragraph">
    <w:name w:val="Heading 2"/>
    <w:basedOn w:val="Normal"/>
    <w:next w:val="FirstParagraph"/>
    <w:qFormat/>
    <w:uiPriority w:val="99"/>
    <w:pPr>
      <w:widowControl/>
      <w:keepNext/>
      <w:keepLines/>
      <w:spacing w:after="120" w:before="240" w:line="240" w:lineRule="auto"/>
      <w:ind w:firstLine="0"/>
      <w:outlineLvl w:val="1"/>
    </w:pPr>
    <w:rPr>
      <w:rFonts w:ascii="Arial" w:cs="Arial" w:eastAsia="Arial" w:hAnsi="Arial"/>
      <w:b/>
      <w:bCs/>
      <w:sz w:val="24"/>
      <w:szCs w:val="24"/>
    </w:rPr>
  </w:style>
  <w:style w:styleId="Heading3" w:type="paragraph">
    <w:name w:val="Heading 3"/>
    <w:basedOn w:val="Normal"/>
    <w:next w:val="FirstParagraph"/>
    <w:qFormat/>
    <w:uiPriority w:val="99"/>
    <w:pPr>
      <w:widowControl/>
      <w:keepNext/>
      <w:keepLines/>
      <w:spacing w:after="120" w:before="240" w:line="240" w:lineRule="auto"/>
      <w:ind w:firstLine="0"/>
      <w:outlineLvl w:val="2"/>
    </w:pPr>
    <w:rPr>
      <w:rFonts w:ascii="Arial" w:cs="Arial" w:eastAsia="Arial" w:hAnsi="Arial"/>
      <w:b/>
      <w:bCs/>
      <w:i/>
      <w:iCs/>
      <w:sz w:val="24"/>
      <w:szCs w:val="24"/>
    </w:rPr>
  </w:style>
  <w:style w:styleId="Heading4" w:type="paragraph">
    <w:name w:val="Heading 4"/>
    <w:basedOn w:val="Normal"/>
    <w:next w:val="FirstParagraph"/>
    <w:qFormat/>
    <w:uiPriority w:val="99"/>
    <w:pPr>
      <w:widowControl/>
      <w:keepNext/>
      <w:keepLines/>
      <w:spacing w:after="120" w:before="240" w:line="240" w:lineRule="auto"/>
      <w:ind w:firstLine="0"/>
      <w:outlineLvl w:val="3"/>
    </w:pPr>
    <w:rPr>
      <w:rFonts w:ascii="Arial" w:cs="Arial" w:eastAsia="Arial" w:hAnsi="Arial"/>
      <w:i/>
      <w:iCs/>
      <w:sz w:val="24"/>
      <w:szCs w:val="24"/>
    </w:rPr>
  </w:style>
  <w:style w:styleId="Heading5" w:type="paragraph">
    <w:name w:val="Heading 5"/>
    <w:basedOn w:val="Normal"/>
    <w:next w:val="FirstParagraph"/>
    <w:qFormat/>
    <w:uiPriority w:val="99"/>
    <w:pPr>
      <w:widowControl/>
      <w:keepNext/>
      <w:keepLines/>
      <w:spacing w:after="120" w:before="240" w:line="240" w:lineRule="auto"/>
      <w:ind w:firstLine="0"/>
      <w:outlineLvl w:val="4"/>
    </w:pPr>
    <w:rPr>
      <w:rFonts w:ascii="Arial" w:cs="Arial" w:eastAsia="Arial" w:hAnsi="Arial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qFormat/>
    <w:uiPriority w:val="99"/>
    <w:rPr>
      <w:rFonts w:ascii="Arial" w:cs="Arial" w:eastAsia="Arial" w:hAnsi="Arial"/>
      <w:b/>
      <w:bCs/>
      <w:caps/>
      <w:sz w:val="28"/>
      <w:szCs w:val="28"/>
    </w:rPr>
  </w:style>
  <w:style w:customStyle="1" w:styleId="Heading2Char" w:type="character">
    <w:name w:val="Heading 2 Char"/>
    <w:basedOn w:val="DefaultParagraphFont"/>
    <w:link w:val="Heading2"/>
    <w:qFormat/>
    <w:uiPriority w:val="99"/>
    <w:rPr>
      <w:rFonts w:ascii="Arial" w:cs="Arial" w:eastAsia="Arial" w:hAnsi="Arial"/>
      <w:b/>
      <w:bCs/>
      <w:sz w:val="24"/>
      <w:szCs w:val="24"/>
    </w:rPr>
  </w:style>
  <w:style w:customStyle="1" w:styleId="Heading3Char" w:type="character">
    <w:name w:val="Heading 3 Char"/>
    <w:basedOn w:val="DefaultParagraphFont"/>
    <w:link w:val="Heading3"/>
    <w:qFormat/>
    <w:uiPriority w:val="99"/>
    <w:rPr>
      <w:rFonts w:ascii="Arial" w:cs="Arial" w:eastAsia="Arial" w:hAnsi="Arial"/>
      <w:b/>
      <w:bCs/>
      <w:i/>
      <w:iCs/>
      <w:sz w:val="24"/>
      <w:szCs w:val="24"/>
    </w:rPr>
  </w:style>
  <w:style w:customStyle="1" w:styleId="Heading4Char" w:type="character">
    <w:name w:val="Heading 4 Char"/>
    <w:basedOn w:val="DefaultParagraphFont"/>
    <w:link w:val="Heading4"/>
    <w:qFormat/>
    <w:uiPriority w:val="99"/>
    <w:rPr>
      <w:rFonts w:ascii="Arial" w:cs="Arial" w:eastAsia="Arial" w:hAnsi="Arial"/>
      <w:i/>
      <w:iCs/>
      <w:sz w:val="24"/>
      <w:szCs w:val="24"/>
    </w:rPr>
  </w:style>
  <w:style w:customStyle="1" w:styleId="Heading5Char" w:type="character">
    <w:name w:val="Heading 5 Char"/>
    <w:basedOn w:val="DefaultParagraphFont"/>
    <w:link w:val="Heading5"/>
    <w:qFormat/>
    <w:uiPriority w:val="99"/>
    <w:rPr>
      <w:rFonts w:ascii="Arial" w:cs="Arial" w:eastAsia="Arial" w:hAnsi="Arial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qFormat/>
    <w:uiPriority w:val="99"/>
    <w:pPr>
      <w:widowControl/>
      <w:spacing w:after="0" w:line="240" w:lineRule="auto"/>
      <w:jc w:val="both"/>
    </w:pPr>
    <w:rPr>
      <w:rFonts w:ascii="Times New Roman" w:cs="Times New Roman" w:eastAsia="Times New Roman" w:hAnsi="Times New Roman"/>
      <w:sz w:val="20"/>
      <w:szCs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uiPriority w:val="99"/>
    <w:pPr>
      <w:widowControl/>
      <w:keepNext/>
      <w:spacing w:after="120" w:before="240" w:line="240" w:lineRule="auto"/>
      <w:ind w:firstLine="0"/>
      <w:jc w:val="center"/>
    </w:pPr>
    <w:rPr>
      <w:rFonts w:ascii="Times New Roman" w:cs="Times New Roman" w:eastAsia="Times New Roman" w:hAnsi="Times New Roman"/>
      <w:sz w:val="20"/>
      <w:szCs w:val="20"/>
    </w:rPr>
  </w:style>
  <w:style w:customStyle="1" w:styleId="TableCaption" w:type="paragraph">
    <w:name w:val="Table Caption"/>
    <w:basedOn w:val="Normal"/>
    <w:qFormat/>
    <w:uiPriority w:val="99"/>
    <w:pPr>
      <w:widowControl/>
      <w:keepNext/>
      <w:keepLines/>
      <w:spacing w:after="120" w:before="240" w:line="240" w:lineRule="auto"/>
      <w:ind w:firstLine="0"/>
      <w:jc w:val="center"/>
    </w:pPr>
    <w:rPr>
      <w:rFonts w:ascii="Times New Roman" w:cs="Times New Roman" w:eastAsia="Times New Roman" w:hAnsi="Times New Roman"/>
      <w:sz w:val="20"/>
      <w:szCs w:val="20"/>
    </w:rPr>
  </w:style>
  <w:style w:customStyle="1" w:styleId="ImageCaption" w:type="paragraph">
    <w:name w:val="Image Caption"/>
    <w:basedOn w:val="Caption"/>
    <w:qFormat/>
    <w:uiPriority w:val="99"/>
    <w:pPr>
      <w:widowControl/>
      <w:keepNext/>
      <w:keepLines/>
      <w:spacing w:after="120" w:before="240" w:line="240" w:lineRule="auto"/>
      <w:ind w:firstLine="0"/>
      <w:jc w:val="center"/>
    </w:pPr>
    <w:rPr>
      <w:rFonts w:ascii="Times New Roman" w:cs="Times New Roman" w:eastAsia="Times New Roman" w:hAnsi="Times New Roman"/>
      <w:sz w:val="20"/>
      <w:szCs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qFormat/>
    <w:uiPriority w:val="99"/>
    <w:rPr>
      <w:rFonts w:ascii="Times New Roman" w:cs="Times New Roman" w:eastAsia="Times New Roman" w:hAnsi="Times New Roman"/>
      <w:sz w:val="24"/>
      <w:szCs w:val="24"/>
    </w:rPr>
  </w:style>
  <w:style w:customStyle="1" w:styleId="VerbatimChar" w:type="character">
    <w:name w:val="Verbatim Char"/>
    <w:qFormat/>
    <w:uiPriority w:val="99"/>
    <w:rPr>
      <w:rFonts w:ascii="Courier New" w:cs="Courier New" w:eastAsia="Courier New" w:hAnsi="Courier New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TOCHeading" w:type="paragraph">
    <w:name w:val="TOC Heading"/>
    <w:basedOn w:val="Normal"/>
    <w:next w:val="Normal"/>
    <w:qFormat/>
    <w:uiPriority w:val="99"/>
    <w:pPr>
      <w:widowControl/>
      <w:keepNext/>
      <w:keepLines/>
      <w:spacing w:after="480" w:before="0" w:line="240" w:lineRule="auto"/>
      <w:jc w:val="center"/>
    </w:pPr>
    <w:rPr>
      <w:rFonts w:ascii="Arial" w:cs="Arial" w:eastAsia="Arial" w:hAnsi="Arial"/>
      <w:caps/>
      <w:sz w:val="36"/>
      <w:szCs w:val="36"/>
    </w:rPr>
  </w:style>
  <w:style w:customStyle="1" w:styleId="Source" w:type="paragraph">
    <w:name w:val="Source"/>
    <w:basedOn w:val="Caption"/>
    <w:qFormat/>
    <w:uiPriority w:val="99"/>
    <w:pPr>
      <w:widowControl/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sz w:val="20"/>
      <w:szCs w:val="20"/>
    </w:rPr>
  </w:style>
  <w:style w:customStyle="1" w:styleId="Code" w:type="paragraph">
    <w:name w:val="Code"/>
    <w:qFormat/>
    <w:uiPriority w:val="99"/>
    <w:pPr>
      <w:widowControl/>
      <w:spacing w:after="0" w:before="0" w:line="240" w:lineRule="auto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DecValTok" w:type="character">
    <w:name w:val="DecVal Token"/>
    <w:qFormat/>
    <w:uiPriority w:val="99"/>
    <w:rPr>
      <w:rFonts w:ascii="Courier New" w:cs="Courier New" w:eastAsia="Courier New" w:hAnsi="Courier New"/>
      <w:sz w:val="18"/>
      <w:szCs w:val="18"/>
      <w:color w:val="40a070"/>
    </w:rPr>
  </w:style>
  <w:style w:customStyle="1" w:styleId="ErrorTok" w:type="character">
    <w:name w:val="Error Token"/>
    <w:qFormat/>
    <w:uiPriority w:val="99"/>
    <w:rPr>
      <w:rFonts w:ascii="Courier New" w:cs="Courier New" w:eastAsia="Courier New" w:hAnsi="Courier New"/>
      <w:b/>
      <w:bCs/>
      <w:sz w:val="18"/>
      <w:szCs w:val="18"/>
      <w:color w:val="ff0000"/>
    </w:rPr>
  </w:style>
  <w:style w:customStyle="1" w:styleId="TitlePageInstitution" w:type="paragraph">
    <w:name w:val="Title Page Institution"/>
    <w:basedOn w:val="Normal"/>
    <w:qFormat/>
    <w:uiPriority w:val="99"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customStyle="1" w:styleId="CodeChar" w:type="character">
    <w:name w:val="Code Char"/>
    <w:qFormat/>
    <w:uiPriority w:val="99"/>
    <w:rPr>
      <w:rFonts w:ascii="Courier New" w:cs="Courier New" w:eastAsia="Courier New" w:hAnsi="Courier New"/>
      <w:sz w:val="18"/>
      <w:szCs w:val="18"/>
    </w:rPr>
  </w:style>
  <w:style w:customStyle="1" w:styleId="TitlePageYear" w:type="paragraph">
    <w:name w:val="Title Page Year"/>
    <w:basedOn w:val="TitlePageLocation"/>
    <w:qFormat/>
    <w:uiPriority w:val="99"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customStyle="1" w:styleId="Index" w:type="paragraph">
    <w:name w:val="Index"/>
    <w:basedOn w:val="Normal"/>
    <w:qFormat/>
    <w:uiPriority w:val="99"/>
    <w:pPr>
      <w:widowControl/>
      <w:spacing w:after="0" w:line="240" w:lineRule="auto"/>
      <w:ind w:firstLine="0" w:hanging="283" w:left="0"/>
      <w:jc w:val="left"/>
    </w:pPr>
    <w:rPr>
      <w:rFonts w:ascii="Times New Roman" w:cs="Times New Roman" w:eastAsia="Times New Roman" w:hAnsi="Times New Roman"/>
      <w:sz w:val="20"/>
      <w:szCs w:val="20"/>
    </w:rPr>
  </w:style>
  <w:style w:styleId="Quote" w:type="paragraph">
    <w:name w:val="Quote"/>
    <w:basedOn w:val="Normal"/>
    <w:qFormat/>
    <w:uiPriority w:val="99"/>
    <w:pPr>
      <w:widowControl/>
      <w:spacing w:after="240" w:before="240" w:line="240" w:lineRule="auto"/>
      <w:ind w:left="2268"/>
      <w:jc w:val="both"/>
    </w:pPr>
    <w:rPr>
      <w:rFonts w:ascii="Times New Roman" w:cs="Times New Roman" w:eastAsia="Times New Roman" w:hAnsi="Times New Roman"/>
      <w:sz w:val="20"/>
      <w:szCs w:val="20"/>
    </w:rPr>
  </w:style>
  <w:style w:customStyle="1" w:styleId="KeywordTok" w:type="character">
    <w:name w:val="Keyword Token"/>
    <w:qFormat/>
    <w:uiPriority w:val="99"/>
    <w:rPr>
      <w:rFonts w:ascii="Courier New" w:cs="Courier New" w:eastAsia="Courier New" w:hAnsi="Courier New"/>
      <w:b/>
      <w:bCs/>
      <w:sz w:val="18"/>
      <w:szCs w:val="18"/>
    </w:rPr>
  </w:style>
  <w:style w:styleId="TOC2" w:type="paragraph">
    <w:name w:val="TOC 2"/>
    <w:basedOn w:val="Normal"/>
    <w:next w:val="Normal"/>
    <w:qFormat/>
    <w:uiPriority w:val="99"/>
    <w:pPr>
      <w:widowControl/>
      <w:spacing w:after="0" w:before="0" w:line="360" w:lineRule="auto"/>
      <w:ind w:left="283"/>
    </w:pPr>
    <w:rPr>
      <w:rFonts w:ascii="Times New Roman" w:cs="Times New Roman" w:eastAsia="Times New Roman" w:hAnsi="Times New Roman"/>
      <w:sz w:val="24"/>
      <w:szCs w:val="24"/>
    </w:rPr>
  </w:style>
  <w:style w:customStyle="1" w:styleId="CoverInstitution" w:type="paragraph">
    <w:name w:val="Cover Institution"/>
    <w:basedOn w:val="Normal"/>
    <w:qFormat/>
    <w:uiPriority w:val="99"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4"/>
      <w:szCs w:val="24"/>
    </w:rPr>
  </w:style>
  <w:style w:customStyle="1" w:styleId="Strong" w:type="character">
    <w:name w:val="Strong"/>
    <w:qFormat/>
    <w:uiPriority w:val="99"/>
    <w:rPr>
      <w:b/>
      <w:bCs/>
    </w:rPr>
  </w:style>
  <w:style w:styleId="TOC3" w:type="paragraph">
    <w:name w:val="TOC 3"/>
    <w:basedOn w:val="Normal"/>
    <w:next w:val="Normal"/>
    <w:qFormat/>
    <w:uiPriority w:val="99"/>
    <w:pPr>
      <w:widowControl/>
      <w:spacing w:after="0" w:before="0" w:line="360" w:lineRule="auto"/>
      <w:ind w:left="567"/>
    </w:pPr>
    <w:rPr>
      <w:rFonts w:ascii="Times New Roman" w:cs="Times New Roman" w:eastAsia="Times New Roman" w:hAnsi="Times New Roman"/>
      <w:sz w:val="24"/>
      <w:szCs w:val="24"/>
    </w:rPr>
  </w:style>
  <w:style w:customStyle="1" w:styleId="TitlePageAuthor" w:type="paragraph">
    <w:name w:val="Title Page Author"/>
    <w:basedOn w:val="Normal"/>
    <w:qFormat/>
    <w:uiPriority w:val="99"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customStyle="1" w:styleId="CoverDepartment" w:type="paragraph">
    <w:name w:val="Cover Department"/>
    <w:basedOn w:val="Normal"/>
    <w:qFormat/>
    <w:uiPriority w:val="99"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customStyle="1" w:styleId="CoverNature" w:type="paragraph">
    <w:name w:val="Cover Nature"/>
    <w:basedOn w:val="Normal"/>
    <w:qFormat/>
    <w:uiPriority w:val="99"/>
    <w:pPr>
      <w:widowControl/>
      <w:spacing w:after="0" w:before="0" w:line="240" w:lineRule="auto"/>
      <w:ind w:firstLine="0" w:left="4536"/>
      <w:jc w:val="both"/>
    </w:pPr>
    <w:rPr>
      <w:rFonts w:ascii="Times New Roman" w:cs="Times New Roman" w:eastAsia="Times New Roman" w:hAnsi="Times New Roman"/>
      <w:sz w:val="20"/>
      <w:szCs w:val="20"/>
    </w:rPr>
  </w:style>
  <w:style w:customStyle="1" w:styleId="AnnexHeading" w:type="paragraph">
    <w:name w:val="Annex Heading"/>
    <w:basedOn w:val="AppendixHeading"/>
    <w:next w:val="FirstParagraph"/>
    <w:qFormat/>
    <w:uiPriority w:val="99"/>
    <w:pPr>
      <w:widowControl/>
    </w:pPr>
    <w:rPr>
      <w:rFonts w:ascii="Arial" w:cs="Arial" w:eastAsia="Arial" w:hAnsi="Arial"/>
      <w:b/>
      <w:bCs/>
      <w:caps/>
      <w:sz w:val="28"/>
      <w:szCs w:val="28"/>
    </w:rPr>
  </w:style>
  <w:style w:customStyle="1" w:styleId="Dedication" w:type="paragraph">
    <w:name w:val="Dedication"/>
    <w:basedOn w:val="Normal"/>
    <w:qFormat/>
    <w:uiPriority w:val="99"/>
    <w:pPr>
      <w:widowControl/>
      <w:spacing w:after="0" w:before="0" w:line="360" w:lineRule="auto"/>
      <w:ind w:firstLine="0" w:left="4536"/>
      <w:jc w:val="right"/>
    </w:pPr>
    <w:rPr>
      <w:rFonts w:ascii="Times New Roman" w:cs="Times New Roman" w:eastAsia="Times New Roman" w:hAnsi="Times New Roman"/>
      <w:i/>
      <w:iCs/>
      <w:sz w:val="24"/>
      <w:szCs w:val="24"/>
    </w:rPr>
  </w:style>
  <w:style w:customStyle="1" w:styleId="CoverTitle" w:type="paragraph">
    <w:name w:val="Cover Title"/>
    <w:basedOn w:val="Normal"/>
    <w:qFormat/>
    <w:uiPriority w:val="99"/>
    <w:pPr>
      <w:widowControl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44"/>
      <w:szCs w:val="44"/>
    </w:rPr>
  </w:style>
  <w:style w:customStyle="1" w:styleId="AlertTok" w:type="character">
    <w:name w:val="Alert Token"/>
    <w:qFormat/>
    <w:uiPriority w:val="99"/>
    <w:rPr>
      <w:rFonts w:ascii="Courier New" w:cs="Courier New" w:eastAsia="Courier New" w:hAnsi="Courier New"/>
      <w:b/>
      <w:bCs/>
      <w:sz w:val="18"/>
      <w:szCs w:val="18"/>
      <w:color w:val="ff0000"/>
    </w:rPr>
  </w:style>
  <w:style w:customStyle="1" w:styleId="CoverAdvisor" w:type="paragraph">
    <w:name w:val="Cover Advisor"/>
    <w:basedOn w:val="CoverNature"/>
    <w:qFormat/>
    <w:uiPriority w:val="99"/>
    <w:pPr>
      <w:widowControl/>
      <w:spacing w:after="0" w:before="120" w:line="240" w:lineRule="auto"/>
      <w:ind w:firstLine="0" w:left="4536"/>
      <w:jc w:val="left"/>
    </w:pPr>
    <w:rPr>
      <w:rFonts w:ascii="Times New Roman" w:cs="Times New Roman" w:eastAsia="Times New Roman" w:hAnsi="Times New Roman"/>
      <w:sz w:val="20"/>
      <w:szCs w:val="20"/>
    </w:rPr>
  </w:style>
  <w:style w:customStyle="1" w:styleId="StringTok" w:type="character">
    <w:name w:val="String Token"/>
    <w:qFormat/>
    <w:uiPriority w:val="99"/>
    <w:rPr>
      <w:rFonts w:ascii="Courier New" w:cs="Courier New" w:eastAsia="Courier New" w:hAnsi="Courier New"/>
      <w:sz w:val="18"/>
      <w:szCs w:val="18"/>
      <w:color w:val="4070a0"/>
    </w:rPr>
  </w:style>
  <w:style w:customStyle="1" w:styleId="CoverAuthor" w:type="paragraph">
    <w:name w:val="Cover Author"/>
    <w:basedOn w:val="Normal"/>
    <w:qFormat/>
    <w:uiPriority w:val="99"/>
    <w:pPr>
      <w:widowControl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customStyle="1" w:styleId="DataTypeTok" w:type="character">
    <w:name w:val="DataType Token"/>
    <w:qFormat/>
    <w:uiPriority w:val="99"/>
    <w:rPr>
      <w:rFonts w:ascii="Courier New" w:cs="Courier New" w:eastAsia="Courier New" w:hAnsi="Courier New"/>
      <w:sz w:val="18"/>
      <w:szCs w:val="18"/>
      <w:color w:val="902000"/>
    </w:rPr>
  </w:style>
  <w:style w:customStyle="1" w:styleId="Emphasis" w:type="character">
    <w:name w:val="Emphasis"/>
    <w:qFormat/>
    <w:uiPriority w:val="99"/>
    <w:rPr>
      <w:i/>
      <w:iCs/>
    </w:rPr>
  </w:style>
  <w:style w:customStyle="1" w:styleId="CoverSubtitle" w:type="paragraph">
    <w:name w:val="Cover Subtitle"/>
    <w:basedOn w:val="Normal"/>
    <w:qFormat/>
    <w:uiPriority w:val="99"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styleId="TOC1" w:type="paragraph">
    <w:name w:val="TOC 1"/>
    <w:basedOn w:val="Normal"/>
    <w:next w:val="Normal"/>
    <w:qFormat/>
    <w:uiPriority w:val="99"/>
    <w:pPr>
      <w:widowControl/>
      <w:spacing w:after="0" w:before="240" w:line="360" w:lineRule="auto"/>
    </w:pPr>
    <w:rPr>
      <w:rFonts w:ascii="Times New Roman" w:cs="Times New Roman" w:eastAsia="Times New Roman" w:hAnsi="Times New Roman"/>
      <w:b/>
      <w:bCs/>
      <w:sz w:val="24"/>
      <w:szCs w:val="24"/>
    </w:rPr>
  </w:style>
  <w:style w:customStyle="1" w:styleId="OperatorTok" w:type="character">
    <w:name w:val="Operator Token"/>
    <w:qFormat/>
    <w:uiPriority w:val="99"/>
    <w:rPr>
      <w:rFonts w:ascii="Courier New" w:cs="Courier New" w:eastAsia="Courier New" w:hAnsi="Courier New"/>
      <w:sz w:val="18"/>
      <w:szCs w:val="18"/>
      <w:color w:val="666666"/>
    </w:rPr>
  </w:style>
  <w:style w:customStyle="1" w:styleId="CoverYear" w:type="paragraph">
    <w:name w:val="Cover Year"/>
    <w:basedOn w:val="CoverLocation"/>
    <w:qFormat/>
    <w:uiPriority w:val="99"/>
    <w:pPr>
      <w:widowControl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customStyle="1" w:styleId="TitlePageNature" w:type="paragraph">
    <w:name w:val="Title Page Nature"/>
    <w:basedOn w:val="Normal"/>
    <w:qFormat/>
    <w:uiPriority w:val="99"/>
    <w:pPr>
      <w:widowControl/>
      <w:spacing w:after="0" w:before="0" w:line="240" w:lineRule="auto"/>
      <w:ind w:firstLine="0" w:left="4536"/>
      <w:jc w:val="both"/>
    </w:pPr>
    <w:rPr>
      <w:rFonts w:ascii="Times New Roman" w:cs="Times New Roman" w:eastAsia="Times New Roman" w:hAnsi="Times New Roman"/>
      <w:sz w:val="20"/>
      <w:szCs w:val="20"/>
    </w:rPr>
  </w:style>
  <w:style w:customStyle="1" w:styleId="UnnumberedHeading" w:type="paragraph">
    <w:name w:val="Unnumbered Heading"/>
    <w:basedOn w:val="Normal"/>
    <w:next w:val="FirstParagraph"/>
    <w:qFormat/>
    <w:uiPriority w:val="99"/>
    <w:pPr>
      <w:widowControl/>
      <w:keepNext/>
      <w:keepLines/>
      <w:spacing w:after="480" w:before="0" w:line="240" w:lineRule="auto"/>
      <w:jc w:val="center"/>
      <w:outlineLvl w:val="1"/>
    </w:pPr>
    <w:rPr>
      <w:rFonts w:ascii="Arial" w:cs="Arial" w:eastAsia="Arial" w:hAnsi="Arial"/>
      <w:sz w:val="36"/>
      <w:szCs w:val="36"/>
    </w:rPr>
  </w:style>
  <w:style w:customStyle="1" w:styleId="TableSource" w:type="paragraph">
    <w:name w:val="Table Source"/>
    <w:basedOn w:val="Normal"/>
    <w:qFormat/>
    <w:uiPriority w:val="99"/>
    <w:pPr>
      <w:widowControl/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sz w:val="20"/>
      <w:szCs w:val="20"/>
    </w:rPr>
  </w:style>
  <w:style w:customStyle="1" w:styleId="FigureSource" w:type="paragraph">
    <w:name w:val="Figure Source"/>
    <w:basedOn w:val="Normal"/>
    <w:qFormat/>
    <w:uiPriority w:val="99"/>
    <w:pPr>
      <w:widowControl/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sz w:val="20"/>
      <w:szCs w:val="20"/>
    </w:rPr>
  </w:style>
  <w:style w:customStyle="1" w:styleId="Reference" w:type="paragraph">
    <w:name w:val="Reference"/>
    <w:basedOn w:val="Normal"/>
    <w:qFormat/>
    <w:uiPriority w:val="99"/>
    <w:pPr>
      <w:widowControl/>
      <w:spacing w:after="240" w:before="0" w:line="240" w:lineRule="auto"/>
      <w:ind w:firstLine="0" w:hanging="0" w:left="0"/>
      <w:jc w:val="left"/>
    </w:pPr>
    <w:rPr>
      <w:rFonts w:ascii="Times New Roman" w:cs="Times New Roman" w:eastAsia="Times New Roman" w:hAnsi="Times New Roman"/>
      <w:sz w:val="24"/>
      <w:szCs w:val="24"/>
    </w:rPr>
  </w:style>
  <w:style w:styleId="ListParagraph" w:type="paragraph">
    <w:name w:val="List Paragraph"/>
    <w:basedOn w:val="Normal"/>
    <w:qFormat/>
    <w:uiPriority w:val="99"/>
    <w:pPr>
      <w:widowControl/>
      <w:spacing w:after="0" w:line="360" w:lineRule="auto"/>
      <w:ind w:hanging="357" w:left="720"/>
    </w:pPr>
    <w:rPr>
      <w:rFonts w:ascii="Times New Roman" w:cs="Times New Roman" w:eastAsia="Times New Roman" w:hAnsi="Times New Roman"/>
      <w:sz w:val="24"/>
      <w:szCs w:val="24"/>
    </w:rPr>
  </w:style>
  <w:style w:customStyle="1" w:styleId="FunctionTok" w:type="character">
    <w:name w:val="Function Token"/>
    <w:qFormat/>
    <w:uiPriority w:val="99"/>
    <w:rPr>
      <w:rFonts w:ascii="Courier New" w:cs="Courier New" w:eastAsia="Courier New" w:hAnsi="Courier New"/>
      <w:sz w:val="18"/>
      <w:szCs w:val="18"/>
      <w:color w:val="06287e"/>
    </w:rPr>
  </w:style>
  <w:style w:customStyle="1" w:styleId="Resumo" w:type="paragraph">
    <w:name w:val="Resumo"/>
    <w:basedOn w:val="Normal"/>
    <w:qFormat/>
    <w:uiPriority w:val="99"/>
    <w:pPr>
      <w:widowControl/>
      <w:spacing w:after="240" w:line="240" w:lineRule="auto"/>
      <w:ind w:firstLine="0"/>
      <w:jc w:val="both"/>
    </w:pPr>
    <w:rPr>
      <w:rFonts w:ascii="Times New Roman" w:cs="Times New Roman" w:eastAsia="Times New Roman" w:hAnsi="Times New Roman"/>
      <w:sz w:val="24"/>
      <w:szCs w:val="24"/>
      <w:lang w:val="pt-BR"/>
    </w:rPr>
  </w:style>
  <w:style w:customStyle="1" w:styleId="CoverLocation" w:type="paragraph">
    <w:name w:val="Cover Location"/>
    <w:basedOn w:val="Normal"/>
    <w:qFormat/>
    <w:uiPriority w:val="99"/>
    <w:pPr>
      <w:widowControl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customStyle="1" w:styleId="SourceCode" w:type="paragraph">
    <w:name w:val="Source Code"/>
    <w:qFormat/>
    <w:uiPriority w:val="99"/>
    <w:pPr>
      <w:widowControl/>
      <w:spacing w:after="120" w:before="120" w:line="240" w:lineRule="auto"/>
      <w:jc w:val="left"/>
      <w:ind w:firstLine="0"/>
    </w:pPr>
    <w:rPr>
      <w:rFonts w:ascii="Courier New" w:cs="Courier New" w:eastAsia="Courier New" w:hAnsi="Courier New"/>
      <w:sz w:val="18"/>
      <w:szCs w:val="18"/>
    </w:rPr>
  </w:style>
  <w:style w:customStyle="1" w:styleId="Epigraph" w:type="paragraph">
    <w:name w:val="Epigraph"/>
    <w:basedOn w:val="Normal"/>
    <w:qFormat/>
    <w:uiPriority w:val="99"/>
    <w:pPr>
      <w:widowControl/>
      <w:spacing w:after="0" w:before="0" w:line="360" w:lineRule="auto"/>
      <w:ind w:firstLine="0" w:left="4536"/>
      <w:jc w:val="right"/>
    </w:pPr>
    <w:rPr>
      <w:rFonts w:ascii="Times New Roman" w:cs="Times New Roman" w:eastAsia="Times New Roman" w:hAnsi="Times New Roman"/>
      <w:sz w:val="20"/>
      <w:szCs w:val="20"/>
    </w:rPr>
  </w:style>
  <w:style w:customStyle="1" w:styleId="TitlePageTitle" w:type="paragraph">
    <w:name w:val="Title Page Title"/>
    <w:basedOn w:val="Normal"/>
    <w:qFormat/>
    <w:uiPriority w:val="99"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TitlePageLocation" w:type="paragraph">
    <w:name w:val="Title Page Location"/>
    <w:basedOn w:val="Normal"/>
    <w:qFormat/>
    <w:uiPriority w:val="99"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customStyle="1" w:styleId="TitlePageAdvisor" w:type="paragraph">
    <w:name w:val="Title Page Advisor"/>
    <w:basedOn w:val="TitlePageNature"/>
    <w:qFormat/>
    <w:uiPriority w:val="99"/>
    <w:pPr>
      <w:widowControl/>
      <w:spacing w:after="0" w:before="120" w:line="240" w:lineRule="auto"/>
      <w:ind w:firstLine="0" w:left="4536"/>
      <w:jc w:val="left"/>
    </w:pPr>
    <w:rPr>
      <w:rFonts w:ascii="Times New Roman" w:cs="Times New Roman" w:eastAsia="Times New Roman" w:hAnsi="Times New Roman"/>
      <w:sz w:val="20"/>
      <w:szCs w:val="20"/>
    </w:rPr>
  </w:style>
  <w:style w:customStyle="1" w:styleId="CommentTok" w:type="character">
    <w:name w:val="Comment Token"/>
    <w:qFormat/>
    <w:uiPriority w:val="99"/>
    <w:rPr>
      <w:rFonts w:ascii="Courier New" w:cs="Courier New" w:eastAsia="Courier New" w:hAnsi="Courier New"/>
      <w:i/>
      <w:iCs/>
      <w:sz w:val="18"/>
      <w:szCs w:val="18"/>
      <w:color w:val="60a0b0"/>
    </w:rPr>
  </w:style>
  <w:style w:customStyle="1" w:styleId="BookPart" w:type="paragraph">
    <w:name w:val="Book Part"/>
    <w:basedOn w:val="Normal"/>
    <w:next w:val="Normal"/>
    <w:qFormat/>
    <w:uiPriority w:val="99"/>
    <w:pPr>
      <w:widowControl/>
      <w:keepNext/>
      <w:keepLines/>
      <w:pageBreakBefore/>
      <w:spacing w:after="480" w:before="0" w:line="240" w:lineRule="auto"/>
      <w:ind w:firstLine="0"/>
      <w:jc w:val="center"/>
    </w:pPr>
    <w:rPr>
      <w:rFonts w:ascii="Arial" w:cs="Arial" w:eastAsia="Arial" w:hAnsi="Arial"/>
      <w:b/>
      <w:bCs/>
      <w:caps/>
      <w:sz w:val="36"/>
      <w:szCs w:val="36"/>
    </w:rPr>
  </w:style>
  <w:style w:customStyle="1" w:styleId="NormalTok" w:type="character">
    <w:name w:val="Normal Token"/>
    <w:qFormat/>
    <w:uiPriority w:val="99"/>
    <w:rPr>
      <w:rFonts w:ascii="Courier New" w:cs="Courier New" w:eastAsia="Courier New" w:hAnsi="Courier New"/>
      <w:sz w:val="18"/>
      <w:szCs w:val="18"/>
    </w:rPr>
  </w:style>
  <w:style w:customStyle="1" w:styleId="AppendixHeading" w:type="paragraph">
    <w:name w:val="Appendix Heading"/>
    <w:basedOn w:val="Heading1"/>
    <w:next w:val="FirstParagraph"/>
    <w:qFormat/>
    <w:uiPriority w:val="99"/>
    <w:pPr>
      <w:widowControl/>
      <w:keepNext/>
      <w:keepLines/>
      <w:spacing w:after="360" w:before="0" w:line="240" w:lineRule="auto"/>
      <w:ind w:firstLine="0"/>
      <w:jc w:val="center"/>
      <w:outlineLvl w:val="0"/>
    </w:pPr>
    <w:rPr>
      <w:rFonts w:ascii="Arial" w:cs="Arial" w:eastAsia="Arial" w:hAnsi="Arial"/>
      <w:b/>
      <w:bCs/>
      <w:caps/>
      <w:sz w:val="28"/>
      <w:szCs w:val="28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2" Target="media/rId22.jpg"/><Relationship Type="http://schemas.openxmlformats.org/officeDocument/2006/relationships/image" Id="rId35" Target="media/rId35.png"/><Relationship Type="http://schemas.openxmlformats.org/officeDocument/2006/relationships/image" Id="rId32" Target="media/rId32.png"/><Relationship Type="http://schemas.openxmlformats.org/officeDocument/2006/relationships/image" Id="rId62" Target="media/rId62.png"/><Relationship Type="http://schemas.openxmlformats.org/officeDocument/2006/relationships/image" Id="rId39" Target="media/rId39.png"/><Relationship Type="http://schemas.openxmlformats.org/officeDocument/2006/relationships/hyperlink" Id="rId48" Target="@cite" TargetMode="External"/><Relationship Type="http://schemas.openxmlformats.org/officeDocument/2006/relationships/hyperlink" Id="rId76" Target="http://www.abntex.net.br/" TargetMode="External"/><Relationship Type="http://schemas.openxmlformats.org/officeDocument/2006/relationships/hyperlink" Id="rId31" Target="https://echarts.apache.org" TargetMode="External"/><Relationship Type="http://schemas.openxmlformats.org/officeDocument/2006/relationships/hyperlink" Id="rId88" Target="https://github.com/abntex/limarka" TargetMode="External"/><Relationship Type="http://schemas.openxmlformats.org/officeDocument/2006/relationships/hyperlink" Id="rId86" Target="https://quarto.org" TargetMode="External"/><Relationship Type="http://schemas.openxmlformats.org/officeDocument/2006/relationships/header" Target="header1.xml" Id="rId89"/><Relationship Type="http://schemas.openxmlformats.org/officeDocument/2006/relationships/header" Target="header2.xml" Id="rId90"/><Relationship Type="http://schemas.openxmlformats.org/officeDocument/2006/relationships/header" Target="header3.xml" Id="rId91"/><Relationship Type="http://schemas.openxmlformats.org/officeDocument/2006/relationships/header" Target="header4.xml" Id="rId92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@cite" TargetMode="External" /><Relationship Type="http://schemas.openxmlformats.org/officeDocument/2006/relationships/hyperlink" Id="rId76" Target="http://www.abntex.net.br/" TargetMode="External" /><Relationship Type="http://schemas.openxmlformats.org/officeDocument/2006/relationships/hyperlink" Id="rId31" Target="https://echarts.apache.org" TargetMode="External" /><Relationship Type="http://schemas.openxmlformats.org/officeDocument/2006/relationships/hyperlink" Id="rId88" Target="https://github.com/abntex/limarka" TargetMode="External" /><Relationship Type="http://schemas.openxmlformats.org/officeDocument/2006/relationships/hyperlink" Id="rId86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2026-03-02T23:06:30Z</dcterms:created>
  <dcterms:modified xsi:type="dcterms:W3CDTF">2026-03-02T23:06:30Z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eywords">
    <vt:lpwstr>SpecCompiler, ABNT, markdown, academic works, NBR 14724.</vt:lpwstr>
  </property>
  <property fmtid="{D5CDD505-2E9C-101B-9397-08002B2CF9AE}" pid="3" name="advisor">
    <vt:lpwstr>Este documento é auto-demonstrativo</vt:lpwstr>
  </property>
  <property fmtid="{D5CDD505-2E9C-101B-9397-08002B2CF9AE}" pid="4" name="bibliography">
    <vt:lpwstr>./references.bib</vt:lpwstr>
  </property>
  <property fmtid="{D5CDD505-2E9C-101B-9397-08002B2CF9AE}" pid="5" name="city">
    <vt:lpwstr>Online</vt:lpwstr>
  </property>
  <property fmtid="{D5CDD505-2E9C-101B-9397-08002B2CF9AE}" pid="6" name="course">
    <vt:lpwstr>Tutorial Completo</vt:lpwstr>
  </property>
  <property fmtid="{D5CDD505-2E9C-101B-9397-08002B2CF9AE}" pid="7" name="csl">
    <vt:lpwstr>./abnt.csl</vt:lpwstr>
  </property>
  <property fmtid="{D5CDD505-2E9C-101B-9397-08002B2CF9AE}" pid="8" name="department">
    <vt:lpwstr>Guia de Uso</vt:lpwstr>
  </property>
  <property fmtid="{D5CDD505-2E9C-101B-9397-08002B2CF9AE}" pid="9" name="faculty">
    <vt:lpwstr>Template ABNT</vt:lpwstr>
  </property>
  <property fmtid="{D5CDD505-2E9C-101B-9397-08002B2CF9AE}" pid="10" name="institution">
    <vt:lpwstr>SpecCompiler Documentation</vt:lpwstr>
  </property>
  <property fmtid="{D5CDD505-2E9C-101B-9397-08002B2CF9AE}" pid="11" name="nature">
    <vt:lpwstr>Documento de exemplo e tutorial que demonstra as funcionalidades do template ABNT do SpecCompiler para criação de trabalhos acadêmicos conforme as normas da ABNT NBR 14724.</vt:lpwstr>
  </property>
  <property fmtid="{D5CDD505-2E9C-101B-9397-08002B2CF9AE}" pid="12" name="year">
    <vt:lpwstr>2026</vt:lpwstr>
  </property>
</Properties>
</file>