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4E112" w14:textId="10135C8E" w:rsidR="00DD7364" w:rsidRDefault="00A9635D" w:rsidP="00A20A7A">
      <w:pPr>
        <w:jc w:val="center"/>
      </w:pPr>
      <w:r>
        <w:t>RELATÓRIO DO TRABALHO 1 DE CONFIABILIDADE E SEGURANÇA DE SOFTWARE</w:t>
      </w:r>
    </w:p>
    <w:p w14:paraId="1201C8E2" w14:textId="24BE078D" w:rsidR="00A9635D" w:rsidRDefault="00A9635D" w:rsidP="00A20A7A">
      <w:pPr>
        <w:jc w:val="center"/>
      </w:pPr>
      <w:r>
        <w:t>GUILHERME MARTINS SPECHT</w:t>
      </w:r>
    </w:p>
    <w:p w14:paraId="4C1BE11E" w14:textId="77777777" w:rsidR="00A9635D" w:rsidRDefault="00A9635D"/>
    <w:p w14:paraId="2EEF9BEB" w14:textId="075143BF" w:rsidR="00AF6E46" w:rsidRDefault="00AF6E46">
      <w:r>
        <w:t>Classe de equivalência:</w:t>
      </w:r>
    </w:p>
    <w:tbl>
      <w:tblPr>
        <w:tblStyle w:val="Tabelacomgrade"/>
        <w:tblW w:w="9808" w:type="dxa"/>
        <w:tblInd w:w="-542" w:type="dxa"/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F30C73" w14:paraId="3331BF3E" w14:textId="77777777" w:rsidTr="00241595">
        <w:trPr>
          <w:trHeight w:val="389"/>
        </w:trPr>
        <w:tc>
          <w:tcPr>
            <w:tcW w:w="3269" w:type="dxa"/>
          </w:tcPr>
          <w:p w14:paraId="5DF71791" w14:textId="358EF76F" w:rsidR="00F30C73" w:rsidRDefault="00D93B03" w:rsidP="00F64702">
            <w:pPr>
              <w:jc w:val="center"/>
            </w:pPr>
            <w:r>
              <w:t>Variável de Entrada</w:t>
            </w:r>
          </w:p>
        </w:tc>
        <w:tc>
          <w:tcPr>
            <w:tcW w:w="3269" w:type="dxa"/>
          </w:tcPr>
          <w:p w14:paraId="6B500192" w14:textId="1FA1B13E" w:rsidR="00F30C73" w:rsidRDefault="00D93B03" w:rsidP="00F64702">
            <w:pPr>
              <w:jc w:val="center"/>
            </w:pPr>
            <w:r w:rsidRPr="00D93B03">
              <w:t>Classes de equivalência válidas</w:t>
            </w:r>
          </w:p>
        </w:tc>
        <w:tc>
          <w:tcPr>
            <w:tcW w:w="3270" w:type="dxa"/>
          </w:tcPr>
          <w:p w14:paraId="77592D74" w14:textId="29F05D24" w:rsidR="00F30C73" w:rsidRDefault="00881BF8" w:rsidP="00F64702">
            <w:pPr>
              <w:jc w:val="center"/>
            </w:pPr>
            <w:r w:rsidRPr="00881BF8">
              <w:t>Classes de equivalência inválidas</w:t>
            </w:r>
          </w:p>
        </w:tc>
      </w:tr>
      <w:tr w:rsidR="00F30C73" w14:paraId="2146B8EF" w14:textId="77777777" w:rsidTr="00241595">
        <w:trPr>
          <w:trHeight w:val="389"/>
        </w:trPr>
        <w:tc>
          <w:tcPr>
            <w:tcW w:w="3269" w:type="dxa"/>
          </w:tcPr>
          <w:p w14:paraId="168269FE" w14:textId="002D8752" w:rsidR="00F30C73" w:rsidRDefault="00881BF8" w:rsidP="00F64702">
            <w:pPr>
              <w:jc w:val="center"/>
            </w:pPr>
            <w:r>
              <w:t>Tamanho dos lados</w:t>
            </w:r>
          </w:p>
        </w:tc>
        <w:tc>
          <w:tcPr>
            <w:tcW w:w="3269" w:type="dxa"/>
          </w:tcPr>
          <w:p w14:paraId="2428FF28" w14:textId="49FD166D" w:rsidR="00F30C73" w:rsidRDefault="00FE26FD" w:rsidP="00F647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≤ lado ≤ 200</m:t>
                </m:r>
              </m:oMath>
            </m:oMathPara>
          </w:p>
        </w:tc>
        <w:tc>
          <w:tcPr>
            <w:tcW w:w="3270" w:type="dxa"/>
          </w:tcPr>
          <w:p w14:paraId="53D158C1" w14:textId="63AA1D8A" w:rsidR="00F30C73" w:rsidRDefault="002F5FB6" w:rsidP="00F647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 xml:space="preserve"> lado 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 xml:space="preserve"> 200</m:t>
                </m:r>
              </m:oMath>
            </m:oMathPara>
          </w:p>
        </w:tc>
      </w:tr>
      <w:tr w:rsidR="00493D9C" w14:paraId="1DEA312E" w14:textId="77777777" w:rsidTr="00241595">
        <w:trPr>
          <w:trHeight w:val="406"/>
        </w:trPr>
        <w:tc>
          <w:tcPr>
            <w:tcW w:w="3269" w:type="dxa"/>
          </w:tcPr>
          <w:p w14:paraId="313173FB" w14:textId="341B017C" w:rsidR="00493D9C" w:rsidRDefault="00493D9C" w:rsidP="00493D9C">
            <w:pPr>
              <w:jc w:val="center"/>
            </w:pPr>
            <w:r>
              <w:t>Se é um triângulo válido</w:t>
            </w:r>
          </w:p>
        </w:tc>
        <w:tc>
          <w:tcPr>
            <w:tcW w:w="3269" w:type="dxa"/>
          </w:tcPr>
          <w:p w14:paraId="513B1EC7" w14:textId="48CD4547" w:rsidR="00493D9C" w:rsidRDefault="00493D9C" w:rsidP="00493D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ladoA ≥ladoB+ladoC</m:t>
                </m:r>
              </m:oMath>
            </m:oMathPara>
          </w:p>
        </w:tc>
        <w:tc>
          <w:tcPr>
            <w:tcW w:w="3270" w:type="dxa"/>
          </w:tcPr>
          <w:p w14:paraId="641893C7" w14:textId="1619F610" w:rsidR="00493D9C" w:rsidRDefault="00493D9C" w:rsidP="00493D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ladoA 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ladoB+ladoC</m:t>
                </m:r>
              </m:oMath>
            </m:oMathPara>
          </w:p>
        </w:tc>
      </w:tr>
      <w:tr w:rsidR="007E79DE" w14:paraId="4151F66C" w14:textId="77777777" w:rsidTr="00241595">
        <w:trPr>
          <w:trHeight w:val="389"/>
        </w:trPr>
        <w:tc>
          <w:tcPr>
            <w:tcW w:w="3269" w:type="dxa"/>
          </w:tcPr>
          <w:p w14:paraId="3C6D7D2A" w14:textId="73ECCBD8" w:rsidR="007E79DE" w:rsidRDefault="007E79DE" w:rsidP="007E79DE">
            <w:pPr>
              <w:jc w:val="center"/>
            </w:pPr>
            <w:r>
              <w:t xml:space="preserve">Se é um triângulo </w:t>
            </w:r>
            <w:r>
              <w:t>equilátero</w:t>
            </w:r>
          </w:p>
        </w:tc>
        <w:tc>
          <w:tcPr>
            <w:tcW w:w="3269" w:type="dxa"/>
          </w:tcPr>
          <w:p w14:paraId="4F678AB9" w14:textId="69404A4E" w:rsidR="007E79DE" w:rsidRDefault="007E79DE" w:rsidP="007E79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ladoA=laboB=ladoC</m:t>
                </m:r>
              </m:oMath>
            </m:oMathPara>
          </w:p>
        </w:tc>
        <w:tc>
          <w:tcPr>
            <w:tcW w:w="3270" w:type="dxa"/>
          </w:tcPr>
          <w:p w14:paraId="5241CC93" w14:textId="6D03DE25" w:rsidR="007E79DE" w:rsidRDefault="007E79DE" w:rsidP="007E79DE">
            <w:pPr>
              <w:jc w:val="center"/>
            </w:pPr>
            <m:oMath>
              <m:r>
                <w:rPr>
                  <w:rFonts w:ascii="Cambria Math" w:hAnsi="Cambria Math"/>
                </w:rPr>
                <m:t>~(</m:t>
              </m:r>
              <m:r>
                <w:rPr>
                  <w:rFonts w:ascii="Cambria Math" w:hAnsi="Cambria Math"/>
                </w:rPr>
                <m:t>ladoA=laboB=ladoC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241595" w14:paraId="2CBB8020" w14:textId="77777777" w:rsidTr="00241595">
        <w:trPr>
          <w:trHeight w:val="389"/>
        </w:trPr>
        <w:tc>
          <w:tcPr>
            <w:tcW w:w="3269" w:type="dxa"/>
          </w:tcPr>
          <w:p w14:paraId="006770F8" w14:textId="2E4A9D0B" w:rsidR="00241595" w:rsidRDefault="00241595" w:rsidP="00241595">
            <w:pPr>
              <w:jc w:val="center"/>
            </w:pPr>
            <w:r>
              <w:t xml:space="preserve">Se é um triângulo </w:t>
            </w:r>
            <w:r>
              <w:t>isósceles</w:t>
            </w:r>
          </w:p>
        </w:tc>
        <w:tc>
          <w:tcPr>
            <w:tcW w:w="3269" w:type="dxa"/>
          </w:tcPr>
          <w:p w14:paraId="1B658481" w14:textId="7E28D61E" w:rsidR="00241595" w:rsidRDefault="00241595" w:rsidP="002415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ladoA=ladoB</m:t>
                </m:r>
              </m:oMath>
            </m:oMathPara>
          </w:p>
        </w:tc>
        <w:tc>
          <w:tcPr>
            <w:tcW w:w="3270" w:type="dxa"/>
          </w:tcPr>
          <w:p w14:paraId="20991B5D" w14:textId="4B71E81F" w:rsidR="00241595" w:rsidRDefault="00241595" w:rsidP="00241595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~(</m:t>
                </m:r>
                <m:r>
                  <w:rPr>
                    <w:rFonts w:ascii="Cambria Math" w:hAnsi="Cambria Math"/>
                  </w:rPr>
                  <m:t>ladoA=ladoB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1595" w14:paraId="0C712FAA" w14:textId="77777777" w:rsidTr="00241595">
        <w:trPr>
          <w:trHeight w:val="389"/>
        </w:trPr>
        <w:tc>
          <w:tcPr>
            <w:tcW w:w="3269" w:type="dxa"/>
          </w:tcPr>
          <w:p w14:paraId="302F0E16" w14:textId="74417EA3" w:rsidR="00241595" w:rsidRDefault="00241595" w:rsidP="00241595">
            <w:pPr>
              <w:jc w:val="center"/>
            </w:pPr>
            <w:r>
              <w:t xml:space="preserve">Se é um triângulo </w:t>
            </w:r>
            <w:r>
              <w:t>escaleno</w:t>
            </w:r>
          </w:p>
        </w:tc>
        <w:tc>
          <w:tcPr>
            <w:tcW w:w="3269" w:type="dxa"/>
          </w:tcPr>
          <w:p w14:paraId="183C4041" w14:textId="5F33DD8E" w:rsidR="00241595" w:rsidRDefault="00241595" w:rsidP="002415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ladoA ≠ladoB ≠ladoC</m:t>
                </m:r>
              </m:oMath>
            </m:oMathPara>
          </w:p>
        </w:tc>
        <w:tc>
          <w:tcPr>
            <w:tcW w:w="3270" w:type="dxa"/>
          </w:tcPr>
          <w:p w14:paraId="5A79C46B" w14:textId="569286FE" w:rsidR="00241595" w:rsidRDefault="00241595" w:rsidP="002415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~(</m:t>
                </m:r>
                <m:r>
                  <w:rPr>
                    <w:rFonts w:ascii="Cambria Math" w:hAnsi="Cambria Math"/>
                  </w:rPr>
                  <m:t>ladoA ≠ladoB ≠ladoC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154416F3" w14:textId="77777777" w:rsidR="00EA5BDE" w:rsidRDefault="00EA5BDE"/>
    <w:p w14:paraId="60E35C92" w14:textId="2A52FC9F" w:rsidR="00A9635D" w:rsidRDefault="00AF6E46">
      <w:r>
        <w:t>Valores limites testados:</w:t>
      </w:r>
    </w:p>
    <w:p w14:paraId="68F481AC" w14:textId="66BC3B78" w:rsidR="00AF6E46" w:rsidRDefault="00AA3F66">
      <w:r w:rsidRPr="00AA3F66">
        <w:drawing>
          <wp:inline distT="0" distB="0" distL="0" distR="0" wp14:anchorId="5E4253F1" wp14:editId="1A33B1A3">
            <wp:extent cx="5400040" cy="3115945"/>
            <wp:effectExtent l="0" t="0" r="0" b="8255"/>
            <wp:docPr id="3956101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0103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C89F" w14:textId="77777777" w:rsidR="00AA3F66" w:rsidRDefault="00AA3F66"/>
    <w:p w14:paraId="6C9F2526" w14:textId="41D6D9A3" w:rsidR="00BB3283" w:rsidRDefault="00BB3283">
      <w:r>
        <w:t>Grafo de controle de fluxo:</w:t>
      </w:r>
    </w:p>
    <w:p w14:paraId="347C941E" w14:textId="77777777" w:rsidR="00BB3283" w:rsidRDefault="00BB3283"/>
    <w:sectPr w:rsidR="00BB3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25BD0"/>
    <w:multiLevelType w:val="hybridMultilevel"/>
    <w:tmpl w:val="3D2045F2"/>
    <w:lvl w:ilvl="0" w:tplc="C13A6A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3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64"/>
    <w:rsid w:val="00194CAB"/>
    <w:rsid w:val="00241595"/>
    <w:rsid w:val="002D7068"/>
    <w:rsid w:val="002F5FB6"/>
    <w:rsid w:val="00447E36"/>
    <w:rsid w:val="00493D9C"/>
    <w:rsid w:val="0053237F"/>
    <w:rsid w:val="007E79DE"/>
    <w:rsid w:val="00881BF8"/>
    <w:rsid w:val="00A20A7A"/>
    <w:rsid w:val="00A43CEE"/>
    <w:rsid w:val="00A72CEF"/>
    <w:rsid w:val="00A9635D"/>
    <w:rsid w:val="00AA3F66"/>
    <w:rsid w:val="00AF6E46"/>
    <w:rsid w:val="00BB3283"/>
    <w:rsid w:val="00D93B03"/>
    <w:rsid w:val="00DD7364"/>
    <w:rsid w:val="00EA5BDE"/>
    <w:rsid w:val="00F30C73"/>
    <w:rsid w:val="00F61497"/>
    <w:rsid w:val="00F64702"/>
    <w:rsid w:val="00F72081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561E"/>
  <w15:chartTrackingRefBased/>
  <w15:docId w15:val="{DA3D790D-0B6A-4E2E-9AEC-62ECD3EA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3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3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3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3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3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3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36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1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E26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Specht</dc:creator>
  <cp:keywords/>
  <dc:description/>
  <cp:lastModifiedBy>Guilherme Specht</cp:lastModifiedBy>
  <cp:revision>25</cp:revision>
  <dcterms:created xsi:type="dcterms:W3CDTF">2025-04-04T22:40:00Z</dcterms:created>
  <dcterms:modified xsi:type="dcterms:W3CDTF">2025-04-04T23:04:00Z</dcterms:modified>
</cp:coreProperties>
</file>