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34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34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№34 от 2017-12-28 08:25:38.535451+00:00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ООО Тест, ИНН: 122111111111 , КПП: 111111111 ,  Адрес: МСК, Мира, 111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34  от 2017-12-28 08:25:38.535451+00:00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