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49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49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№49 от 2018-01-12 08:09:47.381329+00:00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Ляпина Елена Игоревна, ИНН: 503444116503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49  от 2018-01-12 08:09:47.381329+00:00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3000.00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3000.00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3000.00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3000.00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3000.00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