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53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53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№53 от 2018-01-15 12:07:09.384795+00:00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Аскеров Сергей Викторович, ИНН: 772326332658 , КПП: None ,  Адрес: проспект Ленина,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53  от 2018-01-15 12:07:09.384795+00:00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8500.00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8500.00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8500.00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8500.00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8500.00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