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AF7"/>
  <w:body>
    <w:p>
      <w:pPr>
        <w:spacing w:after="60"/>
      </w:pPr>
      <w:r>
        <w:rPr>
          <w:rFonts w:ascii="Arial" w:cs="Arial" w:eastAsia="Arial" w:hAnsi="Arial"/>
          <w:b/>
          <w:bCs/>
          <w:color w:val="A3121D"/>
          <w:sz w:val="18"/>
          <w:szCs w:val="18"/>
        </w:rPr>
        <w:t xml:space="preserve">MODULE 4 TEMPLATE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917"/>
          <w:sz w:val="48"/>
          <w:szCs w:val="48"/>
        </w:rPr>
        <w:t xml:space="preserve">30-Day Onboarding Plan</w:t>
      </w:r>
    </w:p>
    <w:p>
      <w:pPr>
        <w:spacing w:after="160"/>
      </w:pPr>
      <w:r>
        <w:rPr>
          <w:rFonts w:ascii="Arial" w:cs="Arial" w:eastAsia="Arial" w:hAnsi="Arial"/>
          <w:color w:val="55524B"/>
          <w:sz w:val="24"/>
          <w:szCs w:val="24"/>
        </w:rPr>
        <w:t xml:space="preserve">The first 30 days decide whether a good hire stays.</w:t>
      </w:r>
    </w:p>
    <w:p>
      <w:pPr>
        <w:pBdr>
          <w:bottom w:val="single" w:color="A39A86" w:sz="6" w:space="1"/>
        </w:pBdr>
        <w:spacing w:after="200" w:before="120"/>
      </w:pPr>
    </w:p>
    <w:p>
      <w:pPr>
        <w:spacing w:after="140" w:line="300"/>
      </w:pPr>
      <w:r>
        <w:rPr>
          <w:rFonts w:ascii="Arial" w:cs="Arial" w:eastAsia="Arial" w:hAnsi="Arial"/>
          <w:color w:val="1A1917"/>
          <w:sz w:val="21"/>
          <w:szCs w:val="21"/>
        </w:rPr>
        <w:t xml:space="preserve">Most new event staff who quit do it in the first month, usually because they felt lost, unwelcome, or thrown in. A simple plan fixes that. This one moves a new hire from paperwork to shadowing to working solo, with a check-in each week. It references the Training Checklist for Event Staff in the Catering Profit System (Module 1) for the skills part, so you don't need two training documents.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1A191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NEW HIRE</w:t>
            </w:r>
          </w:p>
        </w:tc>
        <w:tc>
          <w:tcPr>
            <w:tcW w:type="dxa" w:w="6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1A191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1A1917"/>
                <w:sz w:val="19"/>
                <w:szCs w:val="19"/>
              </w:rPr>
              <w:t xml:space="preserve">Name and role</w:t>
            </w:r>
          </w:p>
        </w:tc>
        <w:tc>
          <w:tcPr>
            <w:tcW w:type="dxa" w:w="6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1A1917"/>
                <w:sz w:val="19"/>
                <w:szCs w:val="19"/>
              </w:rPr>
              <w:t xml:space="preserve">Start date</w:t>
            </w:r>
          </w:p>
        </w:tc>
        <w:tc>
          <w:tcPr>
            <w:tcW w:type="dxa" w:w="6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1A1917"/>
                <w:sz w:val="19"/>
                <w:szCs w:val="19"/>
              </w:rPr>
              <w:t xml:space="preserve">Buddy / trainer</w:t>
            </w:r>
          </w:p>
        </w:tc>
        <w:tc>
          <w:tcPr>
            <w:tcW w:type="dxa" w:w="6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1A1917"/>
                <w:sz w:val="19"/>
                <w:szCs w:val="19"/>
              </w:rPr>
              <w:t xml:space="preserve">Owner or manager check-ins</w:t>
            </w:r>
          </w:p>
        </w:tc>
        <w:tc>
          <w:tcPr>
            <w:tcW w:type="dxa" w:w="6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Day 1, Day 7, Day 14, Day 30</w:t>
            </w:r>
          </w:p>
        </w:tc>
      </w:tr>
    </w:tbl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917"/>
          <w:sz w:val="22"/>
          <w:szCs w:val="22"/>
        </w:rPr>
        <w:t xml:space="preserve">Before Day 1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1A1917"/>
          <w:sz w:val="21"/>
          <w:szCs w:val="21"/>
        </w:rPr>
        <w:t xml:space="preserve">Goal: </w:t>
      </w:r>
      <w:r>
        <w:rPr>
          <w:rFonts w:ascii="Arial" w:cs="Arial" w:eastAsia="Arial" w:hAnsi="Arial"/>
          <w:color w:val="1A1917"/>
          <w:sz w:val="21"/>
          <w:szCs w:val="21"/>
        </w:rPr>
        <w:t xml:space="preserve">They arrive knowing where to go and what to expect.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2000"/>
        <w:gridCol w:w="1360"/>
      </w:tblGrid>
      <w:tr>
        <w:trPr>
          <w:tblHeader/>
        </w:trPr>
        <w:tc>
          <w:tcPr>
            <w:tcW w:type="dxa" w:w="6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1A191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1A191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WHO</w:t>
            </w:r>
          </w:p>
        </w:tc>
        <w:tc>
          <w:tcPr>
            <w:tcW w:type="dxa" w:w="1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1A191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6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Send welcome text: start time, address, parking, what to wear, who to ask for</w:t>
            </w:r>
          </w:p>
        </w:tc>
        <w:tc>
          <w:tcPr>
            <w:tcW w:type="dxa" w:w="2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Owner</w:t>
            </w:r>
          </w:p>
        </w:tc>
        <w:tc>
          <w:tcPr>
            <w:tcW w:type="dxa" w:w="1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Send required new-hire paperwork to complete in advance where allowed</w:t>
            </w:r>
          </w:p>
        </w:tc>
        <w:tc>
          <w:tcPr>
            <w:tcW w:type="dxa" w:w="2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Owner</w:t>
            </w:r>
          </w:p>
        </w:tc>
        <w:tc>
          <w:tcPr>
            <w:tcW w:type="dxa" w:w="1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Order uniform or confirm dress code</w:t>
            </w:r>
          </w:p>
        </w:tc>
        <w:tc>
          <w:tcPr>
            <w:tcW w:type="dxa" w:w="2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Owner</w:t>
            </w:r>
          </w:p>
        </w:tc>
        <w:tc>
          <w:tcPr>
            <w:tcW w:type="dxa" w:w="1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Tell the team who's starting and who the buddy is</w:t>
            </w:r>
          </w:p>
        </w:tc>
        <w:tc>
          <w:tcPr>
            <w:tcW w:type="dxa" w:w="2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Owner</w:t>
            </w:r>
          </w:p>
        </w:tc>
        <w:tc>
          <w:tcPr>
            <w:tcW w:type="dxa" w:w="1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917"/>
          <w:sz w:val="22"/>
          <w:szCs w:val="22"/>
        </w:rPr>
        <w:t xml:space="preserve">Week 1: Learn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1A1917"/>
          <w:sz w:val="21"/>
          <w:szCs w:val="21"/>
        </w:rPr>
        <w:t xml:space="preserve">Goal: </w:t>
      </w:r>
      <w:r>
        <w:rPr>
          <w:rFonts w:ascii="Arial" w:cs="Arial" w:eastAsia="Arial" w:hAnsi="Arial"/>
          <w:color w:val="1A1917"/>
          <w:sz w:val="21"/>
          <w:szCs w:val="21"/>
        </w:rPr>
        <w:t xml:space="preserve">Understand the standards and watch them in action.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2000"/>
        <w:gridCol w:w="1360"/>
      </w:tblGrid>
      <w:tr>
        <w:trPr>
          <w:tblHeader/>
        </w:trPr>
        <w:tc>
          <w:tcPr>
            <w:tcW w:type="dxa" w:w="6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1A191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1A191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WHO</w:t>
            </w:r>
          </w:p>
        </w:tc>
        <w:tc>
          <w:tcPr>
            <w:tcW w:type="dxa" w:w="1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1A191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6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Day 1 welcome: tour, introductions, how we work, why we do it this way (share the brand card from Module 2)</w:t>
            </w:r>
          </w:p>
        </w:tc>
        <w:tc>
          <w:tcPr>
            <w:tcW w:type="dxa" w:w="2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Owner</w:t>
            </w:r>
          </w:p>
        </w:tc>
        <w:tc>
          <w:tcPr>
            <w:tcW w:type="dxa" w:w="1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Food safety and allergen basics; confirm certification status</w:t>
            </w:r>
          </w:p>
        </w:tc>
        <w:tc>
          <w:tcPr>
            <w:tcW w:type="dxa" w:w="2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Lead cook</w:t>
            </w:r>
          </w:p>
        </w:tc>
        <w:tc>
          <w:tcPr>
            <w:tcW w:type="dxa" w:w="1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Walk through the Training Checklist for Event Staff (Profit System, Module 1)</w:t>
            </w:r>
          </w:p>
        </w:tc>
        <w:tc>
          <w:tcPr>
            <w:tcW w:type="dxa" w:w="2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Buddy</w:t>
            </w:r>
          </w:p>
        </w:tc>
        <w:tc>
          <w:tcPr>
            <w:tcW w:type="dxa" w:w="1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Shadow 1-2 events: watch setup, service, breakdown</w:t>
            </w:r>
          </w:p>
        </w:tc>
        <w:tc>
          <w:tcPr>
            <w:tcW w:type="dxa" w:w="2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Buddy</w:t>
            </w:r>
          </w:p>
        </w:tc>
        <w:tc>
          <w:tcPr>
            <w:tcW w:type="dxa" w:w="1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Day 7 check-in: "What's confusing? What surprised you?"</w:t>
            </w:r>
          </w:p>
        </w:tc>
        <w:tc>
          <w:tcPr>
            <w:tcW w:type="dxa" w:w="2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Owner</w:t>
            </w:r>
          </w:p>
        </w:tc>
        <w:tc>
          <w:tcPr>
            <w:tcW w:type="dxa" w:w="1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917"/>
          <w:sz w:val="22"/>
          <w:szCs w:val="22"/>
        </w:rPr>
        <w:t xml:space="preserve">Week 2: Practice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1A1917"/>
          <w:sz w:val="21"/>
          <w:szCs w:val="21"/>
        </w:rPr>
        <w:t xml:space="preserve">Goal: </w:t>
      </w:r>
      <w:r>
        <w:rPr>
          <w:rFonts w:ascii="Arial" w:cs="Arial" w:eastAsia="Arial" w:hAnsi="Arial"/>
          <w:color w:val="1A1917"/>
          <w:sz w:val="21"/>
          <w:szCs w:val="21"/>
        </w:rPr>
        <w:t xml:space="preserve">Do the work with the buddy right there.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2000"/>
        <w:gridCol w:w="1360"/>
      </w:tblGrid>
      <w:tr>
        <w:trPr>
          <w:tblHeader/>
        </w:trPr>
        <w:tc>
          <w:tcPr>
            <w:tcW w:type="dxa" w:w="6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1A191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1A191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WHO</w:t>
            </w:r>
          </w:p>
        </w:tc>
        <w:tc>
          <w:tcPr>
            <w:tcW w:type="dxa" w:w="1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1A191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6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Work 2-3 events doing the job with the buddy watching and coaching</w:t>
            </w:r>
          </w:p>
        </w:tc>
        <w:tc>
          <w:tcPr>
            <w:tcW w:type="dxa" w:w="2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Buddy</w:t>
            </w:r>
          </w:p>
        </w:tc>
        <w:tc>
          <w:tcPr>
            <w:tcW w:type="dxa" w:w="1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Practice the pre-shift brief and the equipment checklist</w:t>
            </w:r>
          </w:p>
        </w:tc>
        <w:tc>
          <w:tcPr>
            <w:tcW w:type="dxa" w:w="2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Event captain</w:t>
            </w:r>
          </w:p>
        </w:tc>
        <w:tc>
          <w:tcPr>
            <w:tcW w:type="dxa" w:w="1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Learn the event-day communication rules: who to call, when</w:t>
            </w:r>
          </w:p>
        </w:tc>
        <w:tc>
          <w:tcPr>
            <w:tcW w:type="dxa" w:w="2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Event captain</w:t>
            </w:r>
          </w:p>
        </w:tc>
        <w:tc>
          <w:tcPr>
            <w:tcW w:type="dxa" w:w="1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Day 14 check-in: buddy and new hire together</w:t>
            </w:r>
          </w:p>
        </w:tc>
        <w:tc>
          <w:tcPr>
            <w:tcW w:type="dxa" w:w="2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Owner</w:t>
            </w:r>
          </w:p>
        </w:tc>
        <w:tc>
          <w:tcPr>
            <w:tcW w:type="dxa" w:w="1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917"/>
          <w:sz w:val="22"/>
          <w:szCs w:val="22"/>
        </w:rPr>
        <w:t xml:space="preserve">Weeks 3-4: Perform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1A1917"/>
          <w:sz w:val="21"/>
          <w:szCs w:val="21"/>
        </w:rPr>
        <w:t xml:space="preserve">Goal: </w:t>
      </w:r>
      <w:r>
        <w:rPr>
          <w:rFonts w:ascii="Arial" w:cs="Arial" w:eastAsia="Arial" w:hAnsi="Arial"/>
          <w:color w:val="1A1917"/>
          <w:sz w:val="21"/>
          <w:szCs w:val="21"/>
        </w:rPr>
        <w:t xml:space="preserve">Work independently to standard.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2000"/>
        <w:gridCol w:w="1360"/>
      </w:tblGrid>
      <w:tr>
        <w:trPr>
          <w:tblHeader/>
        </w:trPr>
        <w:tc>
          <w:tcPr>
            <w:tcW w:type="dxa" w:w="6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1A191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1A191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WHO</w:t>
            </w:r>
          </w:p>
        </w:tc>
        <w:tc>
          <w:tcPr>
            <w:tcW w:type="dxa" w:w="1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1A191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6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Work events solo in their role; buddy available but not shadowing</w:t>
            </w:r>
          </w:p>
        </w:tc>
        <w:tc>
          <w:tcPr>
            <w:tcW w:type="dxa" w:w="2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New hire</w:t>
            </w:r>
          </w:p>
        </w:tc>
        <w:tc>
          <w:tcPr>
            <w:tcW w:type="dxa" w:w="1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Captain scores them on the post-event debrief form (Module 5)</w:t>
            </w:r>
          </w:p>
        </w:tc>
        <w:tc>
          <w:tcPr>
            <w:tcW w:type="dxa" w:w="2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Event captain</w:t>
            </w:r>
          </w:p>
        </w:tc>
        <w:tc>
          <w:tcPr>
            <w:tcW w:type="dxa" w:w="1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Sign off on each item in the Training Checklist</w:t>
            </w:r>
          </w:p>
        </w:tc>
        <w:tc>
          <w:tcPr>
            <w:tcW w:type="dxa" w:w="2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Buddy</w:t>
            </w:r>
          </w:p>
        </w:tc>
        <w:tc>
          <w:tcPr>
            <w:tcW w:type="dxa" w:w="1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Day 30 conversation: what's going well, one thing to improve, what's next for them</w:t>
            </w:r>
          </w:p>
        </w:tc>
        <w:tc>
          <w:tcPr>
            <w:tcW w:type="dxa" w:w="2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Owner</w:t>
            </w:r>
          </w:p>
        </w:tc>
        <w:tc>
          <w:tcPr>
            <w:tcW w:type="dxa" w:w="1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8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1917"/>
          <w:sz w:val="25"/>
          <w:szCs w:val="25"/>
        </w:rPr>
        <w:t xml:space="preserve">The Day 30 Conversation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24B"/>
          <w:sz w:val="20"/>
          <w:szCs w:val="20"/>
        </w:rPr>
        <w:t xml:space="preserve">Use these four questions. Write down the answers.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1A1917"/>
          <w:sz w:val="21"/>
          <w:szCs w:val="21"/>
        </w:rPr>
        <w:t xml:space="preserve">"What's been better than you expected? What's been harder?"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1A1917"/>
          <w:sz w:val="21"/>
          <w:szCs w:val="21"/>
        </w:rPr>
        <w:t xml:space="preserve">"Is there anything you need that you don't have?"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1A1917"/>
          <w:sz w:val="21"/>
          <w:szCs w:val="21"/>
        </w:rPr>
        <w:t xml:space="preserve">"Here's what you're doing really well: [specific]. Here's one thing to work on: [specific]."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1A1917"/>
          <w:sz w:val="21"/>
          <w:szCs w:val="21"/>
        </w:rPr>
        <w:t xml:space="preserve">"Where would you like to be here in six months?"</w:t>
      </w:r>
    </w:p>
    <w:p>
      <w:pPr>
        <w:spacing w:after="80"/>
      </w:pPr>
    </w:p>
    <w:p>
      <w:pPr>
        <w:spacing w:after="140" w:line="300"/>
      </w:pPr>
      <w:r>
        <w:rPr>
          <w:rFonts w:ascii="Arial" w:cs="Arial" w:eastAsia="Arial" w:hAnsi="Arial"/>
          <w:i/>
          <w:iCs/>
          <w:color w:val="55524B"/>
          <w:sz w:val="21"/>
          <w:szCs w:val="21"/>
        </w:rPr>
        <w:t xml:space="preserve">If the answer to question 4 is "I don't know," that's fine. If it's "somewhere else," you just learned something valuable early. Module 5 covers retention.</w:t>
      </w:r>
    </w:p>
    <w:sectPr>
      <w:headerReference w:type="default" r:id="rId7"/>
      <w:footerReference w:type="default" r:id="rId8"/>
      <w:pgSz w:w="12240" w:h="15840" w:orient="portrait"/>
      <w:pgMar w:top="126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24B"/>
        <w:sz w:val="16"/>
        <w:szCs w:val="16"/>
      </w:rPr>
      <w:t xml:space="preserve">The Catering People System  |  Tre Coleman Consulting  |  trecoleman.com  |  Page </w:t>
    </w:r>
    <w:r>
      <w:rPr>
        <w:rFonts w:ascii="Arial" w:cs="Arial" w:eastAsia="Arial" w:hAnsi="Arial"/>
        <w:color w:val="55524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55524B"/>
        <w:sz w:val="16"/>
        <w:szCs w:val="16"/>
      </w:rPr>
      <w:t xml:space="preserve">30-Day Onboarding Plan  |  Module 4 Template  |  The Catering People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  <w:rPr>
        <w:color w:val="A3121D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A3121D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A3121D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A3121D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A3121D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A3121D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A3121D"/>
      </w:r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A3121D"/>
      </w:r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A3121D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9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2026-10-14T14:49:30.532Z</dcterms:created>
  <dcterms:modified xsi:type="dcterms:W3CDTF">2026-10-14T14:49:30.532Z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