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AF7"/>
  <w:body>
    <w:p>
      <w:pPr>
        <w:spacing w:after="60"/>
      </w:pPr>
      <w:r>
        <w:rPr>
          <w:rFonts w:ascii="Arial" w:cs="Arial" w:eastAsia="Arial" w:hAnsi="Arial"/>
          <w:b/>
          <w:bCs/>
          <w:color w:val="A3121D"/>
          <w:sz w:val="18"/>
          <w:szCs w:val="18"/>
        </w:rPr>
        <w:t xml:space="preserve">MODULE 4 TEMPLATE</w:t>
      </w:r>
    </w:p>
    <w:p>
      <w:pPr>
        <w:spacing w:after="80"/>
      </w:pPr>
      <w:r>
        <w:rPr>
          <w:rFonts w:ascii="Arial" w:cs="Arial" w:eastAsia="Arial" w:hAnsi="Arial"/>
          <w:b/>
          <w:bCs/>
          <w:color w:val="1A1917"/>
          <w:sz w:val="48"/>
          <w:szCs w:val="48"/>
        </w:rPr>
        <w:t xml:space="preserve">Separation Documentation Checklist</w:t>
      </w:r>
    </w:p>
    <w:p>
      <w:pPr>
        <w:spacing w:after="160"/>
      </w:pPr>
      <w:r>
        <w:rPr>
          <w:rFonts w:ascii="Arial" w:cs="Arial" w:eastAsia="Arial" w:hAnsi="Arial"/>
          <w:color w:val="55524B"/>
          <w:sz w:val="24"/>
          <w:szCs w:val="24"/>
        </w:rPr>
        <w:t xml:space="preserve">Letting someone go, fairly, clearly, and with a paper trail.</w:t>
      </w:r>
    </w:p>
    <w:p>
      <w:pPr>
        <w:pBdr>
          <w:bottom w:val="single" w:color="A39A86" w:sz="6" w:space="1"/>
        </w:pBdr>
        <w:spacing w:after="200" w:before="120"/>
      </w:pPr>
    </w:p>
    <w:p>
      <w:pPr>
        <w:spacing w:after="140" w:line="300"/>
      </w:pPr>
      <w:r>
        <w:rPr>
          <w:rFonts w:ascii="Arial" w:cs="Arial" w:eastAsia="Arial" w:hAnsi="Arial"/>
          <w:color w:val="1A1917"/>
          <w:sz w:val="21"/>
          <w:szCs w:val="21"/>
        </w:rPr>
        <w:t xml:space="preserve">Nobody likes this part. But avoiding it hurts your team, your clients, and usually the person you are avoiding too. This checklist walks through the steps before, during, and after a separation, and the documentation that protects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IMPORTANT: THIS IS NOT LEGAL ADVICE</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Employment rules vary a lot by state and city: final paycheck timing, notice requirements, unemployment, and what you can and can't say. Confirm your local rules, and talk to an employment attorney or an HR professional before letting someone go, especially if there is any chance of a discrimination, retaliation, or wage claim.</w:t>
            </w:r>
          </w:p>
        </w:tc>
      </w:tr>
    </w:tbl>
    <w:p>
      <w:pPr>
        <w:spacing w:after="80"/>
      </w:pPr>
    </w:p>
    <w:p>
      <w:pPr>
        <w:pStyle w:val="Heading2"/>
        <w:spacing w:after="100" w:before="260"/>
      </w:pPr>
      <w:r>
        <w:rPr>
          <w:rFonts w:ascii="Arial" w:cs="Arial" w:eastAsia="Arial" w:hAnsi="Arial"/>
          <w:b/>
          <w:bCs/>
          <w:color w:val="1A1917"/>
          <w:sz w:val="25"/>
          <w:szCs w:val="25"/>
        </w:rPr>
        <w:t xml:space="preserve">Before: Has the Person Had a Fair Chance?</w:t>
      </w:r>
    </w:p>
    <w:p>
      <w:pPr>
        <w:spacing w:after="120"/>
      </w:pPr>
      <w:r>
        <w:rPr>
          <w:rFonts w:ascii="Arial" w:cs="Arial" w:eastAsia="Arial" w:hAnsi="Arial"/>
          <w:i/>
          <w:iCs/>
          <w:color w:val="55524B"/>
          <w:sz w:val="20"/>
          <w:szCs w:val="20"/>
        </w:rPr>
        <w:t xml:space="preserve">For performance issues. Serious misconduct (theft, violence, safety violations) may skip straight to separation; get advice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00"/>
        <w:gridCol w:w="1760"/>
      </w:tblGrid>
      <w:tr>
        <w:trPr>
          <w:tblHeader/>
        </w:trPr>
        <w:tc>
          <w:tcPr>
            <w:tcW w:type="dxa" w:w="60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STEP</w:t>
            </w:r>
          </w:p>
        </w:tc>
        <w:tc>
          <w:tcPr>
            <w:tcW w:type="dxa" w:w="160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DATE</w:t>
            </w:r>
          </w:p>
        </w:tc>
        <w:tc>
          <w:tcPr>
            <w:tcW w:type="dxa" w:w="1760"/>
            <w:tcBorders>
              <w:top w:val="single" w:color="A39A86" w:sz="4"/>
              <w:left w:val="single" w:color="A39A86" w:sz="4"/>
              <w:bottom w:val="single" w:color="A39A86" w:sz="4"/>
              <w:right w:val="single" w:color="A39A86" w:sz="4"/>
            </w:tcBorders>
            <w:shd w:fill="1A1917" w:color="auto" w:val="clear"/>
            <w:tcMar>
              <w:top w:type="dxa" w:w="90"/>
              <w:left w:type="dxa" w:w="130"/>
              <w:bottom w:type="dxa" w:w="90"/>
              <w:right w:type="dxa" w:w="130"/>
            </w:tcMar>
          </w:tcPr>
          <w:p>
            <w:pPr>
              <w:spacing w:after="50" w:line="270"/>
            </w:pPr>
            <w:r>
              <w:rPr>
                <w:rFonts w:ascii="Arial" w:cs="Arial" w:eastAsia="Arial" w:hAnsi="Arial"/>
                <w:b/>
                <w:bCs/>
                <w:color w:val="FBFAF7"/>
                <w:sz w:val="17"/>
                <w:szCs w:val="17"/>
              </w:rPr>
              <w:t xml:space="preserve">DOCUMENTED?</w:t>
            </w:r>
          </w:p>
        </w:tc>
      </w:tr>
      <w:tr>
        <w:tc>
          <w:tcPr>
            <w:tcW w:type="dxa" w:w="6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Expectation was clear (scorecard, standards sheet, or training checklist)</w:t>
            </w:r>
          </w:p>
        </w:tc>
        <w:tc>
          <w:tcPr>
            <w:tcW w:type="dxa" w:w="16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17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t>
            </w:r>
          </w:p>
        </w:tc>
      </w:tr>
      <w:tr>
        <w:tc>
          <w:tcPr>
            <w:tcW w:type="dxa" w:w="6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Verbal coaching: specific issue, specific example, what good looks like</w:t>
            </w:r>
          </w:p>
        </w:tc>
        <w:tc>
          <w:tcPr>
            <w:tcW w:type="dxa" w:w="16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17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t>
            </w:r>
          </w:p>
        </w:tc>
      </w:tr>
      <w:tr>
        <w:tc>
          <w:tcPr>
            <w:tcW w:type="dxa" w:w="6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Written warning: issue, examples with dates, what must change, by when</w:t>
            </w:r>
          </w:p>
        </w:tc>
        <w:tc>
          <w:tcPr>
            <w:tcW w:type="dxa" w:w="16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17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t>
            </w:r>
          </w:p>
        </w:tc>
      </w:tr>
      <w:tr>
        <w:tc>
          <w:tcPr>
            <w:tcW w:type="dxa" w:w="6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Follow-up check-in on the written warning</w:t>
            </w:r>
          </w:p>
        </w:tc>
        <w:tc>
          <w:tcPr>
            <w:tcW w:type="dxa" w:w="16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17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t>
            </w:r>
          </w:p>
        </w:tc>
      </w:tr>
      <w:tr>
        <w:tc>
          <w:tcPr>
            <w:tcW w:type="dxa" w:w="600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Consistent with how others were treated for the same issue</w:t>
            </w:r>
          </w:p>
        </w:tc>
        <w:tc>
          <w:tcPr>
            <w:tcW w:type="dxa" w:w="160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
            </w:r>
          </w:p>
        </w:tc>
        <w:tc>
          <w:tcPr>
            <w:tcW w:type="dxa" w:w="17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b w:val="false"/>
                <w:bCs w:val="false"/>
                <w:color w:val="1A1917"/>
                <w:sz w:val="19"/>
                <w:szCs w:val="19"/>
              </w:rPr>
              <w:t xml:space="preserve">☐</w:t>
            </w:r>
          </w:p>
        </w:tc>
      </w:tr>
    </w:tbl>
    <w:p>
      <w:pPr>
        <w:spacing w:after="80"/>
      </w:pPr>
    </w:p>
    <w:p>
      <w:pPr>
        <w:pStyle w:val="Heading2"/>
        <w:spacing w:after="100" w:before="260"/>
      </w:pPr>
      <w:r>
        <w:rPr>
          <w:rFonts w:ascii="Arial" w:cs="Arial" w:eastAsia="Arial" w:hAnsi="Arial"/>
          <w:b/>
          <w:bCs/>
          <w:color w:val="1A1917"/>
          <w:sz w:val="25"/>
          <w:szCs w:val="25"/>
        </w:rPr>
        <w:t xml:space="preserve">Documentation Rules</w:t>
      </w:r>
    </w:p>
    <w:p>
      <w:pPr>
        <w:pStyle w:val="ListParagraph"/>
        <w:numPr>
          <w:ilvl w:val="0"/>
          <w:numId w:val="2"/>
        </w:numPr>
        <w:spacing w:after="70" w:line="280"/>
      </w:pPr>
      <w:r>
        <w:rPr>
          <w:rFonts w:ascii="Arial" w:cs="Arial" w:eastAsia="Arial" w:hAnsi="Arial"/>
          <w:color w:val="1A1917"/>
          <w:sz w:val="21"/>
          <w:szCs w:val="21"/>
        </w:rPr>
        <w:t xml:space="preserve">Write facts, not feelings: "Arrived 40 minutes late to the Oct 12 event; setup started without them" not "Has a bad attitude."</w:t>
      </w:r>
    </w:p>
    <w:p>
      <w:pPr>
        <w:pStyle w:val="ListParagraph"/>
        <w:numPr>
          <w:ilvl w:val="0"/>
          <w:numId w:val="2"/>
        </w:numPr>
        <w:spacing w:after="70" w:line="280"/>
      </w:pPr>
      <w:r>
        <w:rPr>
          <w:rFonts w:ascii="Arial" w:cs="Arial" w:eastAsia="Arial" w:hAnsi="Arial"/>
          <w:color w:val="1A1917"/>
          <w:sz w:val="21"/>
          <w:szCs w:val="21"/>
        </w:rPr>
        <w:t xml:space="preserve">Date every note and keep them in one file per employee.</w:t>
      </w:r>
    </w:p>
    <w:p>
      <w:pPr>
        <w:pStyle w:val="ListParagraph"/>
        <w:numPr>
          <w:ilvl w:val="0"/>
          <w:numId w:val="2"/>
        </w:numPr>
        <w:spacing w:after="70" w:line="280"/>
      </w:pPr>
      <w:r>
        <w:rPr>
          <w:rFonts w:ascii="Arial" w:cs="Arial" w:eastAsia="Arial" w:hAnsi="Arial"/>
          <w:color w:val="1A1917"/>
          <w:sz w:val="21"/>
          <w:szCs w:val="21"/>
        </w:rPr>
        <w:t xml:space="preserve">Write it the same day it happens. Memory gets fuzzy fast.</w:t>
      </w:r>
    </w:p>
    <w:p>
      <w:pPr>
        <w:pStyle w:val="ListParagraph"/>
        <w:numPr>
          <w:ilvl w:val="0"/>
          <w:numId w:val="2"/>
        </w:numPr>
        <w:spacing w:after="70" w:line="280"/>
      </w:pPr>
      <w:r>
        <w:rPr>
          <w:rFonts w:ascii="Arial" w:cs="Arial" w:eastAsia="Arial" w:hAnsi="Arial"/>
          <w:color w:val="1A1917"/>
          <w:sz w:val="21"/>
          <w:szCs w:val="21"/>
        </w:rPr>
        <w:t xml:space="preserve">Have the employee sign written warnings to show they received them (not that they agree). If they refuse, note it.</w:t>
      </w:r>
    </w:p>
    <w:p>
      <w:pPr>
        <w:spacing w:after="80"/>
      </w:pPr>
    </w:p>
    <w:p>
      <w:pPr>
        <w:pStyle w:val="Heading2"/>
        <w:spacing w:after="100" w:before="260"/>
      </w:pPr>
      <w:r>
        <w:rPr>
          <w:rFonts w:ascii="Arial" w:cs="Arial" w:eastAsia="Arial" w:hAnsi="Arial"/>
          <w:b/>
          <w:bCs/>
          <w:color w:val="1A1917"/>
          <w:sz w:val="25"/>
          <w:szCs w:val="25"/>
        </w:rPr>
        <w:t xml:space="preserve">The Conversation</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Private place, start of a shift or a non-event day, never in front of the team or at an event</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Second person present (manager or trusted lead) as a witness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Keep it short: 10 minutes or less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Final pay, return of equipment, and next steps prepared in advance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9A86" w:sz="4"/>
              <w:left w:val="single" w:color="A39A86" w:sz="4"/>
              <w:bottom w:val="single" w:color="A39A86" w:sz="4"/>
              <w:right w:val="single" w:color="A39A86" w:sz="4"/>
            </w:tcBorders>
            <w:shd w:fill="F4F1EA" w:color="auto" w:val="clear"/>
            <w:tcMar>
              <w:top w:type="dxa" w:w="90"/>
              <w:left w:type="dxa" w:w="130"/>
              <w:bottom w:type="dxa" w:w="90"/>
              <w:right w:type="dxa" w:w="130"/>
            </w:tcMar>
          </w:tcPr>
          <w:p>
            <w:pPr>
              <w:spacing w:after="50" w:line="270"/>
            </w:pPr>
            <w:r>
              <w:rPr>
                <w:rFonts w:ascii="Arial" w:cs="Arial" w:eastAsia="Arial" w:hAnsi="Arial"/>
                <w:b/>
                <w:bCs/>
                <w:color w:val="A3121D"/>
                <w:sz w:val="17"/>
                <w:szCs w:val="17"/>
              </w:rPr>
              <w:t xml:space="preserve">SAY THIS</w:t>
            </w:r>
          </w:p>
        </w:tc>
      </w:tr>
      <w:tr>
        <w:tc>
          <w:tcPr>
            <w:tcW w:type="dxa" w:w="9360"/>
            <w:tcBorders>
              <w:top w:val="single" w:color="A39A86" w:sz="4"/>
              <w:left w:val="single" w:color="A39A86" w:sz="4"/>
              <w:bottom w:val="single" w:color="A39A86" w:sz="4"/>
              <w:right w:val="single" w:color="A39A86" w:sz="4"/>
            </w:tcBorders>
            <w:shd w:fill="FFFFFF" w:color="auto" w:val="clear"/>
            <w:tcMar>
              <w:top w:type="dxa" w:w="90"/>
              <w:left w:type="dxa" w:w="130"/>
              <w:bottom w:type="dxa" w:w="90"/>
              <w:right w:type="dxa" w:w="130"/>
            </w:tcMar>
          </w:tcPr>
          <w:p>
            <w:pPr>
              <w:spacing w:after="50" w:line="270"/>
            </w:pPr>
            <w:r>
              <w:rPr>
                <w:rFonts w:ascii="Arial" w:cs="Arial" w:eastAsia="Arial" w:hAnsi="Arial"/>
                <w:color w:val="1A1917"/>
                <w:sz w:val="19"/>
                <w:szCs w:val="19"/>
              </w:rPr>
              <w:t xml:space="preserve">"[Name], I've asked you here because we're ending your employment, effective today. We've talked about [issue] on [dates], and it hasn't changed. This decision is final."</w:t>
            </w:r>
          </w:p>
          <w:p>
            <w:pPr>
              <w:spacing w:after="50" w:line="270"/>
            </w:pPr>
            <w:r>
              <w:rPr>
                <w:rFonts w:ascii="Arial" w:cs="Arial" w:eastAsia="Arial" w:hAnsi="Arial"/>
                <w:color w:val="1A1917"/>
                <w:sz w:val="19"/>
                <w:szCs w:val="19"/>
              </w:rPr>
              <w:t xml:space="preserve">"Here's what happens next: [final pay timing], [returning uniform / keys], [any benefits information]. Do you have any questions about those?"</w:t>
            </w:r>
          </w:p>
          <w:p>
            <w:pPr>
              <w:spacing w:after="50" w:line="270"/>
            </w:pPr>
            <w:r>
              <w:rPr>
                <w:rFonts w:ascii="Arial" w:cs="Arial" w:eastAsia="Arial" w:hAnsi="Arial"/>
                <w:color w:val="1A1917"/>
                <w:sz w:val="19"/>
                <w:szCs w:val="19"/>
              </w:rPr>
              <w:t xml:space="preserve">"I appreciate the work you've done here, and I wish you well."</w:t>
            </w:r>
          </w:p>
        </w:tc>
      </w:tr>
    </w:tbl>
    <w:p>
      <w:pPr>
        <w:spacing w:after="80"/>
      </w:pPr>
    </w:p>
    <w:p>
      <w:pPr>
        <w:spacing w:after="140" w:line="300"/>
      </w:pPr>
      <w:r>
        <w:rPr>
          <w:rFonts w:ascii="Arial" w:cs="Arial" w:eastAsia="Arial" w:hAnsi="Arial"/>
          <w:b/>
          <w:bCs/>
          <w:color w:val="A3121D"/>
          <w:sz w:val="21"/>
          <w:szCs w:val="21"/>
        </w:rPr>
        <w:t xml:space="preserve">Don't: </w:t>
      </w:r>
      <w:r>
        <w:rPr>
          <w:rFonts w:ascii="Arial" w:cs="Arial" w:eastAsia="Arial" w:hAnsi="Arial"/>
          <w:color w:val="1A1917"/>
          <w:sz w:val="21"/>
          <w:szCs w:val="21"/>
        </w:rPr>
        <w:t xml:space="preserve">argue, re-litigate every example, apologize for the decision, make promises about references, or let it drag on.</w:t>
      </w:r>
    </w:p>
    <w:p>
      <w:pPr>
        <w:spacing w:after="80"/>
      </w:pPr>
    </w:p>
    <w:p>
      <w:pPr>
        <w:pStyle w:val="Heading2"/>
        <w:spacing w:after="100" w:before="260"/>
      </w:pPr>
      <w:r>
        <w:rPr>
          <w:rFonts w:ascii="Arial" w:cs="Arial" w:eastAsia="Arial" w:hAnsi="Arial"/>
          <w:b/>
          <w:bCs/>
          <w:color w:val="1A1917"/>
          <w:sz w:val="25"/>
          <w:szCs w:val="25"/>
        </w:rPr>
        <w:t xml:space="preserve">After</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Final pay issued per your state's rules (some require it the same day)</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Uniform, keys, equipment, and any cash or cards returned</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Access removed: scheduling app, group chats, shared drives, accounts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Short, factual note in the file: date, who was present, what was said</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Tell the team briefly and respectfully: "[Name] is no longer with us. Here's who's covering their shifts." No details.</w:t>
      </w:r>
    </w:p>
    <w:p>
      <w:pPr>
        <w:spacing w:after="70"/>
      </w:pPr>
      <w:r>
        <w:rPr>
          <w:rFonts w:ascii="Arial" w:cs="Arial" w:eastAsia="Arial" w:hAnsi="Arial"/>
          <w:color w:val="A3121D"/>
          <w:sz w:val="21"/>
          <w:szCs w:val="21"/>
        </w:rPr>
        <w:t xml:space="preserve">☐  </w:t>
      </w:r>
      <w:r>
        <w:rPr>
          <w:rFonts w:ascii="Arial" w:cs="Arial" w:eastAsia="Arial" w:hAnsi="Arial"/>
          <w:color w:val="1A1917"/>
          <w:sz w:val="21"/>
          <w:szCs w:val="21"/>
        </w:rPr>
        <w:t xml:space="preserve">Update the schedule and the staff roster tracker (Module 5)</w:t>
      </w:r>
    </w:p>
    <w:sectPr>
      <w:headerReference w:type="default" r:id="rId7"/>
      <w:footerReference w:type="default" r:id="rId8"/>
      <w:pgSz w:w="12240" w:h="15840" w:orient="portrait"/>
      <w:pgMar w:top="126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24B"/>
        <w:sz w:val="16"/>
        <w:szCs w:val="16"/>
      </w:rPr>
      <w:t xml:space="preserve">The Catering People System  |  Tre Coleman Consulting  |  trecoleman.com  |  Page </w:t>
    </w:r>
    <w:r>
      <w:rPr>
        <w:rFonts w:ascii="Arial" w:cs="Arial" w:eastAsia="Arial" w:hAnsi="Arial"/>
        <w:color w:val="5552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24B"/>
        <w:sz w:val="16"/>
        <w:szCs w:val="16"/>
      </w:rPr>
      <w:t xml:space="preserve">Separation Documentation Checklist  |  Module 4 Template  |  The Catering People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A3121D"/>
      </w:rPr>
    </w:lvl>
  </w:abstractNum>
  <w:abstractNum w:abstractNumId="3" w15:restartNumberingAfterBreak="0">
    <w:multiLevelType w:val="hybridMultilevel"/>
    <w:lvl w:ilvl="0" w15:tentative="1">
      <w:start w:val="1"/>
      <w:numFmt w:val="decimal"/>
      <w:lvlText w:val="%1."/>
      <w:lvlJc w:val="left"/>
      <w:pPr>
        <w:ind w:left="540" w:hanging="300"/>
      </w:pPr>
      <w:rPr>
        <w:b/>
        <w:bCs/>
        <w:color w:val="A3121D"/>
      </w:rPr>
    </w:lvl>
  </w:abstractNum>
  <w:abstractNum w:abstractNumId="4" w15:restartNumberingAfterBreak="0">
    <w:multiLevelType w:val="hybridMultilevel"/>
    <w:lvl w:ilvl="0" w15:tentative="1">
      <w:start w:val="1"/>
      <w:numFmt w:val="decimal"/>
      <w:lvlText w:val="%1."/>
      <w:lvlJc w:val="left"/>
      <w:pPr>
        <w:ind w:left="540" w:hanging="300"/>
      </w:pPr>
      <w:rPr>
        <w:b/>
        <w:bCs/>
        <w:color w:val="A3121D"/>
      </w:rPr>
    </w:lvl>
  </w:abstractNum>
  <w:abstractNum w:abstractNumId="5" w15:restartNumberingAfterBreak="0">
    <w:multiLevelType w:val="hybridMultilevel"/>
    <w:lvl w:ilvl="0" w15:tentative="1">
      <w:start w:val="1"/>
      <w:numFmt w:val="decimal"/>
      <w:lvlText w:val="%1."/>
      <w:lvlJc w:val="left"/>
      <w:pPr>
        <w:ind w:left="540" w:hanging="300"/>
      </w:pPr>
      <w:rPr>
        <w:b/>
        <w:bCs/>
        <w:color w:val="A3121D"/>
      </w:rPr>
    </w:lvl>
  </w:abstractNum>
  <w:abstractNum w:abstractNumId="6" w15:restartNumberingAfterBreak="0">
    <w:multiLevelType w:val="hybridMultilevel"/>
    <w:lvl w:ilvl="0" w15:tentative="1">
      <w:start w:val="1"/>
      <w:numFmt w:val="decimal"/>
      <w:lvlText w:val="%1."/>
      <w:lvlJc w:val="left"/>
      <w:pPr>
        <w:ind w:left="540" w:hanging="300"/>
      </w:pPr>
      <w:rPr>
        <w:b/>
        <w:bCs/>
        <w:color w:val="A3121D"/>
      </w:rPr>
    </w:lvl>
  </w:abstractNum>
  <w:abstractNum w:abstractNumId="7" w15:restartNumberingAfterBreak="0">
    <w:multiLevelType w:val="hybridMultilevel"/>
    <w:lvl w:ilvl="0" w15:tentative="1">
      <w:start w:val="1"/>
      <w:numFmt w:val="decimal"/>
      <w:lvlText w:val="%1."/>
      <w:lvlJc w:val="left"/>
      <w:pPr>
        <w:ind w:left="540" w:hanging="300"/>
      </w:pPr>
      <w:rPr>
        <w:b/>
        <w:bCs/>
        <w:color w:val="A3121D"/>
      </w:rPr>
    </w:lvl>
  </w:abstractNum>
  <w:abstractNum w:abstractNumId="8" w15:restartNumberingAfterBreak="0">
    <w:multiLevelType w:val="hybridMultilevel"/>
    <w:lvl w:ilvl="0" w15:tentative="1">
      <w:start w:val="1"/>
      <w:numFmt w:val="decimal"/>
      <w:lvlText w:val="%1."/>
      <w:lvlJc w:val="left"/>
      <w:pPr>
        <w:ind w:left="540" w:hanging="300"/>
      </w:pPr>
      <w:rPr>
        <w:b/>
        <w:bCs/>
        <w:color w:val="A3121D"/>
      </w:rPr>
    </w:lvl>
  </w:abstractNum>
  <w:abstractNum w:abstractNumId="9" w15:restartNumberingAfterBreak="0">
    <w:multiLevelType w:val="hybridMultilevel"/>
    <w:lvl w:ilvl="0" w15:tentative="1">
      <w:start w:val="1"/>
      <w:numFmt w:val="decimal"/>
      <w:lvlText w:val="%1."/>
      <w:lvlJc w:val="left"/>
      <w:pPr>
        <w:ind w:left="540" w:hanging="300"/>
      </w:pPr>
      <w:rPr>
        <w:b/>
        <w:bCs/>
        <w:color w:val="A3121D"/>
      </w:rPr>
    </w:lvl>
  </w:abstractNum>
  <w:abstractNum w:abstractNumId="10" w15:restartNumberingAfterBreak="0">
    <w:multiLevelType w:val="hybridMultilevel"/>
    <w:lvl w:ilvl="0" w15:tentative="1">
      <w:start w:val="1"/>
      <w:numFmt w:val="decimal"/>
      <w:lvlText w:val="%1."/>
      <w:lvlJc w:val="left"/>
      <w:pPr>
        <w:ind w:left="540" w:hanging="300"/>
      </w:pPr>
      <w:rPr>
        <w:b/>
        <w:bCs/>
        <w:color w:val="A312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2026-10-14T14:49:30.601Z</dcterms:created>
  <dcterms:modified xsi:type="dcterms:W3CDTF">2026-10-14T14:49:30.601Z</dcterms:modified>
</cp:coreProperties>
</file>

<file path=docProps/custom.xml><?xml version="1.0" encoding="utf-8"?>
<Properties xmlns="http://schemas.openxmlformats.org/officeDocument/2006/custom-properties" xmlns:vt="http://schemas.openxmlformats.org/officeDocument/2006/docPropsVTypes"/>
</file>