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jc w:val="center"/>
      </w:pPr>
      <w:r>
        <w:rPr>
          <w:rFonts w:ascii="Times New Roman" w:hAnsi="Times New Roman" w:cs="Times New Roman" w:eastAsia="Times New Roman"/>
          <w:b/>
          <w:sz w:val="24"/>
        </w:rPr>
        <w:t>碩士論文計畫書</w:t>
        <w:br/>
        <w:t>MASTER'S THESIS PROPOSAL</w:t>
      </w:r>
    </w:p>
    <w:p/>
    <w:p>
      <w:pPr>
        <w:jc w:val="center"/>
      </w:pPr>
      <w:r>
        <w:rPr>
          <w:rFonts w:ascii="Times New Roman" w:hAnsi="Times New Roman" w:cs="Times New Roman" w:eastAsia="Times New Roman"/>
          <w:b/>
          <w:sz w:val="24"/>
        </w:rPr>
        <w:t>隱形帳簿：量化印尼平台經濟中的隱形楔子</w:t>
      </w:r>
    </w:p>
    <w:p>
      <w:pPr>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keepLines/>
        <w:spacing w:after="110" w:line="257" w:lineRule="auto"/>
        <w:jc w:val="both"/>
      </w:pPr>
      <w:r>
        <w:rPr>
          <w:rFonts w:ascii="Times New Roman" w:hAnsi="Times New Roman" w:eastAsia="Times New Roman"/>
          <w:b w:val="0"/>
          <w:i w:val="0"/>
          <w:sz w:val="24"/>
        </w:rPr>
        <w:t>Digital economy is measured through several records: the transaction value platforms process, the revenue they recognize, national e-commerce statistics and payment data. These records capture parts of the same activity. This study defines the invisible wedge as transaction value minus platform-recognized revenue and follows it across Indonesian platforms from 2020 to 2025. In 2023, Tokopedia, Shopee and Grab processed US$43.23 billion against US$3.16 billion of recognized revenue. The relationship was unstable: among platforms reporting both figures, revenue grew faster in six of eight year-to-year comparisons and moved in the opposite direction in two. BPS-Statistics Indonesia reports a 2023 marketplace figure below Tokopedia and Shopee's transaction value alone and places 98.5 percent of 2023–2024 e-commerce growth outside its marketplace category. Payment measures grew up to eleven times as fast. Eight platforms outside Indonesia show the transaction-revenue distinction with smaller divergence. Thus, conclusions about scale and growth depend on the record used.</w:t>
      </w:r>
    </w:p>
    <w:p>
      <w:pPr>
        <w:pStyle w:val="Heading1"/>
        <w:keepNext/>
        <w:spacing w:before="200" w:after="100"/>
        <w:jc w:val="left"/>
      </w:pPr>
      <w:r>
        <w:rPr>
          <w:rFonts w:ascii="Times New Roman" w:hAnsi="Times New Roman" w:eastAsia="Times New Roman"/>
          <w:b/>
          <w:i w:val="0"/>
          <w:sz w:val="24"/>
        </w:rPr>
        <w:t>1. Introduction</w:t>
      </w:r>
    </w:p>
    <w:p>
      <w:pPr>
        <w:keepLines/>
        <w:spacing w:after="110" w:line="257" w:lineRule="auto"/>
        <w:jc w:val="both"/>
      </w:pPr>
      <w:r>
        <w:rPr>
          <w:rFonts w:ascii="Times New Roman" w:hAnsi="Times New Roman" w:eastAsia="Times New Roman"/>
          <w:b w:val="0"/>
          <w:i w:val="0"/>
          <w:sz w:val="24"/>
        </w:rPr>
        <w:t>Southeast Asia's digital economy grew from approximately US$100 billion in 2020 to US$263 billion in 2024 (Google, Temasek and Bain 2020, 2024). That figure is one record of the activity: the gross value of the transactions involved. The platforms that carry those transactions report a different number, their own revenue; national statistical agencies report a third, the online sales of surveyed businesses; and payment systems report a fourth, the value of funds moved. These records are designed to measure different things, yet they are often used interchangeably. Substituting one for another changes the measured scale, growth and even the direction of digital activity.</w:t>
      </w:r>
    </w:p>
    <w:p>
      <w:pPr>
        <w:spacing w:after="110" w:line="257" w:lineRule="auto"/>
        <w:jc w:val="both"/>
      </w:pPr>
      <w:r>
        <w:rPr>
          <w:rFonts w:ascii="Times New Roman" w:hAnsi="Times New Roman" w:eastAsia="Times New Roman"/>
          <w:b w:val="0"/>
          <w:i w:val="0"/>
          <w:sz w:val="24"/>
        </w:rPr>
        <w:t>Suppose a platform processes 100 units of transaction value but recognizes only 10 as its own revenue: the commissions and fees it earns for arranging the transactions. Depending on the business model, the remaining 90 can include merchant receipts, driver payouts, inventory costs, taxes and other pass-through payments. An analyst using the platform's accounts sees 10, while one measuring the commerce it processes sees 100. I call the difference the invisible wedge. Neither number is wrong: revenue records what the platform earned, while transaction value records what it carried. The arithmetic is familiar; the measurement problem is that the relationship does not remain fixed.</w:t>
      </w:r>
    </w:p>
    <w:p>
      <w:pPr>
        <w:spacing w:after="110" w:line="257" w:lineRule="auto"/>
        <w:jc w:val="both"/>
      </w:pPr>
      <w:r>
        <w:rPr>
          <w:rFonts w:ascii="Times New Roman" w:hAnsi="Times New Roman" w:eastAsia="Times New Roman"/>
          <w:b w:val="0"/>
          <w:i w:val="0"/>
          <w:sz w:val="24"/>
        </w:rPr>
        <w:t>Indonesia, the largest digital market in Southeast Asia, shows how far apart these records are. The study covers four marketplaces—Tokopedia, Blibli, Bukalapak and Shopee—plus Grab, whose Indonesian business is mainly delivery and other on-demand services. Tokopedia, Blibli and Bukalapak report both measures themselves. Grab's transaction value uses Indonesian revenue and its company-wide ratio; Shopee combines Momentum Works' Indonesian estimate with Sea's company-wide monetization rate. In 2023, Tokopedia, Shopee and Grab together processed US$43.23 billion of transaction value against US$3.16 billion of recognized revenue, a wedge of US$40.07 billion. BPS-Statistics Indonesia, the national statistical agency, placed the marketplace component of e-commerce at about US$13.2 billion and all e-commerce at US$72.3 billion. These records are not yet directly comparable because their definitions and scopes differ. Each answers a different question; quoting one as the size of the digital economy means choosing a particular record.</w:t>
      </w:r>
    </w:p>
    <w:p>
      <w:pPr>
        <w:spacing w:after="110" w:line="257" w:lineRule="auto"/>
        <w:jc w:val="both"/>
      </w:pPr>
      <w:r>
        <w:rPr>
          <w:rFonts w:ascii="Times New Roman" w:hAnsi="Times New Roman" w:eastAsia="Times New Roman"/>
          <w:b w:val="0"/>
          <w:i w:val="0"/>
          <w:sz w:val="24"/>
        </w:rPr>
        <w:t>The records also disagree about growth. Between 2022 and 2023, Tokopedia's revenue rose 53.2 percent while the transaction value it processed fell 8.9 percent: read through its accounts the platform was expanding quickly, read through its transactions it was shrinking. The reversal is not isolated. Among the three platforms that report both figures themselves, revenue grew faster than transaction value in six of eight year-to-year comparisons between 2020 and 2025, and the two moved in opposite directions twice. Nationally, BPS reports e-commerce value up 17.1 percent between 2023 and 2024, with 98.5 percent of the increase outside BPS's marketplace category, while economy-wide payment measures from Bank Indonesia, the central bank, grew between 1.8 and 11 times as fast.</w:t>
      </w:r>
    </w:p>
    <w:p>
      <w:pPr>
        <w:spacing w:after="110" w:line="257" w:lineRule="auto"/>
        <w:jc w:val="both"/>
      </w:pPr>
      <w:r>
        <w:rPr>
          <w:rFonts w:ascii="Times New Roman" w:hAnsi="Times New Roman" w:eastAsia="Times New Roman"/>
          <w:b w:val="0"/>
          <w:i w:val="0"/>
          <w:sz w:val="24"/>
        </w:rPr>
        <w:t>A statement about how large Indonesia's digital economy is, or how fast it grew, is therefore a statement about a record. An investor using platform revenue and an analyst using marketplace figures reach different conclusions about the same years because the records measure different objects. The error lies in treating either one as the measure of the digital economy.</w:t>
      </w:r>
    </w:p>
    <w:p>
      <w:pPr>
        <w:pStyle w:val="Heading2"/>
        <w:keepNext/>
        <w:spacing w:before="140" w:after="60"/>
        <w:jc w:val="left"/>
      </w:pPr>
      <w:r>
        <w:rPr>
          <w:rFonts w:ascii="Times New Roman" w:hAnsi="Times New Roman" w:eastAsia="Times New Roman"/>
          <w:b/>
          <w:i w:val="0"/>
          <w:sz w:val="24"/>
        </w:rPr>
        <w:t>1.1 Research question and objectives</w:t>
      </w:r>
    </w:p>
    <w:p>
      <w:pPr>
        <w:keepNext/>
        <w:keepLines/>
        <w:spacing w:after="110" w:line="257" w:lineRule="auto"/>
        <w:jc w:val="both"/>
      </w:pPr>
      <w:r>
        <w:rPr>
          <w:rFonts w:ascii="Times New Roman" w:hAnsi="Times New Roman" w:eastAsia="Times New Roman"/>
          <w:b w:val="0"/>
          <w:i w:val="0"/>
          <w:sz w:val="24"/>
        </w:rPr>
        <w:t>One question drives the proposal:</w:t>
      </w:r>
    </w:p>
    <w:p>
      <w:pPr>
        <w:keepLines/>
        <w:spacing w:after="110" w:line="257" w:lineRule="auto"/>
        <w:jc w:val="center"/>
      </w:pPr>
      <w:r>
        <w:rPr>
          <w:rFonts w:ascii="Times New Roman" w:hAnsi="Times New Roman" w:eastAsia="Times New Roman"/>
          <w:b/>
          <w:i w:val="0"/>
          <w:sz w:val="24"/>
        </w:rPr>
        <w:t>How much economic activity remains invisible when digital platforms are measured through their reported revenue?</w:t>
      </w:r>
    </w:p>
    <w:p>
      <w:pPr>
        <w:spacing w:after="110" w:line="257" w:lineRule="auto"/>
        <w:jc w:val="both"/>
      </w:pPr>
      <w:r>
        <w:rPr>
          <w:rFonts w:ascii="Times New Roman" w:hAnsi="Times New Roman" w:eastAsia="Times New Roman"/>
          <w:b w:val="0"/>
          <w:i w:val="0"/>
          <w:sz w:val="24"/>
        </w:rPr>
        <w:t>Indonesia provides the main empirical setting. Three objectives follow. First, I measure the invisible wedge across the platform histories available from 2020 to 2025. Second, I reconcile selected large movements with disclosed changes in monetization, customer incentives, revenue recognition and reporting scope. Third, I compare the platform evidence with national e-commerce and payment records to determine whether they give the same account of economic scale and growth.</w:t>
      </w:r>
    </w:p>
    <w:p>
      <w:pPr>
        <w:spacing w:after="110" w:line="257" w:lineRule="auto"/>
        <w:jc w:val="both"/>
      </w:pPr>
      <w:r>
        <w:rPr>
          <w:rFonts w:ascii="Times New Roman" w:hAnsi="Times New Roman" w:eastAsia="Times New Roman"/>
          <w:b w:val="0"/>
          <w:i w:val="0"/>
          <w:sz w:val="24"/>
        </w:rPr>
        <w:t>A separate comparison of eight listed platform businesses outside Indonesia, including eBay, Etsy, Shopify and Mercado Libre, tests whether the same separation between transaction value and revenue appears under other business models.</w:t>
      </w:r>
    </w:p>
    <w:p>
      <w:pPr>
        <w:pStyle w:val="Heading2"/>
        <w:keepNext/>
        <w:spacing w:before="140" w:after="60"/>
        <w:jc w:val="left"/>
      </w:pPr>
      <w:r>
        <w:rPr>
          <w:rFonts w:ascii="Times New Roman" w:hAnsi="Times New Roman" w:eastAsia="Times New Roman"/>
          <w:b/>
          <w:i w:val="0"/>
          <w:sz w:val="24"/>
        </w:rPr>
        <w:t>1.2 Contributions</w:t>
      </w:r>
    </w:p>
    <w:p>
      <w:pPr>
        <w:keepLines/>
        <w:spacing w:after="110" w:line="257" w:lineRule="auto"/>
        <w:jc w:val="both"/>
      </w:pPr>
      <w:r>
        <w:rPr>
          <w:rFonts w:ascii="Times New Roman" w:hAnsi="Times New Roman" w:eastAsia="Times New Roman"/>
          <w:b w:val="0"/>
          <w:i w:val="0"/>
          <w:sz w:val="24"/>
        </w:rPr>
        <w:t>First, the study turns the invisible wedge from a one-year estimate into a measure followed over time, and shows that revenue is not a stable guide to the commerce behind it: among the issuer-reported platforms, revenue outgrew transaction value in six of eight comparisons and moved in the opposite direction twice.</w:t>
      </w:r>
    </w:p>
    <w:p>
      <w:pPr>
        <w:spacing w:after="110" w:line="257" w:lineRule="auto"/>
        <w:jc w:val="both"/>
      </w:pPr>
      <w:r>
        <w:rPr>
          <w:rFonts w:ascii="Times New Roman" w:hAnsi="Times New Roman" w:eastAsia="Times New Roman"/>
          <w:b w:val="0"/>
          <w:i w:val="0"/>
          <w:sz w:val="24"/>
        </w:rPr>
        <w:t>Second, I reconcile a major movement in the wedge using accounting components the platform discloses. Of the increase in Tokopedia's net revenue between 2022 and 2023, 60.6 percent reconciles to lower customer incentives and 39.4 percent to higher gross revenue, in a year when its transaction value fell.</w:t>
      </w:r>
    </w:p>
    <w:p>
      <w:pPr>
        <w:spacing w:after="110" w:line="257" w:lineRule="auto"/>
        <w:jc w:val="both"/>
      </w:pPr>
      <w:r>
        <w:rPr>
          <w:rFonts w:ascii="Times New Roman" w:hAnsi="Times New Roman" w:eastAsia="Times New Roman"/>
          <w:b w:val="0"/>
          <w:i w:val="0"/>
          <w:sz w:val="24"/>
        </w:rPr>
        <w:t>Third, I extend the comparison beyond company accounts and show that national statistics and payment records disagree with the platform picture, and with each other, about both the level and the growth of Indonesian digital commerce.</w:t>
      </w:r>
    </w:p>
    <w:p>
      <w:pPr>
        <w:spacing w:after="110" w:line="257" w:lineRule="auto"/>
        <w:jc w:val="both"/>
      </w:pPr>
      <w:r>
        <w:rPr>
          <w:rFonts w:ascii="Times New Roman" w:hAnsi="Times New Roman" w:eastAsia="Times New Roman"/>
          <w:b w:val="0"/>
          <w:i w:val="0"/>
          <w:sz w:val="24"/>
        </w:rPr>
        <w:t>Fourth, the study separates the figures issuers report from those that must be constructed, and shows that the longitudinal result rests on the reported figures alone.</w:t>
      </w:r>
    </w:p>
    <w:p>
      <w:pPr>
        <w:pStyle w:val="Heading2"/>
        <w:keepNext/>
        <w:spacing w:before="140" w:after="60"/>
        <w:jc w:val="left"/>
      </w:pPr>
      <w:r>
        <w:rPr>
          <w:rFonts w:ascii="Times New Roman" w:hAnsi="Times New Roman" w:eastAsia="Times New Roman"/>
          <w:b/>
          <w:i w:val="0"/>
          <w:sz w:val="24"/>
        </w:rPr>
        <w:t>1.3 Positioning the contribution</w:t>
      </w:r>
    </w:p>
    <w:p>
      <w:pPr>
        <w:keepLines/>
        <w:spacing w:after="110" w:line="257" w:lineRule="auto"/>
        <w:jc w:val="both"/>
      </w:pPr>
      <w:r>
        <w:rPr>
          <w:rFonts w:ascii="Times New Roman" w:hAnsi="Times New Roman" w:eastAsia="Times New Roman"/>
          <w:b w:val="0"/>
          <w:i w:val="0"/>
          <w:sz w:val="24"/>
        </w:rPr>
        <w:t>The contribution is a finance measurement problem. Platform reports reveal both the commerce a platform carries and the revenue it recognizes, allowing the consequences of substituting one measure for the other to be observed directly. De Franco, Kothari and Verdi (2011) show why comparable accounting bases matter, while Berg et al. (2020) show that intermediary-held digital traces contain information conventional records can miss. This paper applies those ideas to platform economies and shows that the record chosen to describe digital activity changes the economic conclusion.</w:t>
      </w:r>
    </w:p>
    <w:p>
      <w:pPr>
        <w:pStyle w:val="Heading1"/>
        <w:keepNext/>
        <w:spacing w:before="200" w:after="100"/>
        <w:jc w:val="left"/>
      </w:pPr>
      <w:r>
        <w:rPr>
          <w:rFonts w:ascii="Times New Roman" w:hAnsi="Times New Roman" w:eastAsia="Times New Roman"/>
          <w:b/>
          <w:i w:val="0"/>
          <w:sz w:val="24"/>
        </w:rPr>
        <w:t>2. Literature Review and Research Gap</w:t>
      </w:r>
    </w:p>
    <w:p>
      <w:pPr>
        <w:keepLines/>
        <w:spacing w:after="110" w:line="257" w:lineRule="auto"/>
        <w:jc w:val="both"/>
      </w:pPr>
      <w:r>
        <w:rPr>
          <w:rFonts w:ascii="Times New Roman" w:hAnsi="Times New Roman" w:eastAsia="Times New Roman"/>
          <w:b w:val="0"/>
          <w:i w:val="0"/>
          <w:sz w:val="24"/>
        </w:rPr>
        <w:t>Digital platforms sit between economic activity and the records used to measure it. They facilitate transactions between buyers and sellers, recognize only part of that activity as their own revenue, and generate records that can also appear in payment, statistical, and administrative systems. Existing research explains each part of this process from a different angle. Taken together, it provides the foundation for asking how much activity remains invisible when platforms are measured through reported revenue.</w:t>
      </w:r>
    </w:p>
    <w:p>
      <w:pPr>
        <w:pStyle w:val="Heading2"/>
        <w:keepNext/>
        <w:spacing w:before="140" w:after="60"/>
        <w:jc w:val="left"/>
      </w:pPr>
      <w:r>
        <w:rPr>
          <w:rFonts w:ascii="Times New Roman" w:hAnsi="Times New Roman" w:eastAsia="Times New Roman"/>
          <w:b/>
          <w:i w:val="0"/>
          <w:sz w:val="24"/>
        </w:rPr>
        <w:t>2.1 Platform Economics and Revenue Recognition</w:t>
      </w:r>
    </w:p>
    <w:p>
      <w:pPr>
        <w:keepLines/>
        <w:spacing w:after="110" w:line="257" w:lineRule="auto"/>
        <w:jc w:val="both"/>
      </w:pPr>
      <w:r>
        <w:rPr>
          <w:rFonts w:ascii="Times New Roman" w:hAnsi="Times New Roman" w:eastAsia="Times New Roman"/>
          <w:b w:val="0"/>
          <w:i w:val="0"/>
          <w:sz w:val="24"/>
        </w:rPr>
        <w:t>Platform economics explains why the value of commerce processed through a platform can be much larger than the revenue the platform records. Digital platforms often connect consumers with merchants or other service providers and earn commissions, fees, advertising, logistics, or other intermediation revenue rather than the full value of every transaction they facilitate (Rochet and Tirole 2003; Caillaud and Jullien 2003; Parker and Van Alstyne 2005; Armstrong 2006; Hagiu and Wright 2015; Evans and Schmalensee 2016).</w:t>
      </w:r>
    </w:p>
    <w:p>
      <w:pPr>
        <w:spacing w:after="110" w:line="257" w:lineRule="auto"/>
        <w:jc w:val="both"/>
      </w:pPr>
      <w:r>
        <w:rPr>
          <w:rFonts w:ascii="Times New Roman" w:hAnsi="Times New Roman" w:eastAsia="Times New Roman"/>
          <w:b w:val="0"/>
          <w:i w:val="0"/>
          <w:sz w:val="24"/>
        </w:rPr>
        <w:t>Revenue-recognition rules affect how much of this difference appears in the accounts. Under International Financial Reporting Standard 15 (IFRS 15), whether a company acts as a principal or an agent affects whether it recognizes the full customer payment or only the amount it earns from arranging the transaction (International Accounting Standards Board 2014). Customer incentives, monetization, service mix, acquisitions, and changes in business scope can also move reported revenue without an equivalent change in transaction activity. De Franco, Kothari and Verdi (2011) show why comparable accounting bases matter when financial information is interpreted. The literature therefore explains why a transaction–revenue gap can exist and move over time, but not how economically large that gap becomes in practice.</w:t>
      </w:r>
    </w:p>
    <w:p>
      <w:pPr>
        <w:pStyle w:val="Heading2"/>
        <w:keepNext/>
        <w:spacing w:before="140" w:after="60"/>
        <w:jc w:val="left"/>
      </w:pPr>
      <w:r>
        <w:rPr>
          <w:rFonts w:ascii="Times New Roman" w:hAnsi="Times New Roman" w:eastAsia="Times New Roman"/>
          <w:b/>
          <w:i w:val="0"/>
          <w:sz w:val="24"/>
        </w:rPr>
        <w:t>2.2 Measuring the Digital Economy</w:t>
      </w:r>
    </w:p>
    <w:p>
      <w:pPr>
        <w:keepLines/>
        <w:spacing w:after="110" w:line="257" w:lineRule="auto"/>
        <w:jc w:val="both"/>
      </w:pPr>
      <w:r>
        <w:rPr>
          <w:rFonts w:ascii="Times New Roman" w:hAnsi="Times New Roman" w:eastAsia="Times New Roman"/>
          <w:b w:val="0"/>
          <w:i w:val="0"/>
          <w:sz w:val="24"/>
        </w:rPr>
        <w:t>Official measurement frameworks already distinguish between the commerce facilitated through a platform and the service provided by the platform itself. National-accounting guidance separates the buyer-seller transaction from the platform's intermediation service rather than treating the full transaction value as platform output (Ahmad and Schreyer 2016; International Monetary Fund 2018; OECD 2023; United Nations et al. 2025).</w:t>
      </w:r>
    </w:p>
    <w:p>
      <w:pPr>
        <w:spacing w:after="110" w:line="257" w:lineRule="auto"/>
        <w:jc w:val="both"/>
      </w:pPr>
      <w:r>
        <w:rPr>
          <w:rFonts w:ascii="Times New Roman" w:hAnsi="Times New Roman" w:eastAsia="Times New Roman"/>
          <w:b w:val="0"/>
          <w:i w:val="0"/>
          <w:sz w:val="24"/>
        </w:rPr>
        <w:t>In practice, the quantities are published by different producers. Industry reports size the regional digital economy by gross merchandise value (Google, Temasek and Bain 2024), national statistics measure the online sales of surveyed businesses (BPS-Statistics Indonesia 2025), and listed platforms report the revenue they recognize under IFRS 15 (International Accounting Standards Board 2014). A difference that is harmless when the measures move together becomes important when they do not, because the choice of measure can change conclusions about economic scale and growth. This thesis therefore compares the records rather than assuming that one can substitute for another.</w:t>
      </w:r>
    </w:p>
    <w:p>
      <w:pPr>
        <w:pStyle w:val="Heading2"/>
        <w:keepNext/>
        <w:spacing w:before="140" w:after="60"/>
        <w:jc w:val="left"/>
      </w:pPr>
      <w:r>
        <w:rPr>
          <w:rFonts w:ascii="Times New Roman" w:hAnsi="Times New Roman" w:eastAsia="Times New Roman"/>
          <w:b/>
          <w:i w:val="0"/>
          <w:sz w:val="24"/>
        </w:rPr>
        <w:t>2.3 Digital Records and Third-Party Information</w:t>
      </w:r>
    </w:p>
    <w:p>
      <w:pPr>
        <w:keepLines/>
        <w:spacing w:after="110" w:line="257" w:lineRule="auto"/>
        <w:jc w:val="both"/>
      </w:pPr>
      <w:r>
        <w:rPr>
          <w:rFonts w:ascii="Times New Roman" w:hAnsi="Times New Roman" w:eastAsia="Times New Roman"/>
          <w:b w:val="0"/>
          <w:i w:val="0"/>
          <w:sz w:val="24"/>
        </w:rPr>
        <w:t>Transactions that do not enter a platform's revenue can still leave detailed records within the platform's system. Merchants and service providers can be small, self-employed, or weakly represented in conventional financial records, yet the transactions they make on a platform are recorded by it. This differs from shadow-economy settings, where reliable formal records may be sparse (La Porta and Shleifer 2014; Ulyssea 2018; Medina and Schneider 2019). Platform-mediated activity can also create traces outside conventional records (Berg et al. 2020; Barrios, Hochberg and Yi 2022; Denes, Lagaras and Tsoutsoura 2025).</w:t>
      </w:r>
    </w:p>
    <w:p>
      <w:pPr>
        <w:spacing w:after="110" w:line="257" w:lineRule="auto"/>
        <w:jc w:val="both"/>
      </w:pPr>
      <w:r>
        <w:rPr>
          <w:rFonts w:ascii="Times New Roman" w:hAnsi="Times New Roman" w:eastAsia="Times New Roman"/>
          <w:b w:val="0"/>
          <w:i w:val="0"/>
          <w:sz w:val="24"/>
        </w:rPr>
        <w:t>Third-party information changes compliance and enforcement (Kleven et al. 2011; Pomeranz 2015; Naritomi 2019; Kleven, Kreiner and Saez 2016; Slemrod 2019). The OECD Model Rules (OECD 2020) and the European Union's DAC7 regime (European Union 2021) apply this principle to platforms, as does Indonesia's Minister of Finance Regulation No. 37 of 2025 (PMK 37/2025) through seller identification, transaction-linked reporting and marketplace withholding (Ministry of Finance of the Republic of Indonesia 2025). The relevance here is informational: what a measure or rule can show depends on the records it uses.</w:t>
      </w:r>
    </w:p>
    <w:p>
      <w:pPr>
        <w:pStyle w:val="Heading2"/>
        <w:keepNext/>
        <w:spacing w:before="140" w:after="60"/>
        <w:jc w:val="left"/>
      </w:pPr>
      <w:r>
        <w:rPr>
          <w:rFonts w:ascii="Times New Roman" w:hAnsi="Times New Roman" w:eastAsia="Times New Roman"/>
          <w:b/>
          <w:i w:val="0"/>
          <w:sz w:val="24"/>
        </w:rPr>
        <w:t>2.4 Research Gap</w:t>
      </w:r>
    </w:p>
    <w:p>
      <w:pPr>
        <w:keepLines/>
        <w:spacing w:after="110" w:line="257" w:lineRule="auto"/>
        <w:jc w:val="both"/>
      </w:pPr>
      <w:r>
        <w:rPr>
          <w:rFonts w:ascii="Times New Roman" w:hAnsi="Times New Roman" w:eastAsia="Times New Roman"/>
          <w:b w:val="0"/>
          <w:i w:val="0"/>
          <w:sz w:val="24"/>
        </w:rPr>
        <w:t>Existing research explains the pieces of the problem separately. Platform economics explains why transaction value can exceed revenue; accounting explains why the gap can move; official measurement frameworks explain why these quantities should not be treated as equivalent; and research on digital records explains why some platform-mediated activity outside revenue can remain observable in platform records.</w:t>
      </w:r>
    </w:p>
    <w:p>
      <w:pPr>
        <w:spacing w:after="110" w:line="257" w:lineRule="auto"/>
        <w:jc w:val="both"/>
      </w:pPr>
      <w:r>
        <w:rPr>
          <w:rFonts w:ascii="Times New Roman" w:hAnsi="Times New Roman" w:eastAsia="Times New Roman"/>
          <w:b w:val="0"/>
          <w:i w:val="0"/>
          <w:sz w:val="24"/>
        </w:rPr>
        <w:t>What remains less clear is how large these differences become in practice, whether they persist over time, and whether choosing one record instead of another changes the economic conclusion. This thesis addresses that gap by measuring the invisible wedge over time, examining disclosed reasons for major movements, comparing platform accounts with national e-commerce and payment records, and using external platform evidence to test whether the same pattern appears beyond Indonesia.</w:t>
      </w:r>
    </w:p>
    <w:p>
      <w:pPr>
        <w:pStyle w:val="Heading1"/>
        <w:keepNext/>
        <w:spacing w:before="200" w:after="100"/>
        <w:jc w:val="left"/>
      </w:pPr>
      <w:r>
        <w:rPr>
          <w:rFonts w:ascii="Times New Roman" w:hAnsi="Times New Roman" w:eastAsia="Times New Roman"/>
          <w:b/>
          <w:i w:val="0"/>
          <w:sz w:val="24"/>
        </w:rPr>
        <w:t>3. Theoretical Framework and Hypotheses</w:t>
      </w:r>
    </w:p>
    <w:p>
      <w:pPr>
        <w:keepLines/>
        <w:spacing w:after="110" w:line="257" w:lineRule="auto"/>
        <w:jc w:val="both"/>
      </w:pPr>
      <w:r>
        <w:rPr>
          <w:rFonts w:ascii="Times New Roman" w:hAnsi="Times New Roman" w:eastAsia="Times New Roman"/>
          <w:b w:val="0"/>
          <w:i w:val="0"/>
          <w:sz w:val="24"/>
        </w:rPr>
        <w:t>Digital platform activity can be observed through several records, but those records do not measure the same economic object. The framework begins with the difference between the value a platform processes and the revenue it recognizes, then asks whether that relationship remains stable over time and whether other records produce the same account of digital activity.</w:t>
      </w:r>
    </w:p>
    <w:p>
      <w:pPr>
        <w:spacing w:after="110" w:line="257" w:lineRule="auto"/>
        <w:jc w:val="both"/>
      </w:pPr>
      <w:r>
        <w:rPr>
          <w:rFonts w:ascii="Times New Roman" w:hAnsi="Times New Roman" w:eastAsia="Times New Roman"/>
          <w:b w:val="0"/>
          <w:i w:val="0"/>
          <w:sz w:val="24"/>
        </w:rPr>
        <w:t>For the platform analysis, transaction value and revenue are paired only when they refer to the same period and business activity. Figures that issuers report and figures that must be constructed are kept apart, as are national statistics and payment records (Section 4).</w:t>
      </w:r>
    </w:p>
    <w:p>
      <w:pPr>
        <w:pStyle w:val="Heading2"/>
        <w:keepNext/>
        <w:spacing w:before="140" w:after="60"/>
        <w:jc w:val="left"/>
      </w:pPr>
      <w:r>
        <w:rPr>
          <w:rFonts w:ascii="Times New Roman" w:hAnsi="Times New Roman" w:eastAsia="Times New Roman"/>
          <w:b/>
          <w:i w:val="0"/>
          <w:sz w:val="24"/>
        </w:rPr>
        <w:t>3.1 Measurement Framework</w:t>
      </w:r>
    </w:p>
    <w:p>
      <w:pPr>
        <w:keepLines/>
        <w:spacing w:after="110" w:line="257" w:lineRule="auto"/>
        <w:jc w:val="both"/>
      </w:pPr>
      <w:r>
        <w:rPr>
          <w:rFonts w:ascii="Times New Roman" w:hAnsi="Times New Roman" w:eastAsia="Times New Roman"/>
          <w:b w:val="0"/>
          <w:i w:val="0"/>
          <w:sz w:val="24"/>
        </w:rPr>
        <w:t>Let V</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denote transaction value processed by platform i in period t, and R</w:t>
      </w:r>
      <w:r>
        <w:rPr>
          <w:rFonts w:ascii="Times New Roman" w:hAnsi="Times New Roman" w:eastAsia="Times New Roman"/>
          <w:b w:val="0"/>
          <w:i w:val="0"/>
          <w:sz w:val="24"/>
          <w:vertAlign w:val="subscript"/>
        </w:rPr>
        <w:t>it</w:t>
      </w:r>
      <w:r>
        <w:rPr>
          <w:rFonts w:ascii="Times New Roman" w:hAnsi="Times New Roman" w:eastAsia="Times New Roman"/>
          <w:b w:val="0"/>
          <w:i w:val="0"/>
          <w:sz w:val="24"/>
        </w:rPr>
        <w:t xml:space="preserve"> the revenue recognized over the same matched period and business scope. The absolute invisible wedge is:</w:t>
      </w:r>
    </w:p>
    <w:p>
      <w:pPr>
        <w:keepNext/>
        <w:spacing w:before="60" w:after="110" w:line="257" w:lineRule="auto"/>
        <w:jc w:val="center"/>
      </w:pPr>
      <w:r>
        <w:rPr>
          <w:rFonts w:ascii="Times New Roman" w:hAnsi="Times New Roman" w:eastAsia="Times New Roman"/>
          <w:b w:val="0"/>
          <w:i/>
          <w:sz w:val="24"/>
        </w:rPr>
        <w:t>W</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W is transaction value outside the platform's recognized revenue, not an omission from its accounts: both inputs can appear in the same company report. It is a transaction-value measure rather than an income or value-added measure; Section 7 states the corresponding inference boundaries. Because platforms differ in size, I also express the wedge relative to revenue. The Ecosystem Ratio is:</w:t>
      </w:r>
    </w:p>
    <w:p>
      <w:pPr>
        <w:keepNext/>
        <w:spacing w:before="60" w:after="110" w:line="257" w:lineRule="auto"/>
        <w:jc w:val="center"/>
      </w:pPr>
      <w:r>
        <w:rPr>
          <w:rFonts w:ascii="Times New Roman" w:hAnsi="Times New Roman" w:eastAsia="Times New Roman"/>
          <w:b w:val="0"/>
          <w:i/>
          <w:sz w:val="24"/>
        </w:rPr>
        <w:t>E</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(V</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R</w:t>
      </w:r>
      <w:r>
        <w:rPr>
          <w:rFonts w:ascii="Times New Roman" w:hAnsi="Times New Roman" w:eastAsia="Times New Roman"/>
          <w:b w:val="0"/>
          <w:i/>
          <w:sz w:val="24"/>
          <w:vertAlign w:val="subscript"/>
        </w:rPr>
        <w:t>it</w:t>
      </w:r>
      <w:r>
        <w:rPr>
          <w:rFonts w:ascii="Times New Roman" w:hAnsi="Times New Roman" w:eastAsia="Times New Roman"/>
          <w:b w:val="0"/>
          <w:i/>
          <w:sz w:val="24"/>
        </w:rPr>
        <w:t>) / R</w:t>
      </w:r>
      <w:r>
        <w:rPr>
          <w:rFonts w:ascii="Times New Roman" w:hAnsi="Times New Roman" w:eastAsia="Times New Roman"/>
          <w:b w:val="0"/>
          <w:i/>
          <w:sz w:val="24"/>
          <w:vertAlign w:val="subscript"/>
        </w:rPr>
        <w:t>it</w:t>
      </w:r>
    </w:p>
    <w:p>
      <w:pPr>
        <w:spacing w:after="110" w:line="257" w:lineRule="auto"/>
        <w:jc w:val="both"/>
      </w:pPr>
      <w:r>
        <w:rPr>
          <w:rFonts w:ascii="Times New Roman" w:hAnsi="Times New Roman" w:eastAsia="Times New Roman"/>
          <w:b w:val="0"/>
          <w:i w:val="0"/>
          <w:sz w:val="24"/>
        </w:rPr>
        <w:t>An E of 9 means that nine units of transaction value lie outside the revenue line for every unit recognized as platform revenue. E contains the same information as the platform's monetization rate, t = R/V, because E = 1/t − 1. The residual form matches the research question, which concerns commerce outside recognized revenue.</w:t>
      </w:r>
    </w:p>
    <w:p>
      <w:pPr>
        <w:spacing w:after="110" w:line="257" w:lineRule="auto"/>
        <w:jc w:val="both"/>
      </w:pPr>
      <w:r>
        <w:rPr>
          <w:rFonts w:ascii="Times New Roman" w:hAnsi="Times New Roman" w:eastAsia="Times New Roman"/>
          <w:b w:val="0"/>
          <w:i w:val="0"/>
          <w:sz w:val="24"/>
        </w:rPr>
        <w:t>The Ecosystem Ratio is a descriptive transformation constructed for this study, not a new underlying economic quantity or a measure adopted from prior work. Its interpretation rests on the platform-economics result that booked revenue need not track the transaction value a multisided platform coordinates (Rochet and Tirole 2003; Hagiu and Wright 2015; Evans and Schmalensee 2016), together with the accounting result that the share entering revenue depends on how revenue is recognized, including whether the platform acts as principal or agent (International Accounting Standards Board 2014; De Franco, Kothari and Verdi 2011).</w:t>
      </w:r>
    </w:p>
    <w:p>
      <w:pPr>
        <w:spacing w:after="110" w:line="257" w:lineRule="auto"/>
        <w:jc w:val="both"/>
      </w:pPr>
      <w:r>
        <w:rPr>
          <w:rFonts w:ascii="Times New Roman" w:hAnsi="Times New Roman" w:eastAsia="Times New Roman"/>
          <w:b w:val="0"/>
          <w:i w:val="0"/>
          <w:sz w:val="24"/>
        </w:rPr>
        <w:t>A single ratio does not show whether the relationship holds through time, so I define annual growth divergence, where g(X) is the percentage growth of X from one year to the next, as:</w:t>
      </w:r>
    </w:p>
    <w:p>
      <w:pPr>
        <w:keepNext/>
        <w:spacing w:before="60" w:after="110" w:line="257" w:lineRule="auto"/>
        <w:jc w:val="center"/>
      </w:pPr>
      <w:r>
        <w:rPr>
          <w:rFonts w:ascii="Times New Roman" w:hAnsi="Times New Roman" w:eastAsia="Times New Roman"/>
          <w:b w:val="0"/>
          <w:i/>
          <w:sz w:val="24"/>
        </w:rPr>
        <w:t>D</w:t>
      </w:r>
      <w:r>
        <w:rPr>
          <w:rFonts w:ascii="Times New Roman" w:hAnsi="Times New Roman" w:eastAsia="Times New Roman"/>
          <w:b w:val="0"/>
          <w:i/>
          <w:sz w:val="24"/>
          <w:vertAlign w:val="subscript"/>
        </w:rPr>
        <w:t>it</w:t>
      </w:r>
      <w:r>
        <w:rPr>
          <w:rFonts w:ascii="Times New Roman" w:hAnsi="Times New Roman" w:eastAsia="Times New Roman"/>
          <w:b w:val="0"/>
          <w:i/>
          <w:sz w:val="24"/>
        </w:rPr>
        <w:t xml:space="preserve"> = g(R</w:t>
      </w:r>
      <w:r>
        <w:rPr>
          <w:rFonts w:ascii="Times New Roman" w:hAnsi="Times New Roman" w:eastAsia="Times New Roman"/>
          <w:b w:val="0"/>
          <w:i/>
          <w:sz w:val="24"/>
          <w:vertAlign w:val="subscript"/>
        </w:rPr>
        <w:t>it</w:t>
      </w:r>
      <w:r>
        <w:rPr>
          <w:rFonts w:ascii="Times New Roman" w:hAnsi="Times New Roman" w:eastAsia="Times New Roman"/>
          <w:b w:val="0"/>
          <w:i/>
          <w:sz w:val="24"/>
        </w:rPr>
        <w:t>) − g(V</w:t>
      </w:r>
      <w:r>
        <w:rPr>
          <w:rFonts w:ascii="Times New Roman" w:hAnsi="Times New Roman" w:eastAsia="Times New Roman"/>
          <w:b w:val="0"/>
          <w:i/>
          <w:sz w:val="24"/>
          <w:vertAlign w:val="subscript"/>
        </w:rPr>
        <w:t>it</w:t>
      </w:r>
      <w:r>
        <w:rPr>
          <w:rFonts w:ascii="Times New Roman" w:hAnsi="Times New Roman" w:eastAsia="Times New Roman"/>
          <w:b w:val="0"/>
          <w:i/>
          <w:sz w:val="24"/>
        </w:rPr>
        <w:t>)</w:t>
      </w:r>
    </w:p>
    <w:p>
      <w:pPr>
        <w:spacing w:after="110" w:line="257" w:lineRule="auto"/>
        <w:jc w:val="both"/>
      </w:pPr>
      <w:r>
        <w:rPr>
          <w:rFonts w:ascii="Times New Roman" w:hAnsi="Times New Roman" w:eastAsia="Times New Roman"/>
          <w:b w:val="0"/>
          <w:i w:val="0"/>
          <w:sz w:val="24"/>
        </w:rPr>
        <w:t>A positive D means revenue grew faster than transaction value, so the platform recognized a larger share of transaction value as revenue and E fell; a negative D means the reverse. If revenue were a stable proxy for transaction value, D would remain close to zero. W gives the wedge in currency units, E expresses it relative to revenue, and D carries the central test: whether the relationship between revenue and transaction value remains stable through time.</w:t>
      </w:r>
    </w:p>
    <w:p>
      <w:pPr>
        <w:pStyle w:val="Heading2"/>
        <w:keepNext/>
        <w:spacing w:before="140" w:after="60"/>
        <w:jc w:val="left"/>
      </w:pPr>
      <w:r>
        <w:rPr>
          <w:rFonts w:ascii="Times New Roman" w:hAnsi="Times New Roman" w:eastAsia="Times New Roman"/>
          <w:b/>
          <w:i w:val="0"/>
          <w:sz w:val="24"/>
        </w:rPr>
        <w:t>3.2 Hypotheses</w:t>
      </w:r>
    </w:p>
    <w:p>
      <w:pPr>
        <w:keepLines/>
        <w:spacing w:after="110" w:line="257" w:lineRule="auto"/>
        <w:jc w:val="both"/>
      </w:pPr>
      <w:r>
        <w:rPr>
          <w:rFonts w:ascii="Times New Roman" w:hAnsi="Times New Roman" w:eastAsia="Times New Roman"/>
          <w:b w:val="0"/>
          <w:i w:val="0"/>
          <w:sz w:val="24"/>
        </w:rPr>
        <w:t>The four hypotheses test the research question one record at a time. H1 concerns transaction value and revenue within platforms, H2 and H3 the national e-commerce evidence, and H4 the comparison across records. None is interpreted as a causal claim. Table 1 pairs each hypothesis with the evidence that tests it.</w:t>
      </w:r>
    </w:p>
    <w:p>
      <w:pPr>
        <w:keepNext/>
        <w:spacing w:after="110" w:line="257" w:lineRule="auto"/>
        <w:jc w:val="left"/>
      </w:pPr>
      <w:r>
        <w:rPr>
          <w:rFonts w:ascii="Times New Roman" w:hAnsi="Times New Roman" w:eastAsia="Times New Roman"/>
          <w:b/>
          <w:i w:val="0"/>
          <w:sz w:val="24"/>
        </w:rPr>
        <w:t>H1. Within the same platform, transaction value and platform revenue do not grow in proportion.</w:t>
      </w:r>
    </w:p>
    <w:p>
      <w:pPr>
        <w:spacing w:after="110" w:line="257" w:lineRule="auto"/>
        <w:jc w:val="both"/>
      </w:pPr>
      <w:r>
        <w:rPr>
          <w:rFonts w:ascii="Times New Roman" w:hAnsi="Times New Roman" w:eastAsia="Times New Roman"/>
          <w:b w:val="0"/>
          <w:i w:val="0"/>
          <w:sz w:val="24"/>
        </w:rPr>
        <w:t>If they did, D would remain close to zero and E would be constant. The test is whether D remains close to zero; changes in its sign identify especially strong reversals but are not required for H1.</w:t>
      </w:r>
    </w:p>
    <w:p>
      <w:pPr>
        <w:keepNext/>
        <w:spacing w:after="110" w:line="257" w:lineRule="auto"/>
        <w:jc w:val="left"/>
      </w:pPr>
      <w:r>
        <w:rPr>
          <w:rFonts w:ascii="Times New Roman" w:hAnsi="Times New Roman" w:eastAsia="Times New Roman"/>
          <w:b/>
          <w:i w:val="0"/>
          <w:sz w:val="24"/>
        </w:rPr>
        <w:t>H2. National e-commerce growth comes mainly from more participating businesses rather than from higher sales per business.</w:t>
      </w:r>
    </w:p>
    <w:p>
      <w:pPr>
        <w:spacing w:after="110" w:line="257" w:lineRule="auto"/>
        <w:jc w:val="both"/>
      </w:pPr>
      <w:r>
        <w:rPr>
          <w:rFonts w:ascii="Times New Roman" w:hAnsi="Times New Roman" w:eastAsia="Times New Roman"/>
          <w:b w:val="0"/>
          <w:i w:val="0"/>
          <w:sz w:val="24"/>
        </w:rPr>
        <w:t>Growth driven by new sellers can take place in channels that platform accounts do not cover. The split is arithmetic and does not assign new businesses to particular channels.</w:t>
      </w:r>
    </w:p>
    <w:p>
      <w:pPr>
        <w:keepNext/>
        <w:spacing w:after="110" w:line="257" w:lineRule="auto"/>
        <w:jc w:val="left"/>
      </w:pPr>
      <w:r>
        <w:rPr>
          <w:rFonts w:ascii="Times New Roman" w:hAnsi="Times New Roman" w:eastAsia="Times New Roman"/>
          <w:b/>
          <w:i w:val="0"/>
          <w:sz w:val="24"/>
        </w:rPr>
        <w:t>H3. Marketplace participation is associated with stronger financial recordkeeping.</w:t>
      </w:r>
    </w:p>
    <w:p>
      <w:pPr>
        <w:spacing w:after="110" w:line="257" w:lineRule="auto"/>
        <w:jc w:val="both"/>
      </w:pPr>
      <w:r>
        <w:rPr>
          <w:rFonts w:ascii="Times New Roman" w:hAnsi="Times New Roman" w:eastAsia="Times New Roman"/>
          <w:b w:val="0"/>
          <w:i w:val="0"/>
          <w:sz w:val="24"/>
        </w:rPr>
        <w:t>Financial statements are one conventional record a business keeps of its own activity. H3 tests whether the prevalence of that record differs between marketplace and non-marketplace sellers; it does not treat the association as causal.</w:t>
      </w:r>
    </w:p>
    <w:p>
      <w:pPr>
        <w:keepNext/>
        <w:spacing w:after="110" w:line="257" w:lineRule="auto"/>
        <w:jc w:val="left"/>
      </w:pPr>
      <w:r>
        <w:rPr>
          <w:rFonts w:ascii="Times New Roman" w:hAnsi="Times New Roman" w:eastAsia="Times New Roman"/>
          <w:b/>
          <w:i w:val="0"/>
          <w:sz w:val="24"/>
        </w:rPr>
        <w:t>H4. Conclusions about the growth of Indonesian digital commerce change with the record used to measure it.</w:t>
      </w:r>
    </w:p>
    <w:p>
      <w:pPr>
        <w:spacing w:after="110" w:line="257" w:lineRule="auto"/>
        <w:jc w:val="both"/>
      </w:pPr>
      <w:r>
        <w:rPr>
          <w:rFonts w:ascii="Times New Roman" w:hAnsi="Times New Roman" w:eastAsia="Times New Roman"/>
          <w:b w:val="0"/>
          <w:i w:val="0"/>
          <w:sz w:val="24"/>
        </w:rPr>
        <w:t>H4 is the central claim of the thesis. It fails if revenue grows in step with transaction value within platforms and the marketplace channel grows in step with all e-commerce. Level differences between platform and BPS figures, and payment growth, are reported as context because their definitions and coverage differ.</w:t>
      </w:r>
    </w:p>
    <w:p>
      <w:pPr>
        <w:keepNext/>
        <w:spacing w:before="80" w:after="70" w:line="240" w:lineRule="auto"/>
        <w:jc w:val="left"/>
      </w:pPr>
      <w:r>
        <w:rPr>
          <w:rFonts w:ascii="Times New Roman" w:hAnsi="Times New Roman" w:eastAsia="Times New Roman"/>
          <w:b/>
          <w:i/>
          <w:sz w:val="19"/>
        </w:rPr>
        <w:t>Table 1. Hypotheses and principal empirical tests.</w:t>
      </w:r>
    </w:p>
    <w:tbl>
      <w:tblPr>
        <w:tblStyle w:val="TableGrid"/>
        <w:tblW w:type="auto" w:w="0"/>
        <w:jc w:val="center"/>
        <w:tblLayout w:type="fixed"/>
      </w:tblPr>
      <w:tblGrid>
        <w:gridCol w:w="3300"/>
        <w:gridCol w:w="6247"/>
      </w:tblGrid>
      <w:tr>
        <w:trPr>
          <w:tblHeader w:val="true"/>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Hypothesis</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Principal empirical test</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H1 - Transaction-revenue divergence</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Growth divergence D and the Ecosystem Ratio for the platforms that report both figures</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H2 - Sources of e-commerce growth</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national e-commerce value split into business count and sales per business</w:t>
            </w:r>
          </w:p>
        </w:tc>
      </w:tr>
      <w:tr>
        <w:trPr>
          <w:cantSplit/>
        </w:trPr>
        <w:tc>
          <w:tcPr>
            <w:vAlign w:val="top"/>
            <w:tcW w:w="33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H3 - Marketplace participation and recordkeeping</w:t>
            </w:r>
          </w:p>
        </w:tc>
        <w:tc>
          <w:tcPr>
            <w:vAlign w:val="top"/>
            <w:tcW w:w="62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published comparison of marketplace and non-marketplace sellers</w:t>
            </w:r>
          </w:p>
        </w:tc>
      </w:tr>
      <w:tr>
        <w:trPr>
          <w:cantSplit/>
        </w:trPr>
        <w:tc>
          <w:tcPr>
            <w:vAlign w:val="top"/>
            <w:tcW w:w="33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H4 - Measurement choice</w:t>
            </w:r>
          </w:p>
        </w:tc>
        <w:tc>
          <w:tcPr>
            <w:vAlign w:val="top"/>
            <w:tcW w:w="62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Growth of revenue against transaction value within platforms, and of the marketplace channel against all e-commerce in BPS</w:t>
            </w:r>
          </w:p>
        </w:tc>
      </w:tr>
    </w:tbl>
    <w:p>
      <w:pPr>
        <w:spacing w:before="120" w:after="110" w:line="257" w:lineRule="auto"/>
        <w:jc w:val="both"/>
      </w:pPr>
      <w:r>
        <w:rPr>
          <w:rFonts w:ascii="Times New Roman" w:hAnsi="Times New Roman" w:eastAsia="Times New Roman"/>
          <w:b w:val="0"/>
          <w:i w:val="0"/>
          <w:sz w:val="24"/>
        </w:rPr>
        <w:t>The comparison of platform businesses outside Indonesia corroborates H1 rather than forming a fifth hypothesis.</w:t>
      </w:r>
    </w:p>
    <w:p>
      <w:pPr>
        <w:pStyle w:val="Heading1"/>
        <w:keepNext/>
        <w:spacing w:before="200" w:after="100"/>
        <w:jc w:val="left"/>
      </w:pPr>
      <w:r>
        <w:rPr>
          <w:rFonts w:ascii="Times New Roman" w:hAnsi="Times New Roman" w:eastAsia="Times New Roman"/>
          <w:b/>
          <w:i w:val="0"/>
          <w:sz w:val="24"/>
        </w:rPr>
        <w:t>4. Data and Methodology</w:t>
      </w:r>
    </w:p>
    <w:p>
      <w:pPr>
        <w:keepLines/>
        <w:spacing w:after="110" w:line="257" w:lineRule="auto"/>
        <w:jc w:val="both"/>
      </w:pPr>
      <w:r>
        <w:rPr>
          <w:rFonts w:ascii="Times New Roman" w:hAnsi="Times New Roman" w:eastAsia="Times New Roman"/>
          <w:b w:val="0"/>
          <w:i w:val="0"/>
          <w:sz w:val="24"/>
        </w:rPr>
        <w:t>The study uses several records because no single one captures every part of digital platform activity. Platform reports provide transaction value and revenue; BPS-Statistics Indonesia provides national e-commerce and business evidence; Bank Indonesia provides payment statistics; and platform companies outside Indonesia provide a separate comparison. The records answer different questions and are not combined into one dataset.</w:t>
      </w:r>
    </w:p>
    <w:p>
      <w:pPr>
        <w:pStyle w:val="Heading2"/>
        <w:keepNext/>
        <w:spacing w:before="140" w:after="60"/>
        <w:jc w:val="left"/>
      </w:pPr>
      <w:r>
        <w:rPr>
          <w:rFonts w:ascii="Times New Roman" w:hAnsi="Times New Roman" w:eastAsia="Times New Roman"/>
          <w:b/>
          <w:i w:val="0"/>
          <w:sz w:val="24"/>
        </w:rPr>
        <w:t>4.1 Selecting the Platform Evidence</w:t>
      </w:r>
    </w:p>
    <w:p>
      <w:pPr>
        <w:keepLines/>
        <w:spacing w:after="110" w:line="257" w:lineRule="auto"/>
        <w:jc w:val="both"/>
      </w:pPr>
      <w:r>
        <w:rPr>
          <w:rFonts w:ascii="Times New Roman" w:hAnsi="Times New Roman" w:eastAsia="Times New Roman"/>
          <w:b w:val="0"/>
          <w:i w:val="0"/>
          <w:sz w:val="24"/>
        </w:rPr>
        <w:t>The basic observation is one platform in one year, with transaction value and revenue referring to the same period and, as closely as possible, the same business activity. An observation is retained only when its period, geographic and business coverage, units, definitions, and source can be identified; measures referring to different periods are excluded, and major changes in accounting definitions or business structure are recorded.</w:t>
      </w:r>
    </w:p>
    <w:p>
      <w:pPr>
        <w:spacing w:after="110" w:line="257" w:lineRule="auto"/>
        <w:jc w:val="both"/>
      </w:pPr>
      <w:r>
        <w:rPr>
          <w:rFonts w:ascii="Times New Roman" w:hAnsi="Times New Roman" w:eastAsia="Times New Roman"/>
          <w:b w:val="0"/>
          <w:i w:val="0"/>
          <w:sz w:val="24"/>
        </w:rPr>
        <w:t>The main sample consists of the platforms that report transaction value and revenue themselves: Tokopedia, Blibli and Bukalapak. Grab and Shopee, whose Indonesian figures must be constructed, support the 2023 scale comparison. Lazada and TikTok Shop, both large in Indonesia, are outside the sample because no matched Indonesian revenue series has been located for either. The platforms are disclosing cases rather than a representative sample of Indonesian platforms.</w:t>
      </w:r>
    </w:p>
    <w:p>
      <w:pPr>
        <w:keepNext/>
        <w:spacing w:before="80" w:after="70" w:line="240" w:lineRule="auto"/>
        <w:jc w:val="left"/>
      </w:pPr>
      <w:r>
        <w:rPr>
          <w:rFonts w:ascii="Times New Roman" w:hAnsi="Times New Roman" w:eastAsia="Times New Roman"/>
          <w:b/>
          <w:i/>
          <w:sz w:val="19"/>
        </w:rPr>
        <w:t>Table 2. Indonesian platform evidence.</w:t>
      </w:r>
    </w:p>
    <w:tbl>
      <w:tblPr>
        <w:tblStyle w:val="TableGrid"/>
        <w:tblW w:type="auto" w:w="0"/>
        <w:jc w:val="center"/>
        <w:tblLayout w:type="fixed"/>
      </w:tblPr>
      <w:tblGrid>
        <w:gridCol w:w="2700"/>
        <w:gridCol w:w="3100"/>
        <w:gridCol w:w="1300"/>
        <w:gridCol w:w="2447"/>
      </w:tblGrid>
      <w:tr>
        <w:trPr>
          <w:tblHeader w:val="true"/>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Type of evidence</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Platforms</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Years and observations</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Role</w:t>
            </w:r>
          </w:p>
        </w:tc>
      </w:tr>
      <w:tr>
        <w:trPr>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Issuer-reported, Indonesia-aligned</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Tokopedia e-commerce</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2022–2023 (2)</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Main sample: cleanest scope, shortest window</w:t>
            </w:r>
          </w:p>
        </w:tc>
      </w:tr>
      <w:tr>
        <w:trPr>
          <w:cantSplit/>
        </w:trPr>
        <w:tc>
          <w:tcPr>
            <w:vAlign w:val="top"/>
            <w:tcW w:w="27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Issuer-reported, broader scope</w:t>
            </w:r>
          </w:p>
        </w:tc>
        <w:tc>
          <w:tcPr>
            <w:vAlign w:val="top"/>
            <w:tcW w:w="31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Blibli third-party business; Bukalapak Group</w:t>
            </w:r>
          </w:p>
        </w:tc>
        <w:tc>
          <w:tcPr>
            <w:vAlign w:val="top"/>
            <w:tcW w:w="13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Blibli 2021–2025; Bukalapak 2020–2023 (9)</w:t>
            </w:r>
          </w:p>
        </w:tc>
        <w:tc>
          <w:tcPr>
            <w:vAlign w:val="top"/>
            <w:tcW w:w="24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Main sample: most of the time series</w:t>
            </w:r>
          </w:p>
        </w:tc>
      </w:tr>
      <w:tr>
        <w:trPr>
          <w:cantSplit/>
        </w:trPr>
        <w:tc>
          <w:tcPr>
            <w:vAlign w:val="top"/>
            <w:tcW w:w="27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Requires construction</w:t>
            </w:r>
          </w:p>
        </w:tc>
        <w:tc>
          <w:tcPr>
            <w:vAlign w:val="top"/>
            <w:tcW w:w="31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Grab; Shopee Indonesia</w:t>
            </w:r>
          </w:p>
        </w:tc>
        <w:tc>
          <w:tcPr>
            <w:vAlign w:val="top"/>
            <w:tcW w:w="13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Grab 2021–2023; Shopee 2022–2024 (6)</w:t>
            </w:r>
          </w:p>
        </w:tc>
        <w:tc>
          <w:tcPr>
            <w:vAlign w:val="top"/>
            <w:tcW w:w="2447"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Supporting: 2023 scale comparison</w:t>
            </w:r>
          </w:p>
        </w:tc>
      </w:tr>
    </w:tbl>
    <w:p>
      <w:pPr>
        <w:spacing w:before="120" w:after="110" w:line="257" w:lineRule="auto"/>
        <w:jc w:val="both"/>
      </w:pPr>
      <w:r>
        <w:rPr>
          <w:rFonts w:ascii="Times New Roman" w:hAnsi="Times New Roman" w:eastAsia="Times New Roman"/>
          <w:b w:val="0"/>
          <w:i w:val="0"/>
          <w:sz w:val="24"/>
        </w:rPr>
        <w:t>Table 2 gives the main sample 11 platform-years and 8 year-to-year comparisons; adding Grab and Shopee gives 17 and 12. Each series covers only years for which a matched pair exists. Tokopedia's 2021 pair covers mismatched periods, and after its combination with TikTok Shop under PT Tokopedia on 31 January 2024, the listed parent reports a contractual fee rather than platform revenue. Blibli's third-party segment includes online travel; its 2020 prospectus pair is used only as a sensitivity. Bukalapak reports at Group level, including some overseas activity; its 2024 pair is excluded because it covers nine months of transactions against twelve of revenue. Grab's transaction measure changes basis after 2023.</w:t>
      </w:r>
    </w:p>
    <w:p>
      <w:pPr>
        <w:pStyle w:val="Heading2"/>
        <w:keepNext/>
        <w:spacing w:before="140" w:after="60"/>
        <w:jc w:val="left"/>
      </w:pPr>
      <w:r>
        <w:rPr>
          <w:rFonts w:ascii="Times New Roman" w:hAnsi="Times New Roman" w:eastAsia="Times New Roman"/>
          <w:b/>
          <w:i w:val="0"/>
          <w:sz w:val="24"/>
        </w:rPr>
        <w:t>4.2 Comparing Platform Activity Through Time</w:t>
      </w:r>
    </w:p>
    <w:p>
      <w:pPr>
        <w:keepLines/>
        <w:spacing w:after="110" w:line="257" w:lineRule="auto"/>
        <w:jc w:val="both"/>
      </w:pPr>
      <w:r>
        <w:rPr>
          <w:rFonts w:ascii="Times New Roman" w:hAnsi="Times New Roman" w:eastAsia="Times New Roman"/>
          <w:b w:val="0"/>
          <w:i w:val="0"/>
          <w:sz w:val="24"/>
        </w:rPr>
        <w:t>Changes through time are examined mainly by comparing each platform with itself. This keeps the company, business activity, and reporting convention as similar as the disclosures allow. When transaction value and revenue move sharply apart, disclosed changes in monetization, customer incentives, revenue recognition, and business scope are used to reconcile the movement where the filings permit; these reconciliations are arithmetic rather than causal.</w:t>
      </w:r>
    </w:p>
    <w:p>
      <w:pPr>
        <w:spacing w:after="110" w:line="257" w:lineRule="auto"/>
        <w:jc w:val="both"/>
      </w:pPr>
      <w:r>
        <w:rPr>
          <w:rFonts w:ascii="Times New Roman" w:hAnsi="Times New Roman" w:eastAsia="Times New Roman"/>
          <w:b w:val="0"/>
          <w:i w:val="0"/>
          <w:sz w:val="24"/>
        </w:rPr>
        <w:t>Companies use different names for transaction activity, including gross transaction value (GTV), gross merchandise value (GMV), and total payment volume (TPV). Transaction value, V, is the umbrella concept in this proposal and GTV is the label used for it, while each issuer's own label and definition are retained and checked rather than assumed to be identical.</w:t>
      </w:r>
      <w:r>
        <w:rPr>
          <w:rFonts w:ascii="Times New Roman" w:hAnsi="Times New Roman" w:eastAsia="Times New Roman"/>
          <w:sz w:val="24"/>
          <w:vertAlign w:val="superscript"/>
        </w:rPr>
        <w:footnoteReference w:id="2"/>
      </w:r>
    </w:p>
    <w:p>
      <w:pPr>
        <w:spacing w:after="110" w:line="257" w:lineRule="auto"/>
        <w:jc w:val="both"/>
      </w:pPr>
      <w:r>
        <w:rPr>
          <w:rFonts w:ascii="Times New Roman" w:hAnsi="Times New Roman" w:eastAsia="Times New Roman"/>
          <w:b w:val="0"/>
          <w:i w:val="0"/>
          <w:sz w:val="24"/>
        </w:rPr>
        <w:t>Growth rates are computed in each issuer's reporting currency, so exchange-rate movements do not enter D. US dollar values are used only for the 2023 cross-section, where rupiah figures are converted at the World Bank's 2023 official exchange rate of 15,236.88 rupiah per dollar (World Bank n.d.).</w:t>
      </w:r>
    </w:p>
    <w:p>
      <w:pPr>
        <w:pStyle w:val="Heading2"/>
        <w:keepNext/>
        <w:spacing w:before="140" w:after="60"/>
        <w:jc w:val="left"/>
      </w:pPr>
      <w:r>
        <w:rPr>
          <w:rFonts w:ascii="Times New Roman" w:hAnsi="Times New Roman" w:eastAsia="Times New Roman"/>
          <w:b/>
          <w:i w:val="0"/>
          <w:sz w:val="24"/>
        </w:rPr>
        <w:t>4.3 Direct and Constructed Indonesia Measures</w:t>
      </w:r>
    </w:p>
    <w:p>
      <w:pPr>
        <w:keepLines/>
        <w:spacing w:after="110" w:line="257" w:lineRule="auto"/>
        <w:jc w:val="both"/>
      </w:pPr>
      <w:r>
        <w:rPr>
          <w:rFonts w:ascii="Times New Roman" w:hAnsi="Times New Roman" w:eastAsia="Times New Roman"/>
          <w:b w:val="0"/>
          <w:i w:val="0"/>
          <w:sz w:val="24"/>
        </w:rPr>
        <w:t>Not every company reports the same Indonesia-specific information. Table 3 sets out, for each platform, what is disclosed directly, what has to be constructed, and the limitation that follows.</w:t>
      </w:r>
    </w:p>
    <w:p>
      <w:pPr>
        <w:keepNext/>
        <w:spacing w:before="80" w:after="70" w:line="240" w:lineRule="auto"/>
        <w:jc w:val="left"/>
      </w:pPr>
      <w:r>
        <w:rPr>
          <w:rFonts w:ascii="Times New Roman" w:hAnsi="Times New Roman" w:eastAsia="Times New Roman"/>
          <w:b/>
          <w:i/>
          <w:sz w:val="19"/>
        </w:rPr>
        <w:t>Table 3. Construction of the principal platform measures.</w:t>
      </w:r>
    </w:p>
    <w:tbl>
      <w:tblPr>
        <w:tblStyle w:val="TableGrid"/>
        <w:tblW w:type="auto" w:w="0"/>
        <w:jc w:val="center"/>
        <w:tblLayout w:type="fixed"/>
      </w:tblPr>
      <w:tblGrid>
        <w:gridCol w:w="1500"/>
        <w:gridCol w:w="2700"/>
        <w:gridCol w:w="2800"/>
        <w:gridCol w:w="2547"/>
      </w:tblGrid>
      <w:tr>
        <w:trPr>
          <w:tblHeader w:val="true"/>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Platform</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Directly available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Constructed or external input</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Main limitation</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Tokopedia</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transaction value and segment revenue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None for matched pair</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Indonesia-aligned segment, not literal country line</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revenue; Group revenue and GTV</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 GTV derived from Group figures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Indonesian ratio equals the Group ratio</w:t>
            </w:r>
          </w:p>
        </w:tc>
      </w:tr>
      <w:tr>
        <w:trPr>
          <w:cantSplit/>
        </w:trPr>
        <w:tc>
          <w:tcPr>
            <w:vAlign w:val="top"/>
            <w:tcW w:w="1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Shopee</w:t>
            </w:r>
          </w:p>
        </w:tc>
        <w:tc>
          <w:tcPr>
            <w:vAlign w:val="top"/>
            <w:tcW w:w="27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Group service monetization rate</w:t>
            </w:r>
          </w:p>
        </w:tc>
        <w:tc>
          <w:tcPr>
            <w:vAlign w:val="top"/>
            <w:tcW w:w="28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External Indonesia transaction estimate; Indonesia revenue derived</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Indonesian ratio set by the Group rate</w:t>
            </w:r>
          </w:p>
        </w:tc>
      </w:tr>
      <w:tr>
        <w:trPr>
          <w:cantSplit/>
        </w:trPr>
        <w:tc>
          <w:tcPr>
            <w:vAlign w:val="top"/>
            <w:tcW w:w="15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Blibli / Bukalapak</w:t>
            </w:r>
          </w:p>
        </w:tc>
        <w:tc>
          <w:tcPr>
            <w:vAlign w:val="top"/>
            <w:tcW w:w="27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Reported transaction and revenue pairs</w:t>
            </w:r>
          </w:p>
        </w:tc>
        <w:tc>
          <w:tcPr>
            <w:vAlign w:val="top"/>
            <w:tcW w:w="28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None for retained pairs</w:t>
            </w:r>
          </w:p>
        </w:tc>
        <w:tc>
          <w:tcPr>
            <w:vAlign w:val="top"/>
            <w:tcW w:w="25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Scope extends beyond Indonesian goods commerce</w:t>
            </w:r>
          </w:p>
        </w:tc>
      </w:tr>
    </w:tbl>
    <w:p>
      <w:pPr>
        <w:spacing w:before="120" w:after="110" w:line="257" w:lineRule="auto"/>
        <w:jc w:val="both"/>
      </w:pPr>
      <w:r>
        <w:rPr>
          <w:rFonts w:ascii="Times New Roman" w:hAnsi="Times New Roman" w:eastAsia="Times New Roman"/>
          <w:b w:val="0"/>
          <w:i w:val="0"/>
          <w:sz w:val="24"/>
        </w:rPr>
        <w:t>Grab reports Indonesian revenue directly but not Indonesian transaction value. Indonesian GTV is therefore estimated as:</w:t>
      </w:r>
    </w:p>
    <w:p>
      <w:pPr>
        <w:keepNext/>
        <w:spacing w:before="60" w:after="110" w:line="257" w:lineRule="auto"/>
        <w:jc w:val="center"/>
      </w:pPr>
      <w:r>
        <w:rPr>
          <w:rFonts w:ascii="Times New Roman" w:hAnsi="Times New Roman" w:eastAsia="Times New Roman"/>
          <w:b w:val="0"/>
          <w:i/>
          <w:sz w:val="24"/>
        </w:rPr>
        <w:t>Indonesia GTV = Indonesia revenue × Group GTV / Group revenue</w:t>
      </w:r>
    </w:p>
    <w:p>
      <w:pPr>
        <w:spacing w:after="110" w:line="257" w:lineRule="auto"/>
        <w:jc w:val="both"/>
      </w:pPr>
      <w:r>
        <w:rPr>
          <w:rFonts w:ascii="Times New Roman" w:hAnsi="Times New Roman" w:eastAsia="Times New Roman"/>
          <w:b w:val="0"/>
          <w:i w:val="0"/>
          <w:sz w:val="24"/>
        </w:rPr>
        <w:t>The Group monetization rate is platform revenue divided by gross transaction value.</w:t>
      </w:r>
    </w:p>
    <w:p>
      <w:pPr>
        <w:spacing w:after="110" w:line="257" w:lineRule="auto"/>
        <w:jc w:val="both"/>
      </w:pPr>
      <w:r>
        <w:rPr>
          <w:rFonts w:ascii="Times New Roman" w:hAnsi="Times New Roman" w:eastAsia="Times New Roman"/>
          <w:b w:val="0"/>
          <w:i w:val="0"/>
          <w:sz w:val="24"/>
        </w:rPr>
        <w:t>Sea Limited does not report Shopee transaction value separately for Indonesia. Momentum Works supplies the Indonesian estimate; its annual Southeast Asian e-commerce report is widely cited for country-level platform estimates and is used because no issuer discloses the figure. The value is labeled as a third-party estimate wherever it appears, and Indonesian revenue is estimated using Sea's Group service monetization rate:</w:t>
      </w:r>
    </w:p>
    <w:p>
      <w:pPr>
        <w:keepNext/>
        <w:spacing w:before="60" w:after="110" w:line="257" w:lineRule="auto"/>
        <w:jc w:val="center"/>
      </w:pPr>
      <w:r>
        <w:rPr>
          <w:rFonts w:ascii="Times New Roman" w:hAnsi="Times New Roman" w:eastAsia="Times New Roman"/>
          <w:b w:val="0"/>
          <w:i/>
          <w:sz w:val="24"/>
        </w:rPr>
        <w:t>Indonesia revenue = Indonesia transaction value × Group monetization rate</w:t>
      </w:r>
    </w:p>
    <w:p>
      <w:pPr>
        <w:spacing w:after="110" w:line="257" w:lineRule="auto"/>
        <w:jc w:val="both"/>
      </w:pPr>
      <w:r>
        <w:rPr>
          <w:rFonts w:ascii="Times New Roman" w:hAnsi="Times New Roman" w:eastAsia="Times New Roman"/>
          <w:b w:val="0"/>
          <w:i w:val="0"/>
          <w:sz w:val="24"/>
        </w:rPr>
        <w:t>Construction fixes both Indonesian ratios to company-wide relationships: Grab's E equals its Group E, while Shopee's is the inverse of Sea's monetization rate less one. The series contribute Indonesian levels but no independent evidence on the ratio or its movement, so they remain outside the main sample.</w:t>
      </w:r>
    </w:p>
    <w:p>
      <w:pPr>
        <w:pStyle w:val="Heading2"/>
        <w:keepNext/>
        <w:spacing w:before="140" w:after="60"/>
        <w:jc w:val="left"/>
      </w:pPr>
      <w:r>
        <w:rPr>
          <w:rFonts w:ascii="Times New Roman" w:hAnsi="Times New Roman" w:eastAsia="Times New Roman"/>
          <w:b/>
          <w:i w:val="0"/>
          <w:sz w:val="24"/>
        </w:rPr>
        <w:t>4.4 Evidence Beyond Platform Accounts</w:t>
      </w:r>
    </w:p>
    <w:p>
      <w:pPr>
        <w:keepNext/>
        <w:keepLines/>
        <w:spacing w:before="80" w:after="70" w:line="240" w:lineRule="auto"/>
        <w:jc w:val="left"/>
      </w:pPr>
      <w:r>
        <w:rPr>
          <w:rFonts w:ascii="Times New Roman" w:hAnsi="Times New Roman" w:eastAsia="Times New Roman"/>
          <w:b/>
          <w:i/>
          <w:sz w:val="19"/>
        </w:rPr>
        <w:t>Table 4. Records used and their role.</w:t>
      </w:r>
    </w:p>
    <w:tbl>
      <w:tblPr>
        <w:tblStyle w:val="TableGrid"/>
        <w:tblW w:type="auto" w:w="0"/>
        <w:jc w:val="center"/>
        <w:tblLayout w:type="fixed"/>
      </w:tblPr>
      <w:tblGrid>
        <w:gridCol w:w="2600"/>
        <w:gridCol w:w="3600"/>
        <w:gridCol w:w="3347"/>
      </w:tblGrid>
      <w:tr>
        <w:trPr>
          <w:tblHeader w:val="true"/>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source</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What is observed</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Role</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Indonesian platform histories</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Transaction value and revenue through time</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Measure the wedge and its movement</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national e-commerce statistics</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Online sales of surveyed businesses, by channel, and the number of businesses</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Examine the level and sources of growth</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marketplace study</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Business-level marketplace and recordkeeping evidence</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Examine the association with financial recordkeeping</w:t>
            </w:r>
          </w:p>
        </w:tc>
      </w:tr>
      <w:tr>
        <w:trPr>
          <w:cantSplit/>
        </w:trPr>
        <w:tc>
          <w:tcPr>
            <w:vAlign w:val="top"/>
            <w:tcW w:w="2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Bank Indonesia</w:t>
            </w:r>
          </w:p>
        </w:tc>
        <w:tc>
          <w:tcPr>
            <w:vAlign w:val="top"/>
            <w:tcW w:w="36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Economy-wide digital payment measures</w:t>
            </w:r>
          </w:p>
        </w:tc>
        <w:tc>
          <w:tcPr>
            <w:vAlign w:val="top"/>
            <w:tcW w:w="33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Context on payment growth</w:t>
            </w:r>
          </w:p>
        </w:tc>
      </w:tr>
      <w:tr>
        <w:trPr>
          <w:cantSplit/>
        </w:trPr>
        <w:tc>
          <w:tcPr>
            <w:vAlign w:val="top"/>
            <w:tcW w:w="26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Platform companies outside Indonesia</w:t>
            </w:r>
          </w:p>
        </w:tc>
        <w:tc>
          <w:tcPr>
            <w:vAlign w:val="top"/>
            <w:tcW w:w="36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Matched transaction and revenue measures</w:t>
            </w:r>
          </w:p>
        </w:tc>
        <w:tc>
          <w:tcPr>
            <w:vAlign w:val="top"/>
            <w:tcW w:w="33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Test whether the same boundary appears elsewhere</w:t>
            </w:r>
          </w:p>
        </w:tc>
      </w:tr>
    </w:tbl>
    <w:p>
      <w:pPr>
        <w:keepLines/>
        <w:spacing w:before="120" w:after="110" w:line="257" w:lineRule="auto"/>
        <w:jc w:val="both"/>
      </w:pPr>
      <w:r>
        <w:rPr>
          <w:rFonts w:ascii="Times New Roman" w:hAnsi="Times New Roman" w:eastAsia="Times New Roman"/>
          <w:b w:val="0"/>
          <w:i w:val="0"/>
          <w:sz w:val="24"/>
        </w:rPr>
        <w:t>Table 4 gives each record a single role. The records answer different questions, so they are reported separately rather than pooled into one estimate.</w:t>
      </w:r>
    </w:p>
    <w:p>
      <w:pPr>
        <w:spacing w:after="110" w:line="257" w:lineRule="auto"/>
        <w:jc w:val="both"/>
      </w:pPr>
      <w:r>
        <w:rPr>
          <w:rFonts w:ascii="Times New Roman" w:hAnsi="Times New Roman" w:eastAsia="Times New Roman"/>
          <w:b w:val="0"/>
          <w:i w:val="0"/>
          <w:sz w:val="24"/>
        </w:rPr>
        <w:t>For H2, national e-commerce value S is written as:</w:t>
      </w:r>
    </w:p>
    <w:p>
      <w:pPr>
        <w:keepNext/>
        <w:spacing w:before="60" w:after="110" w:line="257" w:lineRule="auto"/>
        <w:jc w:val="center"/>
      </w:pPr>
      <w:r>
        <w:rPr>
          <w:rFonts w:ascii="Times New Roman" w:hAnsi="Times New Roman" w:eastAsia="Times New Roman"/>
          <w:b w:val="0"/>
          <w:i/>
          <w:sz w:val="24"/>
        </w:rPr>
        <w:t>S = N × A</w:t>
      </w:r>
    </w:p>
    <w:p>
      <w:pPr>
        <w:spacing w:after="110" w:line="257" w:lineRule="auto"/>
        <w:jc w:val="both"/>
      </w:pPr>
      <w:r>
        <w:rPr>
          <w:rFonts w:ascii="Times New Roman" w:hAnsi="Times New Roman" w:eastAsia="Times New Roman"/>
          <w:b w:val="0"/>
          <w:i w:val="0"/>
          <w:sz w:val="24"/>
        </w:rPr>
        <w:t>where N is the estimated number of e-commerce businesses and A is implied nominal sales per business, and the change in S is divided arithmetically between the two. BPS publishes two counts of 2023 businesses; the count consistent with its stated growth figure is used, and the other is retained as a sensitivity check.</w:t>
      </w:r>
    </w:p>
    <w:p>
      <w:pPr>
        <w:spacing w:after="110" w:line="257" w:lineRule="auto"/>
        <w:jc w:val="both"/>
      </w:pPr>
      <w:r>
        <w:rPr>
          <w:rFonts w:ascii="Times New Roman" w:hAnsi="Times New Roman" w:eastAsia="Times New Roman"/>
          <w:b w:val="0"/>
          <w:i w:val="0"/>
          <w:sz w:val="24"/>
        </w:rPr>
        <w:t>For H3, BPS's published business-level comparison of marketplace and non-marketplace sellers is used. For H4, BPS's split of e-commerce value by sales channel is set against the platform evidence. Bank Indonesia's economy-wide payment measures provide an independent view of digitalization. Because they cover more than e-commerce and also reflect adoption and substitution between payment methods, they are compared by growth rate and are not treated as sales estimates.</w:t>
      </w:r>
    </w:p>
    <w:p>
      <w:pPr>
        <w:pStyle w:val="Heading2"/>
        <w:keepNext/>
        <w:spacing w:before="140" w:after="60"/>
        <w:jc w:val="left"/>
      </w:pPr>
      <w:r>
        <w:rPr>
          <w:rFonts w:ascii="Times New Roman" w:hAnsi="Times New Roman" w:eastAsia="Times New Roman"/>
          <w:b/>
          <w:i w:val="0"/>
          <w:sz w:val="24"/>
        </w:rPr>
        <w:t>4.5 External Evidence and Robustness</w:t>
      </w:r>
    </w:p>
    <w:p>
      <w:pPr>
        <w:keepLines/>
        <w:spacing w:after="110" w:line="257" w:lineRule="auto"/>
        <w:jc w:val="both"/>
      </w:pPr>
      <w:r>
        <w:rPr>
          <w:rFonts w:ascii="Times New Roman" w:hAnsi="Times New Roman" w:eastAsia="Times New Roman"/>
          <w:b w:val="0"/>
          <w:i w:val="0"/>
          <w:sz w:val="24"/>
        </w:rPr>
        <w:t>The external comparison contains 48 matched annual observations for eight listed platform businesses from 2017 to 2025: eBay, Etsy, Jumia, Mercado Libre, Rakuten, Sea, Shopify and Zalando. It tests whether the same separation between transaction value and revenue appears under other business models and is reported separately from the Indonesian evidence.</w:t>
      </w:r>
    </w:p>
    <w:p>
      <w:pPr>
        <w:spacing w:after="110" w:line="257" w:lineRule="auto"/>
        <w:jc w:val="both"/>
      </w:pPr>
      <w:r>
        <w:rPr>
          <w:rFonts w:ascii="Times New Roman" w:hAnsi="Times New Roman" w:eastAsia="Times New Roman"/>
          <w:b w:val="0"/>
          <w:i w:val="0"/>
          <w:sz w:val="24"/>
        </w:rPr>
        <w:t>Robustness checks vary the admission rules, revenue definitions, publication versions, and the assumptions in the constructed country measures. The resulting ranges are reported as sensitivity ranges rather than statistical confidence intervals.</w:t>
      </w:r>
    </w:p>
    <w:p>
      <w:pPr>
        <w:pStyle w:val="Heading1"/>
        <w:keepNext/>
        <w:spacing w:before="200" w:after="100"/>
        <w:jc w:val="left"/>
      </w:pPr>
      <w:r>
        <w:rPr>
          <w:rFonts w:ascii="Times New Roman" w:hAnsi="Times New Roman" w:eastAsia="Times New Roman"/>
          <w:b/>
          <w:i w:val="0"/>
          <w:sz w:val="24"/>
        </w:rPr>
        <w:t>5. Preliminary Evidence and Feasibility</w:t>
      </w:r>
    </w:p>
    <w:p>
      <w:pPr>
        <w:keepLines/>
        <w:spacing w:after="110" w:line="257" w:lineRule="auto"/>
        <w:jc w:val="both"/>
      </w:pPr>
      <w:r>
        <w:rPr>
          <w:rFonts w:ascii="Times New Roman" w:hAnsi="Times New Roman" w:eastAsia="Times New Roman"/>
          <w:b w:val="0"/>
          <w:i w:val="0"/>
          <w:sz w:val="24"/>
        </w:rPr>
        <w:t>The evidence assembled so far establishes that the proposed comparisons can be carried out and that the choice of record produces economically meaningful differences. The results first show the scale and movement of the wedge, then compare the platform picture with national and payment records.</w:t>
      </w:r>
    </w:p>
    <w:p>
      <w:pPr>
        <w:pStyle w:val="Heading2"/>
        <w:keepNext/>
        <w:spacing w:before="140" w:after="60"/>
        <w:jc w:val="left"/>
      </w:pPr>
      <w:r>
        <w:rPr>
          <w:rFonts w:ascii="Times New Roman" w:hAnsi="Times New Roman" w:eastAsia="Times New Roman"/>
          <w:b/>
          <w:i w:val="0"/>
          <w:sz w:val="24"/>
        </w:rPr>
        <w:t>5.1 Platform Scale and Movement</w:t>
      </w:r>
    </w:p>
    <w:p>
      <w:pPr>
        <w:keepLines/>
        <w:spacing w:after="110" w:line="257" w:lineRule="auto"/>
        <w:jc w:val="both"/>
      </w:pPr>
      <w:r>
        <w:rPr>
          <w:rFonts w:ascii="Times New Roman" w:hAnsi="Times New Roman" w:eastAsia="Times New Roman"/>
          <w:b w:val="0"/>
          <w:i w:val="0"/>
          <w:sz w:val="24"/>
        </w:rPr>
        <w:t>The 2023 comparison covers Shopee and Tokopedia, which together represented about 70 percent of estimated Indonesian marketplace transaction value, and Grab, a major delivery intermediary.</w:t>
      </w:r>
    </w:p>
    <w:p>
      <w:pPr>
        <w:keepNext/>
        <w:spacing w:before="80" w:after="70" w:line="240" w:lineRule="auto"/>
        <w:jc w:val="left"/>
      </w:pPr>
      <w:r>
        <w:rPr>
          <w:rFonts w:ascii="Times New Roman" w:hAnsi="Times New Roman" w:eastAsia="Times New Roman"/>
          <w:b/>
          <w:i/>
          <w:sz w:val="19"/>
        </w:rPr>
        <w:t>Table 5. Indonesia-focused 2023 platform comparison, US$ billions.</w:t>
      </w:r>
    </w:p>
    <w:tbl>
      <w:tblPr>
        <w:tblStyle w:val="TableGrid"/>
        <w:tblW w:type="auto" w:w="0"/>
        <w:jc w:val="center"/>
        <w:tblLayout w:type="fixed"/>
      </w:tblPr>
      <w:tblGrid>
        <w:gridCol w:w="2000"/>
        <w:gridCol w:w="1250"/>
        <w:gridCol w:w="1050"/>
        <w:gridCol w:w="1050"/>
        <w:gridCol w:w="1250"/>
        <w:gridCol w:w="2947"/>
      </w:tblGrid>
      <w:tr>
        <w:trPr>
          <w:tblHeader w:val="true"/>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Case</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Transaction value V</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Revenue R</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Wedge W</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Ecosystem Ratio E</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i w:val="0"/>
                <w:sz w:val="18"/>
              </w:rPr>
              <w:t>Evidence</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Grab Indonesia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5.381</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0.605</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4.776</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7.895x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Transaction value constructed</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Tokopedia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16.331</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0.405</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15.926</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39.296x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Issuer-reported pair</w:t>
            </w:r>
          </w:p>
        </w:tc>
      </w:tr>
      <w:tr>
        <w:trPr>
          <w:cantSplit/>
        </w:trPr>
        <w:tc>
          <w:tcPr>
            <w:vAlign w:val="top"/>
            <w:tcW w:w="200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Shopee Indonesia</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21.520</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2.152</w:t>
            </w:r>
          </w:p>
        </w:tc>
        <w:tc>
          <w:tcPr>
            <w:vAlign w:val="top"/>
            <w:tcW w:w="10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19.368</w:t>
            </w:r>
          </w:p>
        </w:tc>
        <w:tc>
          <w:tcPr>
            <w:vAlign w:val="top"/>
            <w:tcW w:w="1250"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9.000x</w:t>
            </w:r>
          </w:p>
        </w:tc>
        <w:tc>
          <w:tcPr>
            <w:vAlign w:val="top"/>
            <w:tcW w:w="2947" w:type="dxa"/>
            <w:tcMar>
              <w:top w:w="45" w:type="dxa"/>
              <w:start w:w="38" w:type="dxa"/>
              <w:bottom w:w="45" w:type="dxa"/>
              <w:end w:w="38" w:type="dxa"/>
              <w:left w:w="35" w:type="dxa"/>
              <w:right w:w="35" w:type="dxa"/>
            </w:tcMar>
          </w:tcPr>
          <w:p>
            <w:pPr>
              <w:keepNext/>
              <w:spacing w:before="0" w:after="0" w:line="240" w:lineRule="auto"/>
            </w:pPr>
            <w:r>
              <w:rPr>
                <w:rFonts w:ascii="Times New Roman" w:hAnsi="Times New Roman" w:eastAsia="Times New Roman"/>
                <w:b w:val="0"/>
                <w:i w:val="0"/>
                <w:sz w:val="18"/>
              </w:rPr>
              <w:t>Transaction value and revenue estimated</w:t>
            </w:r>
          </w:p>
        </w:tc>
      </w:tr>
      <w:tr>
        <w:trPr>
          <w:cantSplit/>
        </w:trPr>
        <w:tc>
          <w:tcPr>
            <w:vAlign w:val="top"/>
            <w:tcW w:w="200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Three platforms</w:t>
            </w:r>
          </w:p>
        </w:tc>
        <w:tc>
          <w:tcPr>
            <w:vAlign w:val="top"/>
            <w:tcW w:w="12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43.233</w:t>
            </w:r>
          </w:p>
        </w:tc>
        <w:tc>
          <w:tcPr>
            <w:vAlign w:val="top"/>
            <w:tcW w:w="10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3.162</w:t>
            </w:r>
          </w:p>
        </w:tc>
        <w:tc>
          <w:tcPr>
            <w:vAlign w:val="top"/>
            <w:tcW w:w="10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40.070</w:t>
            </w:r>
          </w:p>
        </w:tc>
        <w:tc>
          <w:tcPr>
            <w:vAlign w:val="top"/>
            <w:tcW w:w="1250"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12.671x</w:t>
            </w:r>
          </w:p>
        </w:tc>
        <w:tc>
          <w:tcPr>
            <w:vAlign w:val="top"/>
            <w:tcW w:w="2947" w:type="dxa"/>
            <w:tcMar>
              <w:top w:w="45" w:type="dxa"/>
              <w:start w:w="38" w:type="dxa"/>
              <w:bottom w:w="45" w:type="dxa"/>
              <w:end w:w="38" w:type="dxa"/>
              <w:left w:w="35" w:type="dxa"/>
              <w:right w:w="35" w:type="dxa"/>
            </w:tcMar>
          </w:tcPr>
          <w:p>
            <w:pPr>
              <w:keepNext w:val="0"/>
              <w:spacing w:before="0" w:after="0" w:line="240" w:lineRule="auto"/>
            </w:pPr>
            <w:r>
              <w:rPr>
                <w:rFonts w:ascii="Times New Roman" w:hAnsi="Times New Roman" w:eastAsia="Times New Roman"/>
                <w:b w:val="0"/>
                <w:i w:val="0"/>
                <w:sz w:val="18"/>
              </w:rPr>
              <w:t>Sum of three cases, not national total</w:t>
            </w:r>
          </w:p>
        </w:tc>
      </w:tr>
    </w:tbl>
    <w:p>
      <w:pPr>
        <w:keepLines/>
        <w:spacing w:before="100" w:after="110" w:line="257" w:lineRule="auto"/>
        <w:jc w:val="both"/>
      </w:pPr>
      <w:r>
        <w:rPr>
          <w:rFonts w:ascii="Times New Roman" w:hAnsi="Times New Roman" w:eastAsia="Times New Roman"/>
          <w:b w:val="0"/>
          <w:i w:val="0"/>
          <w:sz w:val="24"/>
        </w:rPr>
        <w:t>Table 5 reports that cross-section. Across the three platforms, US$43.23 billion of transaction value corresponds to US$3.16 billion of recognized revenue, a wedge of US$40.07 billion and a ratio of 13.7 to 1. The wedge is equivalent in magnitude to about 2.9 percent of Indonesia's 2023 nominal GDP of US$1.371 trillion (World Bank n.d.); the comparison is of magnitude only, since the wedge is transaction value rather than value added.</w:t>
      </w:r>
    </w:p>
    <w:p>
      <w:pPr>
        <w:spacing w:after="110" w:line="257" w:lineRule="auto"/>
        <w:jc w:val="both"/>
      </w:pPr>
      <w:r>
        <w:rPr>
          <w:rFonts w:ascii="Times New Roman" w:hAnsi="Times New Roman" w:eastAsia="Times New Roman"/>
          <w:b w:val="0"/>
          <w:i w:val="0"/>
          <w:sz w:val="24"/>
        </w:rPr>
        <w:t>Two ratios rest on construction. Shopee's 9.0 follows from an assumed company-wide monetization rate of 10 percent; Grab's 7.9 is its company-wide ratio. Neither provides independent Indonesian ratio evidence. Varying Shopee's rate from 9 to 11 percent puts the combined wedge between US$39.86 billion and US$40.29 billion; excluding any platform leaves at least US$20.70 billion.</w:t>
      </w:r>
    </w:p>
    <w:p>
      <w:pPr>
        <w:spacing w:after="110" w:line="257" w:lineRule="auto"/>
        <w:jc w:val="both"/>
      </w:pPr>
      <w:r>
        <w:rPr>
          <w:rFonts w:ascii="Times New Roman" w:hAnsi="Times New Roman" w:eastAsia="Times New Roman"/>
          <w:b w:val="0"/>
          <w:i w:val="0"/>
          <w:sz w:val="24"/>
        </w:rPr>
        <w:t>At the 2023 exchange rate, Blibli's and Bukalapak's reported transaction and revenue figures yield wedges of US$3.20 billion and US$10.50 billion. They are excluded from the total because their measures include online travel and Group-level activity. Their ratios, 43.4 and 36.0, sit close to Tokopedia's 39.3; the constructed ratios instead reflect company-wide monetization.</w:t>
      </w:r>
    </w:p>
    <w:p>
      <w:pPr>
        <w:keepNext w:val="0"/>
        <w:spacing w:after="110" w:line="257" w:lineRule="auto"/>
        <w:jc w:val="both"/>
      </w:pPr>
      <w:r>
        <w:rPr>
          <w:rFonts w:ascii="Times New Roman" w:hAnsi="Times New Roman" w:eastAsia="Times New Roman"/>
          <w:b w:val="0"/>
          <w:i w:val="0"/>
          <w:sz w:val="24"/>
        </w:rPr>
        <w:t>The relationship is not stable. Revenue grew faster in six of eight main-sample comparisons; the median absolute gap is 38.92 percentage points, with two reversals. Tokopedia's 53.2 percent revenue growth against an 8.9 percent transaction-value decline gives a 62.1-point divergence. Dropping the largest comparison leaves five of seven and a 15.74-point median; every leave-one-out sample retains a majority and a reversal. Adding Grab and Shopee gives ten of twelve, but those four comparisons track company-wide monetization. Figure 1 shows E for each platform; every series ends lower than it began, though not steadily.</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6058799" cy="2205647"/>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6058799" cy="2205647"/>
                    </a:xfrm>
                    <a:prstGeom prst="rect"/>
                  </pic:spPr>
                </pic:pic>
              </a:graphicData>
            </a:graphic>
          </wp:inline>
        </w:drawing>
      </w:r>
    </w:p>
    <w:p>
      <w:pPr>
        <w:keepNext w:val="0"/>
        <w:spacing w:before="40" w:after="30" w:line="240" w:lineRule="auto"/>
        <w:jc w:val="center"/>
      </w:pPr>
      <w:r>
        <w:rPr>
          <w:rFonts w:ascii="Times New Roman" w:hAnsi="Times New Roman" w:eastAsia="Times New Roman"/>
          <w:b/>
          <w:i/>
          <w:sz w:val="19"/>
        </w:rPr>
        <w:t>Figure 1. Ecosystem Ratio by platform, 2020–2025. Solid lines are issuer-reported pairs; dashed lines are constructed Indonesian series whose ratios equal Group ratios by construction.</w:t>
      </w:r>
    </w:p>
    <w:p>
      <w:pPr>
        <w:spacing w:after="110" w:line="257" w:lineRule="auto"/>
        <w:jc w:val="both"/>
      </w:pPr>
      <w:r>
        <w:rPr>
          <w:rFonts w:ascii="Times New Roman" w:hAnsi="Times New Roman" w:eastAsia="Times New Roman"/>
          <w:b w:val="0"/>
          <w:i w:val="0"/>
          <w:sz w:val="24"/>
        </w:rPr>
        <w:t>Tokopedia illustrates the separation. In 2022–2023, transaction value fell 8.9 percent while third-party net revenue rose 53.2 percent; 60.6 percent of the revenue increase reconciles to lower customer incentives and 39.4 percent to higher gross revenue. Its accounts show growth while its transactions show contraction. Blibli similarly reversed in 2024–2025: transaction value fell 1.89 percent and net revenue rose 12.07 percent. Its revenue components remain unreconciled.</w:t>
      </w:r>
    </w:p>
    <w:p>
      <w:pPr>
        <w:pStyle w:val="Heading2"/>
        <w:keepNext/>
        <w:spacing w:before="140" w:after="60"/>
        <w:jc w:val="left"/>
      </w:pPr>
      <w:r>
        <w:rPr>
          <w:rFonts w:ascii="Times New Roman" w:hAnsi="Times New Roman" w:eastAsia="Times New Roman"/>
          <w:b/>
          <w:i w:val="0"/>
          <w:sz w:val="24"/>
        </w:rPr>
        <w:t>5.2 Evidence Beyond Platform Revenue</w:t>
      </w:r>
    </w:p>
    <w:p>
      <w:pPr>
        <w:keepLines/>
        <w:spacing w:after="110" w:line="257" w:lineRule="auto"/>
        <w:jc w:val="both"/>
      </w:pPr>
      <w:r>
        <w:rPr>
          <w:rFonts w:ascii="Times New Roman" w:hAnsi="Times New Roman" w:eastAsia="Times New Roman"/>
          <w:b w:val="0"/>
          <w:i w:val="0"/>
          <w:sz w:val="24"/>
        </w:rPr>
        <w:t>National statistics give a different account of the same commerce, beginning with its level. BPS measures online sales reported by surveyed e-commerce businesses; Tokopedia reports GTV, while the external Shopee figure is a GMV estimate. For 2023, BPS places the marketplace component at Rp200.68 trillion, about US$13.2 billion, in its exclusive channel split, where marketplaces account for 18.2 percent of transaction value. Tokopedia's reported GTV and the external Shopee estimate total US$37.9 billion. Because channel attribution and reporting definitions differ, the records are not yet like-for-like. The thesis will reconcile those definitions before attributing any part of the difference to coverage.</w:t>
      </w:r>
    </w:p>
    <w:p>
      <w:pPr>
        <w:spacing w:after="110" w:line="257" w:lineRule="auto"/>
        <w:jc w:val="both"/>
      </w:pPr>
      <w:r>
        <w:rPr>
          <w:rFonts w:ascii="Times New Roman" w:hAnsi="Times New Roman" w:eastAsia="Times New Roman"/>
          <w:b w:val="0"/>
          <w:i w:val="0"/>
          <w:sz w:val="24"/>
        </w:rPr>
        <w:t>Growth can be compared more directly. Table 6 summarizes the evidence for H2–H4 and the payment context.</w:t>
      </w:r>
    </w:p>
    <w:p>
      <w:pPr>
        <w:keepNext/>
        <w:spacing w:before="80" w:after="70" w:line="240" w:lineRule="auto"/>
        <w:jc w:val="left"/>
      </w:pPr>
      <w:r>
        <w:rPr>
          <w:rFonts w:ascii="Times New Roman" w:hAnsi="Times New Roman" w:eastAsia="Times New Roman"/>
          <w:b/>
          <w:i/>
          <w:sz w:val="19"/>
        </w:rPr>
        <w:t>Table 6. Preliminary evidence beyond platform accounts.</w:t>
      </w:r>
    </w:p>
    <w:tbl>
      <w:tblPr>
        <w:tblStyle w:val="TableGrid"/>
        <w:tblW w:type="auto" w:w="0"/>
        <w:jc w:val="center"/>
        <w:tblLayout w:type="fixed"/>
      </w:tblPr>
      <w:tblGrid>
        <w:gridCol w:w="2050"/>
        <w:gridCol w:w="4450"/>
        <w:gridCol w:w="3047"/>
      </w:tblGrid>
      <w:tr>
        <w:trPr>
          <w:tblHeader w:val="true"/>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Question</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Preliminary evidence</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Interpretation</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Where does e-commerce growth come from?</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value +17.08%; estimated business count +15.31%; sales per business +1.54%. The business count accounts for 90.29% of the increase (70.95% under BPS's other count)</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Growth comes mainly from more businesses selling online (H2)</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Where does that growth occur?</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Marketplace channel +1.45%; other channels +20.57%; 98.46% of the increase is outside the marketplace channel</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Most measured growth occurs outside BPS's marketplace category (H4)</w:t>
            </w:r>
          </w:p>
        </w:tc>
      </w:tr>
      <w:tr>
        <w:trPr>
          <w:cantSplit/>
        </w:trPr>
        <w:tc>
          <w:tcPr>
            <w:vAlign w:val="top"/>
            <w:tcW w:w="20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Are marketplace use and financial records related?</w:t>
            </w:r>
          </w:p>
        </w:tc>
        <w:tc>
          <w:tcPr>
            <w:vAlign w:val="top"/>
            <w:tcW w:w="445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Complete financial statements: 28.63% of marketplace users versus 12.25% of non-marketplace users</w:t>
            </w:r>
          </w:p>
        </w:tc>
        <w:tc>
          <w:tcPr>
            <w:vAlign w:val="top"/>
            <w:tcW w:w="3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Marketplace participation is associated with stronger recordkeeping (H3)</w:t>
            </w:r>
          </w:p>
        </w:tc>
      </w:tr>
      <w:tr>
        <w:trPr>
          <w:cantSplit/>
        </w:trPr>
        <w:tc>
          <w:tcPr>
            <w:vAlign w:val="top"/>
            <w:tcW w:w="205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Do payment records show the same growth?</w:t>
            </w:r>
          </w:p>
        </w:tc>
        <w:tc>
          <w:tcPr>
            <w:vAlign w:val="top"/>
            <w:tcW w:w="445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BPS e-commerce +17.08%; electronic-money shopping +30.47%; mobile-banking payments and purchases +82.84%; Quick Response Code Indonesian Standard (QRIS) +186.98%</w:t>
            </w:r>
          </w:p>
        </w:tc>
        <w:tc>
          <w:tcPr>
            <w:vAlign w:val="top"/>
            <w:tcW w:w="30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Context only: payment measures grow 1.8 to 11 times as fast, and also reflect adoption and substitution</w:t>
            </w:r>
          </w:p>
        </w:tc>
      </w:tr>
    </w:tbl>
    <w:p>
      <w:pPr>
        <w:spacing w:before="120" w:after="110" w:line="257" w:lineRule="auto"/>
        <w:jc w:val="both"/>
      </w:pPr>
      <w:r>
        <w:rPr>
          <w:rFonts w:ascii="Times New Roman" w:hAnsi="Times New Roman" w:eastAsia="Times New Roman"/>
          <w:b w:val="0"/>
          <w:i w:val="0"/>
          <w:sz w:val="24"/>
        </w:rPr>
        <w:t>BPS also reports widespread use of non-marketplace channels. In 2023, 95.33 percent of e-commerce businesses used instant messaging. In its multiple-response measure, where a business can report several channels, social media accounted for 44.04 percent of transaction value and marketplaces for 32.74 percent; that measure is not comparable with the exclusive 18.2 percent split above. These figures describe the 2023 channel structure rather than the allocation of 2023–2024 growth. The business-count split is arithmetic and the recordkeeping result is an association.</w:t>
      </w:r>
    </w:p>
    <w:p>
      <w:pPr>
        <w:pStyle w:val="Heading2"/>
        <w:keepNext/>
        <w:spacing w:before="140" w:after="60"/>
        <w:jc w:val="left"/>
      </w:pPr>
      <w:r>
        <w:rPr>
          <w:rFonts w:ascii="Times New Roman" w:hAnsi="Times New Roman" w:eastAsia="Times New Roman"/>
          <w:b/>
          <w:i w:val="0"/>
          <w:sz w:val="24"/>
        </w:rPr>
        <w:t>5.3 Feasibility and Scope of the Preliminary Findings</w:t>
      </w:r>
    </w:p>
    <w:p>
      <w:pPr>
        <w:keepLines/>
        <w:spacing w:after="110" w:line="257" w:lineRule="auto"/>
        <w:jc w:val="both"/>
      </w:pPr>
      <w:r>
        <w:rPr>
          <w:rFonts w:ascii="Times New Roman" w:hAnsi="Times New Roman" w:eastAsia="Times New Roman"/>
          <w:b w:val="0"/>
          <w:i w:val="0"/>
          <w:sz w:val="24"/>
        </w:rPr>
        <w:t>The preliminary evidence supports each hypothesis: H1 through the six of eight comparisons in which revenue outgrew transaction value, H2 through the business-count share of growth, H3 through BPS's business-level comparison, and H4 through the different growth recorded within platforms and within the national channel split.</w:t>
      </w:r>
    </w:p>
    <w:p>
      <w:pPr>
        <w:spacing w:after="110" w:line="257" w:lineRule="auto"/>
        <w:jc w:val="both"/>
      </w:pPr>
      <w:r>
        <w:rPr>
          <w:rFonts w:ascii="Times New Roman" w:hAnsi="Times New Roman" w:eastAsia="Times New Roman"/>
          <w:b w:val="0"/>
          <w:i w:val="0"/>
          <w:sz w:val="24"/>
        </w:rPr>
        <w:t>Outside Indonesia, transaction value exceeds revenue in all eight businesses. In the 29 comparisons not affected by acquisitions or changes in reporting scope, revenue grew faster than transaction value in 22 and the measures moved in opposite directions in 4. The median gap is 7.1 percentage points, compared with 38.92 points in the Indonesian main sample. Among the marketplaces, monetization rates range from about 2.4 percent at Shopify to about 25 percent at Mercado Libre.</w:t>
      </w:r>
    </w:p>
    <w:p>
      <w:pPr>
        <w:spacing w:after="110" w:line="257" w:lineRule="auto"/>
        <w:jc w:val="both"/>
      </w:pPr>
      <w:r>
        <w:rPr>
          <w:rFonts w:ascii="Times New Roman" w:hAnsi="Times New Roman" w:eastAsia="Times New Roman"/>
          <w:b w:val="0"/>
          <w:i w:val="0"/>
          <w:sz w:val="24"/>
        </w:rPr>
        <w:t>PMK 37/2025 provides an administrative example. From 1 November 2026, the Directorate General of Taxes (DJP) requires designated marketplace operators to report seller-linked transactions and withhold tax. Those operators cannot yet be mapped directly to BPS's marketplace category; compliance and revenue effects remain outside this study.</w:t>
      </w:r>
    </w:p>
    <w:p>
      <w:pPr>
        <w:pStyle w:val="Heading1"/>
        <w:keepNext/>
        <w:spacing w:before="200" w:after="100"/>
        <w:jc w:val="left"/>
      </w:pPr>
      <w:r>
        <w:rPr>
          <w:rFonts w:ascii="Times New Roman" w:hAnsi="Times New Roman" w:eastAsia="Times New Roman"/>
          <w:b/>
          <w:i w:val="0"/>
          <w:sz w:val="24"/>
        </w:rPr>
        <w:t>6. Why the Problem Matters</w:t>
      </w:r>
    </w:p>
    <w:p>
      <w:pPr>
        <w:keepLines/>
        <w:spacing w:after="110" w:line="257" w:lineRule="auto"/>
        <w:jc w:val="both"/>
      </w:pPr>
      <w:r>
        <w:rPr>
          <w:rFonts w:ascii="Times New Roman" w:hAnsi="Times New Roman" w:eastAsia="Times New Roman"/>
          <w:b w:val="0"/>
          <w:i w:val="0"/>
          <w:sz w:val="24"/>
        </w:rPr>
        <w:t>Indonesia's digital economy is observed through platform accounts, transaction measures, national statistics and payment records, which disagree about scale and growth. Revenue alone can reverse the apparent direction of platform activity, while a marketplace measure can show a different trend from all e-commerce. The contribution is to identify which conclusions depend on the record selected and why no fixed conversion from platform revenue can recover the commerce underneath it.</w:t>
      </w:r>
    </w:p>
    <w:p>
      <w:pPr>
        <w:pStyle w:val="Heading1"/>
        <w:keepNext/>
        <w:spacing w:before="200" w:after="100"/>
        <w:jc w:val="left"/>
      </w:pPr>
      <w:r>
        <w:rPr>
          <w:rFonts w:ascii="Times New Roman" w:hAnsi="Times New Roman" w:eastAsia="Times New Roman"/>
          <w:b/>
          <w:i w:val="0"/>
          <w:sz w:val="24"/>
        </w:rPr>
        <w:t>7. Limitations and Robustness</w:t>
      </w:r>
    </w:p>
    <w:p>
      <w:pPr>
        <w:keepLines/>
        <w:spacing w:after="110" w:line="257" w:lineRule="auto"/>
        <w:jc w:val="both"/>
      </w:pPr>
      <w:r>
        <w:rPr>
          <w:rFonts w:ascii="Times New Roman" w:hAnsi="Times New Roman" w:eastAsia="Times New Roman"/>
          <w:b w:val="0"/>
          <w:i w:val="0"/>
          <w:sz w:val="24"/>
        </w:rPr>
        <w:t>The evidence is descriptive. The main sample has three platforms, 11 platform-years and 8 comparisons, supporting description rather than statistical inference. Scope differs: Tokopedia is observed for two years, Blibli includes online travel, and Bukalapak reports at Group level. Grab and Shopee are constructed, their ratios contain no independent Indonesian information, and Shopee's revenue uses an assumed monetization rate. Section 5.2 also compares differently defined records whose disagreement is measured but not yet reconciled.</w:t>
      </w:r>
    </w:p>
    <w:p>
      <w:pPr>
        <w:spacing w:after="110" w:line="257" w:lineRule="auto"/>
        <w:jc w:val="both"/>
      </w:pPr>
      <w:r>
        <w:rPr>
          <w:rFonts w:ascii="Times New Roman" w:hAnsi="Times New Roman" w:eastAsia="Times New Roman"/>
          <w:b w:val="0"/>
          <w:i w:val="0"/>
          <w:sz w:val="24"/>
        </w:rPr>
        <w:t>Table 7 pairs each supported conclusion with what it does not establish.</w:t>
      </w:r>
    </w:p>
    <w:p>
      <w:pPr>
        <w:keepNext/>
        <w:spacing w:before="80" w:after="70" w:line="240" w:lineRule="auto"/>
        <w:jc w:val="left"/>
      </w:pPr>
      <w:r>
        <w:rPr>
          <w:rFonts w:ascii="Times New Roman" w:hAnsi="Times New Roman" w:eastAsia="Times New Roman"/>
          <w:b/>
          <w:i/>
          <w:sz w:val="19"/>
        </w:rPr>
        <w:t>Table 7. Main inference boundaries.</w:t>
      </w:r>
    </w:p>
    <w:tbl>
      <w:tblPr>
        <w:tblStyle w:val="TableGrid"/>
        <w:tblW w:type="auto" w:w="0"/>
        <w:jc w:val="center"/>
        <w:tblLayout w:type="fixed"/>
      </w:tblPr>
      <w:tblGrid>
        <w:gridCol w:w="4500"/>
        <w:gridCol w:w="5047"/>
      </w:tblGrid>
      <w:tr>
        <w:trPr>
          <w:tblHeader w:val="true"/>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supports</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Does not by itself establish</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 E, and D describe the size and movement of the wedge.</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Participant profit, taxable income, unpaid tax, tax evasion, or missing GDP.</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Issuer-reported pairs show revenue and transaction value moving apart within platforms.</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Independent Indonesian ratio evidence from the constructed Grab and Shopee series.</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Disclosed revenue components reconcile selected movements in the wedge.</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A causal effect of incentives, monetization, or accounting choices.</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 evidence describes the sources and channels of e-commerce growth and recordkeeping associations.</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Causal business entry, productivity effects, or marketplace-induced formalization.</w:t>
            </w:r>
          </w:p>
        </w:tc>
      </w:tr>
      <w:tr>
        <w:trPr>
          <w:cantSplit/>
        </w:trPr>
        <w:tc>
          <w:tcPr>
            <w:vAlign w:val="top"/>
            <w:tcW w:w="45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Platform, BPS and payment records disagree in level and growth.</w:t>
            </w:r>
          </w:p>
        </w:tc>
        <w:tc>
          <w:tcPr>
            <w:vAlign w:val="top"/>
            <w:tcW w:w="50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Which record, if any, contains measurement error, or that payment values measure sales.</w:t>
            </w:r>
          </w:p>
        </w:tc>
      </w:tr>
      <w:tr>
        <w:trPr>
          <w:cantSplit/>
        </w:trPr>
        <w:tc>
          <w:tcPr>
            <w:vAlign w:val="top"/>
            <w:tcW w:w="45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PMK 37/2025 draws on designated operators' transaction records.</w:t>
            </w:r>
          </w:p>
        </w:tc>
        <w:tc>
          <w:tcPr>
            <w:vAlign w:val="top"/>
            <w:tcW w:w="50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Its coverage of the digital economy, or a compliance or tax-revenue effect.</w:t>
            </w:r>
          </w:p>
        </w:tc>
      </w:tr>
    </w:tbl>
    <w:p>
      <w:pPr>
        <w:spacing w:before="120" w:after="110" w:line="257" w:lineRule="auto"/>
        <w:jc w:val="both"/>
      </w:pPr>
      <w:r>
        <w:rPr>
          <w:rFonts w:ascii="Times New Roman" w:hAnsi="Times New Roman" w:eastAsia="Times New Roman"/>
          <w:b w:val="0"/>
          <w:i w:val="0"/>
          <w:sz w:val="24"/>
        </w:rPr>
        <w:t>Robustness is reported as sensitivity ranges: Shopee's assumed rate is varied, each platform is excluded in turn, the largest comparison is dropped, and the longitudinal result is restricted to issuer-reported pairs.</w:t>
      </w:r>
    </w:p>
    <w:p>
      <w:pPr>
        <w:pStyle w:val="Heading1"/>
        <w:keepNext/>
        <w:spacing w:before="200" w:after="100"/>
        <w:jc w:val="left"/>
      </w:pPr>
      <w:r>
        <w:rPr>
          <w:rFonts w:ascii="Times New Roman" w:hAnsi="Times New Roman" w:eastAsia="Times New Roman"/>
          <w:b/>
          <w:i w:val="0"/>
          <w:sz w:val="24"/>
        </w:rPr>
        <w:t>8. Next Steps</w:t>
      </w:r>
    </w:p>
    <w:p>
      <w:pPr>
        <w:keepLines/>
        <w:spacing w:after="110" w:line="257" w:lineRule="auto"/>
        <w:jc w:val="both"/>
      </w:pPr>
      <w:r>
        <w:rPr>
          <w:rFonts w:ascii="Times New Roman" w:hAnsi="Times New Roman" w:eastAsia="Times New Roman"/>
          <w:b w:val="0"/>
          <w:i w:val="0"/>
          <w:sz w:val="24"/>
        </w:rPr>
        <w:t>The data and empirical framework are assembled. The remaining work will reconcile the definitions behind the BPS and platform levels, divide movements in the wedge into transaction-volume and monetization effects, test alternative admission rules, and complete the robustness checks. Table 8 sets out that schedule.</w:t>
      </w:r>
    </w:p>
    <w:p>
      <w:pPr>
        <w:keepNext/>
        <w:spacing w:before="80" w:after="70" w:line="240" w:lineRule="auto"/>
        <w:jc w:val="left"/>
      </w:pPr>
      <w:r>
        <w:rPr>
          <w:rFonts w:ascii="Times New Roman" w:hAnsi="Times New Roman" w:eastAsia="Times New Roman"/>
          <w:b/>
          <w:i/>
          <w:sz w:val="19"/>
        </w:rPr>
        <w:t>Table 8. Planned work toward the final thesis.</w:t>
      </w:r>
    </w:p>
    <w:tbl>
      <w:tblPr>
        <w:tblStyle w:val="TableGrid"/>
        <w:tblW w:type="auto" w:w="0"/>
        <w:jc w:val="center"/>
        <w:tblLayout w:type="fixed"/>
      </w:tblPr>
      <w:tblGrid>
        <w:gridCol w:w="2232"/>
        <w:gridCol w:w="7315"/>
      </w:tblGrid>
      <w:tr>
        <w:trPr>
          <w:tblHeader w:val="true"/>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Period</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Planned work</w:t>
            </w:r>
          </w:p>
        </w:tc>
      </w:tr>
      <w:tr>
        <w:trPr>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Proposal stage</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Incorporate examination feedback; finalize the treatment of broader-scope and constructed series.</w:t>
            </w:r>
          </w:p>
        </w:tc>
      </w:tr>
      <w:tr>
        <w:trPr>
          <w:cantSplit/>
        </w:trPr>
        <w:tc>
          <w:tcPr>
            <w:vAlign w:val="top"/>
            <w:tcW w:w="2232"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October–November 2026</w:t>
            </w:r>
          </w:p>
        </w:tc>
        <w:tc>
          <w:tcPr>
            <w:vAlign w:val="top"/>
            <w:tcW w:w="7315"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Reconcile BPS and platform definitions; divide wedge movements into volume and monetization effects; complete robustness checks; finalize tables and figures.</w:t>
            </w:r>
          </w:p>
        </w:tc>
      </w:tr>
      <w:tr>
        <w:trPr>
          <w:cantSplit/>
        </w:trPr>
        <w:tc>
          <w:tcPr>
            <w:vAlign w:val="top"/>
            <w:tcW w:w="2232"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Before the final defense</w:t>
            </w:r>
          </w:p>
        </w:tc>
        <w:tc>
          <w:tcPr>
            <w:vAlign w:val="top"/>
            <w:tcW w:w="7315"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Complete the full manuscript and the final citation and consistency review.</w:t>
            </w:r>
          </w:p>
        </w:tc>
      </w:tr>
    </w:tbl>
    <w:p>
      <w:pPr>
        <w:keepLines/>
        <w:spacing w:before="120" w:after="110" w:line="257" w:lineRule="auto"/>
        <w:jc w:val="both"/>
      </w:pPr>
      <w:r>
        <w:rPr>
          <w:rFonts w:ascii="Times New Roman" w:hAnsi="Times New Roman" w:eastAsia="Times New Roman"/>
          <w:b w:val="0"/>
          <w:i w:val="0"/>
          <w:sz w:val="24"/>
        </w:rPr>
        <w:t>Indonesia's digital economy is observed through several records that measure different objects. The preliminary evidence shows that those records disagree about its size, growth and, in some cases, direction. This thesis measures that disagreement, tests whether the relationship between revenue and transaction value remains stable, and identifies which conclusions depend on the record chosen.</w:t>
      </w:r>
    </w:p>
    <w:p>
      <w:pPr>
        <w:pStyle w:val="Heading1"/>
        <w:keepNext/>
        <w:spacing w:before="200" w:after="100"/>
        <w:jc w:val="left"/>
      </w:pPr>
      <w:r>
        <w:rPr>
          <w:rFonts w:ascii="Times New Roman" w:hAnsi="Times New Roman" w:eastAsia="Times New Roman"/>
          <w:b/>
          <w:i w:val="0"/>
          <w:sz w:val="24"/>
        </w:rPr>
        <w:t>Appendix A. Variables and Data Sources</w:t>
      </w:r>
    </w:p>
    <w:p>
      <w:pPr>
        <w:keepNext/>
        <w:keepLines/>
        <w:spacing w:before="80" w:after="70" w:line="240" w:lineRule="auto"/>
        <w:jc w:val="left"/>
      </w:pPr>
      <w:r>
        <w:rPr>
          <w:rFonts w:ascii="Times New Roman" w:hAnsi="Times New Roman" w:eastAsia="Times New Roman"/>
          <w:b/>
          <w:i/>
          <w:sz w:val="19"/>
        </w:rPr>
        <w:t>Table A1. Variable definitions and sources.</w:t>
      </w:r>
    </w:p>
    <w:tbl>
      <w:tblPr>
        <w:tblStyle w:val="TableGrid"/>
        <w:tblW w:type="auto" w:w="0"/>
        <w:jc w:val="center"/>
        <w:tblLayout w:type="fixed"/>
      </w:tblPr>
      <w:tblGrid>
        <w:gridCol w:w="2400"/>
        <w:gridCol w:w="4400"/>
        <w:gridCol w:w="2747"/>
      </w:tblGrid>
      <w:tr>
        <w:trPr>
          <w:tblHeader w:val="true"/>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Variable</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Definition</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Source</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V</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Transaction value processed through the platform in the period</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disclosure, or construction (Table 3)</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Revenue the platform recognizes for the same period and business scope</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disclosure, or construction (Table 3)</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 = R / V</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Monetization rate: the share of transaction value recognized as revenue</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 = V − R</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Invisible wedge: transaction value outside recognized revenue</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 = (V − R) / R = 1/t − 1</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Ecosystem Ratio: wedge per unit of revenue; constructed for this study</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w:t>
            </w:r>
          </w:p>
        </w:tc>
      </w:tr>
      <w:tr>
        <w:trPr>
          <w:cantSplit/>
        </w:trPr>
        <w:tc>
          <w:tcPr>
            <w:vAlign w:val="top"/>
            <w:tcW w:w="2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 = g(R) − g(V)</w:t>
            </w:r>
          </w:p>
        </w:tc>
        <w:tc>
          <w:tcPr>
            <w:vAlign w:val="top"/>
            <w:tcW w:w="44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Growth divergence: revenue growth minus transaction-value growth</w:t>
            </w:r>
          </w:p>
        </w:tc>
        <w:tc>
          <w:tcPr>
            <w:vAlign w:val="top"/>
            <w:tcW w:w="27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Computed from consecutive years</w:t>
            </w:r>
          </w:p>
        </w:tc>
      </w:tr>
      <w:tr>
        <w:trPr>
          <w:cantSplit/>
        </w:trPr>
        <w:tc>
          <w:tcPr>
            <w:vAlign w:val="top"/>
            <w:tcW w:w="24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S = N × A</w:t>
            </w:r>
          </w:p>
        </w:tc>
        <w:tc>
          <w:tcPr>
            <w:vAlign w:val="top"/>
            <w:tcW w:w="44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National e-commerce value: number of businesses times sales per business</w:t>
            </w:r>
          </w:p>
        </w:tc>
        <w:tc>
          <w:tcPr>
            <w:vAlign w:val="top"/>
            <w:tcW w:w="27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BPS-Statistics Indonesia</w:t>
            </w:r>
          </w:p>
        </w:tc>
      </w:tr>
    </w:tbl>
    <w:p>
      <w:pPr>
        <w:keepLines/>
        <w:spacing w:before="120" w:after="110" w:line="257" w:lineRule="auto"/>
        <w:jc w:val="both"/>
      </w:pPr>
      <w:r>
        <w:rPr>
          <w:rFonts w:ascii="Times New Roman" w:hAnsi="Times New Roman" w:eastAsia="Times New Roman"/>
          <w:b w:val="0"/>
          <w:i w:val="0"/>
          <w:sz w:val="24"/>
        </w:rPr>
        <w:t>Table A1 defines each variable and says where it comes from. Table A2 traces each record to the filings and publications behind it.</w:t>
      </w:r>
    </w:p>
    <w:p>
      <w:pPr>
        <w:keepNext/>
        <w:spacing w:before="80" w:after="70" w:line="240" w:lineRule="auto"/>
        <w:jc w:val="left"/>
      </w:pPr>
      <w:r>
        <w:rPr>
          <w:rFonts w:ascii="Times New Roman" w:hAnsi="Times New Roman" w:eastAsia="Times New Roman"/>
          <w:b/>
          <w:i/>
          <w:sz w:val="19"/>
        </w:rPr>
        <w:t>Table A2. Source lineage by evidence type.</w:t>
      </w:r>
    </w:p>
    <w:tbl>
      <w:tblPr>
        <w:tblStyle w:val="TableGrid"/>
        <w:tblW w:type="auto" w:w="0"/>
        <w:jc w:val="center"/>
        <w:tblLayout w:type="fixed"/>
      </w:tblPr>
      <w:tblGrid>
        <w:gridCol w:w="2000"/>
        <w:gridCol w:w="2100"/>
        <w:gridCol w:w="2900"/>
        <w:gridCol w:w="2547"/>
      </w:tblGrid>
      <w:tr>
        <w:trPr>
          <w:tblHeader w:val="true"/>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Evidence type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Platform / source</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Transaction-value source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i w:val="0"/>
                <w:sz w:val="18"/>
              </w:rPr>
              <w:t>Revenue / comparison source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Issuer-reported, Indonesia-aligned</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Tokopedia e-commerce</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GoTo annual report, e-commerce segment metrics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GoTo annual report, segment note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Issuer-reported, broader scope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Blibli third-party business</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Global Digital Niaga prospectus and results releases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Same issuer filings</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Issuer-reported, broader scope</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Bukalapak Group</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Bukalapak annual and sustainability reports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Same issuer filings</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Requires construction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Derived from Indonesia revenue and Group monetization rate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Grab Form 20-F</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Requires construction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Shopee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Momentum Works Southeast Asia e-commerce estimate</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Derived from Sea Limited Form 20-F</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National statistics</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BPS-Statistics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E-Commerce Statistics 2023 and 2024; marketplace study</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Business-count, channel and recordkeeping evidence</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Payment statistics</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Bank Indonesia</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Payment System Statistics and QRIS reports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Growth-rate comparison only</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Exchange rate and GDP</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World Bank</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World Development Indicators, 2023</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Converts 2023 rupiah values; GDP scale comparison</w:t>
            </w:r>
          </w:p>
        </w:tc>
      </w:tr>
      <w:tr>
        <w:trPr>
          <w:cantSplit/>
        </w:trPr>
        <w:tc>
          <w:tcPr>
            <w:vAlign w:val="top"/>
            <w:tcW w:w="20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External corroboration</w:t>
            </w:r>
          </w:p>
        </w:tc>
        <w:tc>
          <w:tcPr>
            <w:vAlign w:val="top"/>
            <w:tcW w:w="21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eBay, Etsy, Jumia, Mercado Libre, Rakuten, Sea, Shopify, Zalando</w:t>
            </w:r>
          </w:p>
        </w:tc>
        <w:tc>
          <w:tcPr>
            <w:vAlign w:val="top"/>
            <w:tcW w:w="2900"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transaction measures</w:t>
            </w:r>
          </w:p>
        </w:tc>
        <w:tc>
          <w:tcPr>
            <w:vAlign w:val="top"/>
            <w:tcW w:w="2547" w:type="dxa"/>
            <w:tcMar>
              <w:top w:w="45" w:type="dxa"/>
              <w:start w:w="38" w:type="dxa"/>
              <w:bottom w:w="45" w:type="dxa"/>
              <w:end w:w="38" w:type="dxa"/>
              <w:left w:w="55" w:type="dxa"/>
              <w:right w:w="55" w:type="dxa"/>
            </w:tcMar>
          </w:tcPr>
          <w:p>
            <w:pPr>
              <w:keepNext/>
              <w:spacing w:before="0" w:after="0" w:line="240" w:lineRule="auto"/>
            </w:pPr>
            <w:r>
              <w:rPr>
                <w:rFonts w:ascii="Times New Roman" w:hAnsi="Times New Roman" w:eastAsia="Times New Roman"/>
                <w:b w:val="0"/>
                <w:i w:val="0"/>
                <w:sz w:val="18"/>
              </w:rPr>
              <w:t>Issuer revenue measures</w:t>
            </w:r>
          </w:p>
        </w:tc>
      </w:tr>
      <w:tr>
        <w:trPr>
          <w:cantSplit/>
        </w:trPr>
        <w:tc>
          <w:tcPr>
            <w:vAlign w:val="top"/>
            <w:tcW w:w="20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Regulatory</w:t>
            </w:r>
          </w:p>
        </w:tc>
        <w:tc>
          <w:tcPr>
            <w:vAlign w:val="top"/>
            <w:tcW w:w="21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PMK 37/2025; DJP</w:t>
            </w:r>
          </w:p>
        </w:tc>
        <w:tc>
          <w:tcPr>
            <w:vAlign w:val="top"/>
            <w:tcW w:w="2900"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Ministry of Finance / Directorate General of Taxes</w:t>
            </w:r>
          </w:p>
        </w:tc>
        <w:tc>
          <w:tcPr>
            <w:vAlign w:val="top"/>
            <w:tcW w:w="2547" w:type="dxa"/>
            <w:tcMar>
              <w:top w:w="45" w:type="dxa"/>
              <w:start w:w="38" w:type="dxa"/>
              <w:bottom w:w="45" w:type="dxa"/>
              <w:end w:w="38" w:type="dxa"/>
              <w:left w:w="55" w:type="dxa"/>
              <w:right w:w="55" w:type="dxa"/>
            </w:tcMar>
          </w:tcPr>
          <w:p>
            <w:pPr>
              <w:keepNext w:val="0"/>
              <w:spacing w:before="0" w:after="0" w:line="240" w:lineRule="auto"/>
            </w:pPr>
            <w:r>
              <w:rPr>
                <w:rFonts w:ascii="Times New Roman" w:hAnsi="Times New Roman" w:eastAsia="Times New Roman"/>
                <w:b w:val="0"/>
                <w:i w:val="0"/>
                <w:sz w:val="18"/>
              </w:rPr>
              <w:t>Institutional architecture only</w:t>
            </w:r>
          </w:p>
        </w:tc>
      </w:tr>
    </w:tbl>
    <w:p>
      <w:pPr>
        <w:keepLines/>
        <w:spacing w:before="100" w:after="110" w:line="257" w:lineRule="auto"/>
        <w:jc w:val="both"/>
      </w:pPr>
      <w:r>
        <w:rPr>
          <w:rFonts w:ascii="Times New Roman" w:hAnsi="Times New Roman" w:eastAsia="Times New Roman"/>
          <w:b w:val="0"/>
          <w:i w:val="0"/>
          <w:sz w:val="24"/>
        </w:rPr>
        <w:t>Every figure used in this proposal traces to a named file and locator in the accompanying data package.</w:t>
      </w:r>
    </w:p>
    <w:p>
      <w:pPr>
        <w:pStyle w:val="Heading1"/>
        <w:keepNext/>
        <w:pageBreakBefore/>
        <w:spacing w:before="160" w:after="100"/>
        <w:jc w:val="left"/>
      </w:pPr>
      <w:r>
        <w:rPr>
          <w:rFonts w:ascii="Times New Roman" w:hAnsi="Times New Roman" w:cs="Times New Roman" w:eastAsia="Times New Roman"/>
          <w:b/>
          <w:sz w:val="24"/>
        </w:rPr>
        <w:t>References</w:t>
      </w:r>
    </w:p>
    <w:p>
      <w:pPr>
        <w:pStyle w:val="Reference"/>
        <w:keepNext/>
        <w:keepLines/>
        <w:spacing w:before="0" w:after="12" w:line="240" w:lineRule="auto"/>
        <w:ind w:left="216" w:hanging="216"/>
        <w:jc w:val="left"/>
      </w:pPr>
      <w:r>
        <w:rPr>
          <w:rFonts w:ascii="Times New Roman" w:hAnsi="Times New Roman" w:cs="Times New Roman" w:eastAsia="Times New Roman"/>
          <w:sz w:val="21"/>
        </w:rPr>
        <w:t>Ahmad, N., &amp; Schreyer, P. (2016). Measuring GDP in a Digitalised Economy. OECD Statistics Working Papers 2016/07.</w:t>
      </w:r>
    </w:p>
    <w:p>
      <w:pPr>
        <w:pStyle w:val="Reference"/>
        <w:keepLines/>
        <w:spacing w:before="0" w:after="12" w:line="240" w:lineRule="auto"/>
        <w:ind w:left="216" w:hanging="216"/>
        <w:jc w:val="left"/>
      </w:pPr>
      <w:r>
        <w:rPr>
          <w:rFonts w:ascii="Times New Roman" w:hAnsi="Times New Roman" w:cs="Times New Roman" w:eastAsia="Times New Roman"/>
          <w:sz w:val="21"/>
        </w:rPr>
        <w:t>Armstrong, M. (2006). Competition in two-sided markets. RAND Journal of Economics, 37(3), 668-691.</w:t>
      </w:r>
    </w:p>
    <w:p>
      <w:pPr>
        <w:pStyle w:val="Reference"/>
        <w:spacing w:before="0" w:after="12" w:line="240" w:lineRule="auto"/>
        <w:ind w:left="216" w:hanging="216"/>
        <w:jc w:val="left"/>
      </w:pPr>
      <w:r>
        <w:rPr>
          <w:rFonts w:ascii="Times New Roman" w:hAnsi="Times New Roman" w:cs="Times New Roman" w:eastAsia="Times New Roman"/>
          <w:sz w:val="21"/>
        </w:rPr>
        <w:t>Bank Indonesia. (2025). Payment System Statistics (SPIP) and QRIS reports. Jakarta: Bank Indonesia.</w:t>
      </w:r>
    </w:p>
    <w:p>
      <w:pPr>
        <w:pStyle w:val="Reference"/>
        <w:spacing w:before="0" w:after="12" w:line="240" w:lineRule="auto"/>
        <w:ind w:left="216" w:hanging="216"/>
        <w:jc w:val="left"/>
      </w:pPr>
      <w:r>
        <w:rPr>
          <w:rFonts w:ascii="Times New Roman" w:hAnsi="Times New Roman" w:cs="Times New Roman" w:eastAsia="Times New Roman"/>
          <w:sz w:val="21"/>
        </w:rPr>
        <w:t>Barrios, J. M., Hochberg, Y. V., &amp; Yi, H. (2022). Launching with a parachute: The gig economy and new business formation. Journal of Financial Economics, 144(1), 22-43.</w:t>
      </w:r>
    </w:p>
    <w:p>
      <w:pPr>
        <w:pStyle w:val="Reference"/>
        <w:spacing w:before="0" w:after="12" w:line="240" w:lineRule="auto"/>
        <w:ind w:left="216" w:hanging="216"/>
        <w:jc w:val="left"/>
      </w:pPr>
      <w:r>
        <w:rPr>
          <w:rFonts w:ascii="Times New Roman" w:hAnsi="Times New Roman" w:cs="Times New Roman" w:eastAsia="Times New Roman"/>
          <w:sz w:val="21"/>
        </w:rPr>
        <w:t>Berg, T., Burg, V., Gombovic, A., &amp; Puri, M. (2020). On the rise of FinTechs: Credit scoring using digital footprints. Review of Financial Studies, 33(7), 2845-2897.</w:t>
      </w:r>
    </w:p>
    <w:p>
      <w:pPr>
        <w:pStyle w:val="Reference"/>
        <w:spacing w:before="0" w:after="12" w:line="240" w:lineRule="auto"/>
        <w:ind w:left="216" w:hanging="216"/>
        <w:jc w:val="left"/>
      </w:pPr>
      <w:r>
        <w:rPr>
          <w:rFonts w:ascii="Times New Roman" w:hAnsi="Times New Roman" w:cs="Times New Roman" w:eastAsia="Times New Roman"/>
          <w:sz w:val="21"/>
        </w:rPr>
        <w:t>BPS-Statistics Indonesia. (2025). E-Commerce Statistics 2023 and 2024. Jakarta: BPS.</w:t>
      </w:r>
    </w:p>
    <w:p>
      <w:pPr>
        <w:pStyle w:val="Reference"/>
        <w:spacing w:before="0" w:after="12" w:line="240" w:lineRule="auto"/>
        <w:ind w:left="216" w:hanging="216"/>
        <w:jc w:val="left"/>
      </w:pPr>
      <w:r>
        <w:rPr>
          <w:rFonts w:ascii="Times New Roman" w:hAnsi="Times New Roman" w:cs="Times New Roman" w:eastAsia="Times New Roman"/>
          <w:sz w:val="21"/>
        </w:rPr>
        <w:t>Caillaud, B., &amp; Jullien, B. (2003). Chicken and egg: Competition among intermediation service providers. RAND Journal of Economics, 34(2), 309-328.</w:t>
      </w:r>
    </w:p>
    <w:p>
      <w:pPr>
        <w:pStyle w:val="Reference"/>
        <w:spacing w:before="0" w:after="12" w:line="240" w:lineRule="auto"/>
        <w:ind w:left="216" w:hanging="216"/>
        <w:jc w:val="left"/>
      </w:pPr>
      <w:r>
        <w:rPr>
          <w:rFonts w:ascii="Times New Roman" w:hAnsi="Times New Roman" w:cs="Times New Roman" w:eastAsia="Times New Roman"/>
          <w:sz w:val="21"/>
        </w:rPr>
        <w:t>De Franco, G., Kothari, S. P., &amp; Verdi, R. S. (2011). The benefits of financial statement comparability. Journal of Accounting Research, 49(4), 895-931.</w:t>
      </w:r>
    </w:p>
    <w:p>
      <w:pPr>
        <w:pStyle w:val="Reference"/>
        <w:spacing w:before="0" w:after="12" w:line="240" w:lineRule="auto"/>
        <w:ind w:left="216" w:hanging="216"/>
        <w:jc w:val="left"/>
      </w:pPr>
      <w:r>
        <w:rPr>
          <w:rFonts w:ascii="Times New Roman" w:hAnsi="Times New Roman" w:cs="Times New Roman" w:eastAsia="Times New Roman"/>
          <w:sz w:val="21"/>
        </w:rPr>
        <w:t>Denes, M. R., Lagaras, S., &amp; Tsoutsoura, M. (2025). Entrepreneurship and the gig economy: Evidence from U.S. tax returns. Journal of Financial Economics, 173, 104156.</w:t>
      </w:r>
    </w:p>
    <w:p>
      <w:pPr>
        <w:pStyle w:val="Reference"/>
        <w:spacing w:before="0" w:after="12" w:line="240" w:lineRule="auto"/>
        <w:ind w:left="216" w:hanging="216"/>
        <w:jc w:val="left"/>
      </w:pPr>
      <w:r>
        <w:rPr>
          <w:rFonts w:ascii="Times New Roman" w:hAnsi="Times New Roman" w:cs="Times New Roman" w:eastAsia="Times New Roman"/>
          <w:sz w:val="21"/>
        </w:rPr>
        <w:t>European Union. (2021). Council Directive (EU) 2021/514 amending Directive 2011/16/EU (DAC7).</w:t>
      </w:r>
    </w:p>
    <w:p>
      <w:pPr>
        <w:pStyle w:val="Reference"/>
        <w:spacing w:before="0" w:after="12" w:line="240" w:lineRule="auto"/>
        <w:ind w:left="216" w:hanging="216"/>
        <w:jc w:val="left"/>
      </w:pPr>
      <w:r>
        <w:rPr>
          <w:rFonts w:ascii="Times New Roman" w:hAnsi="Times New Roman" w:cs="Times New Roman" w:eastAsia="Times New Roman"/>
          <w:sz w:val="21"/>
        </w:rPr>
        <w:t>Evans, D. S., &amp; Schmalensee, R. (2016). Matchmakers: The New Economics of Multisided Platforms. Boston: Harvard Business Review Press.</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(2020). e-Conomy SEA 2020: At Full Velocity.</w:t>
      </w:r>
    </w:p>
    <w:p>
      <w:pPr>
        <w:pStyle w:val="Reference"/>
        <w:spacing w:before="0" w:after="12" w:line="240" w:lineRule="auto"/>
        <w:ind w:left="216" w:hanging="216"/>
        <w:jc w:val="left"/>
      </w:pPr>
      <w:r>
        <w:rPr>
          <w:rFonts w:ascii="Times New Roman" w:hAnsi="Times New Roman" w:cs="Times New Roman" w:eastAsia="Times New Roman"/>
          <w:sz w:val="21"/>
        </w:rPr>
        <w:t>Google, Temasek, &amp; Bain &amp; Company. (2024). e-Conomy SEA 2024: Profits on the Rise.</w:t>
      </w:r>
    </w:p>
    <w:p>
      <w:pPr>
        <w:pStyle w:val="Reference"/>
        <w:spacing w:before="0" w:after="12" w:line="240" w:lineRule="auto"/>
        <w:ind w:left="216" w:hanging="216"/>
        <w:jc w:val="left"/>
      </w:pPr>
      <w:r>
        <w:rPr>
          <w:rFonts w:ascii="Times New Roman" w:hAnsi="Times New Roman" w:cs="Times New Roman" w:eastAsia="Times New Roman"/>
          <w:sz w:val="21"/>
        </w:rPr>
        <w:t>Hagiu, A., &amp; Wright, J. (2015). Multi-sided platforms. International Journal of Industrial Organization, 43, 162-174.</w:t>
      </w:r>
    </w:p>
    <w:p>
      <w:pPr>
        <w:pStyle w:val="Reference"/>
        <w:spacing w:before="0" w:after="12" w:line="240" w:lineRule="auto"/>
        <w:ind w:left="216" w:hanging="216"/>
        <w:jc w:val="left"/>
      </w:pPr>
      <w:r>
        <w:rPr>
          <w:rFonts w:ascii="Times New Roman" w:hAnsi="Times New Roman" w:cs="Times New Roman" w:eastAsia="Times New Roman"/>
          <w:sz w:val="21"/>
        </w:rPr>
        <w:t>International Accounting Standards Board. (2014). IFRS 15: Revenue from Contracts with Customers.</w:t>
      </w:r>
    </w:p>
    <w:p>
      <w:pPr>
        <w:pStyle w:val="Reference"/>
        <w:spacing w:before="0" w:after="12" w:line="240" w:lineRule="auto"/>
        <w:ind w:left="216" w:hanging="216"/>
        <w:jc w:val="left"/>
      </w:pPr>
      <w:r>
        <w:rPr>
          <w:rFonts w:ascii="Times New Roman" w:hAnsi="Times New Roman" w:cs="Times New Roman" w:eastAsia="Times New Roman"/>
          <w:sz w:val="21"/>
        </w:rPr>
        <w:t>International Monetary Fund. (2018). Measuring the Digital Economy. IMF Policy Paper.</w:t>
      </w:r>
    </w:p>
    <w:p>
      <w:pPr>
        <w:pStyle w:val="Reference"/>
        <w:spacing w:before="0" w:after="12" w:line="240" w:lineRule="auto"/>
        <w:ind w:left="216" w:hanging="216"/>
        <w:jc w:val="left"/>
      </w:pPr>
      <w:r>
        <w:rPr>
          <w:rFonts w:ascii="Times New Roman" w:hAnsi="Times New Roman" w:cs="Times New Roman" w:eastAsia="Times New Roman"/>
          <w:sz w:val="21"/>
        </w:rPr>
        <w:t>Kleven, H. J., Knudsen, M. B., Kreiner, C. T., Pedersen, S., &amp; Saez, E. (2011). Unwilling or unable to cheat? Evidence from a tax audit experiment in Denmark. Econometrica, 79(3), 651-692.</w:t>
      </w:r>
    </w:p>
    <w:p>
      <w:pPr>
        <w:pStyle w:val="Reference"/>
        <w:spacing w:before="0" w:after="12" w:line="240" w:lineRule="auto"/>
        <w:ind w:left="216" w:hanging="216"/>
        <w:jc w:val="left"/>
      </w:pPr>
      <w:r>
        <w:rPr>
          <w:rFonts w:ascii="Times New Roman" w:hAnsi="Times New Roman" w:cs="Times New Roman" w:eastAsia="Times New Roman"/>
          <w:sz w:val="21"/>
        </w:rPr>
        <w:t>Kleven, H. J., Kreiner, C. T., &amp; Saez, E. (2016). Why can modern governments tax so much? Economica, 83(330), 219-246.</w:t>
      </w:r>
    </w:p>
    <w:p>
      <w:pPr>
        <w:pStyle w:val="Reference"/>
        <w:spacing w:before="0" w:after="12" w:line="240" w:lineRule="auto"/>
        <w:ind w:left="216" w:hanging="216"/>
        <w:jc w:val="left"/>
      </w:pPr>
      <w:r>
        <w:rPr>
          <w:rFonts w:ascii="Times New Roman" w:hAnsi="Times New Roman" w:cs="Times New Roman" w:eastAsia="Times New Roman"/>
          <w:sz w:val="21"/>
        </w:rPr>
        <w:t>La Porta, R., &amp; Shleifer, A. (2014). Informality and development. Journal of Economic Perspectives, 28(3), 109-126.</w:t>
      </w:r>
    </w:p>
    <w:p>
      <w:pPr>
        <w:pStyle w:val="Reference"/>
        <w:spacing w:before="0" w:after="12" w:line="240" w:lineRule="auto"/>
        <w:ind w:left="216" w:hanging="216"/>
        <w:jc w:val="left"/>
      </w:pPr>
      <w:r>
        <w:rPr>
          <w:rFonts w:ascii="Times New Roman" w:hAnsi="Times New Roman" w:cs="Times New Roman" w:eastAsia="Times New Roman"/>
          <w:sz w:val="21"/>
        </w:rPr>
        <w:t>Medina, L., &amp; Schneider, F. (2019). Shedding light on the shadow economy: A global database. CESifo Working Paper 7981.</w:t>
      </w:r>
    </w:p>
    <w:p>
      <w:pPr>
        <w:pStyle w:val="Reference"/>
        <w:spacing w:before="0" w:after="12" w:line="240" w:lineRule="auto"/>
        <w:ind w:left="216" w:hanging="216"/>
        <w:jc w:val="left"/>
      </w:pPr>
      <w:r>
        <w:rPr>
          <w:rFonts w:ascii="Times New Roman" w:hAnsi="Times New Roman" w:cs="Times New Roman" w:eastAsia="Times New Roman"/>
          <w:sz w:val="21"/>
        </w:rPr>
        <w:t>Ministry of Finance of the Republic of Indonesia. (2025). PMK 37 Tahun 2025; Directorate General of Taxes marketplace guidance.</w:t>
      </w:r>
    </w:p>
    <w:p>
      <w:pPr>
        <w:pStyle w:val="Reference"/>
        <w:spacing w:before="0" w:after="12" w:line="240" w:lineRule="auto"/>
        <w:ind w:left="216" w:hanging="216"/>
        <w:jc w:val="left"/>
      </w:pPr>
      <w:r>
        <w:rPr>
          <w:rFonts w:ascii="Times New Roman" w:hAnsi="Times New Roman" w:cs="Times New Roman" w:eastAsia="Times New Roman"/>
          <w:sz w:val="21"/>
        </w:rPr>
        <w:t>Momentum Works. (2024). Ecommerce in Southeast Asia. Singapore: Momentum Works.</w:t>
      </w:r>
    </w:p>
    <w:p>
      <w:pPr>
        <w:pStyle w:val="Reference"/>
        <w:spacing w:before="0" w:after="12" w:line="240" w:lineRule="auto"/>
        <w:ind w:left="216" w:hanging="216"/>
        <w:jc w:val="left"/>
      </w:pPr>
      <w:r>
        <w:rPr>
          <w:rFonts w:ascii="Times New Roman" w:hAnsi="Times New Roman" w:cs="Times New Roman" w:eastAsia="Times New Roman"/>
          <w:sz w:val="21"/>
        </w:rPr>
        <w:t>Naritomi, J. (2019). Consumers as tax auditors. American Economic Review, 109(9), 3031-3072.</w:t>
      </w:r>
    </w:p>
    <w:p>
      <w:pPr>
        <w:pStyle w:val="Reference"/>
        <w:spacing w:before="0" w:after="12" w:line="240" w:lineRule="auto"/>
        <w:ind w:left="216" w:hanging="216"/>
        <w:jc w:val="left"/>
      </w:pPr>
      <w:r>
        <w:rPr>
          <w:rFonts w:ascii="Times New Roman" w:hAnsi="Times New Roman" w:cs="Times New Roman" w:eastAsia="Times New Roman"/>
          <w:sz w:val="21"/>
        </w:rPr>
        <w:t>OECD. (2020). Model Rules for Reporting by Platform Operators with respect to Sellers in the Sharing and Gig Economy.</w:t>
      </w:r>
    </w:p>
    <w:p>
      <w:pPr>
        <w:pStyle w:val="Reference"/>
        <w:spacing w:before="0" w:after="12" w:line="240" w:lineRule="auto"/>
        <w:ind w:left="216" w:hanging="216"/>
        <w:jc w:val="left"/>
      </w:pPr>
      <w:r>
        <w:rPr>
          <w:rFonts w:ascii="Times New Roman" w:hAnsi="Times New Roman" w:cs="Times New Roman" w:eastAsia="Times New Roman"/>
          <w:sz w:val="21"/>
        </w:rPr>
        <w:t>OECD. (2023). OECD Handbook on Compiling Digital Supply and Use Tables. Paris: OECD Publishing.</w:t>
      </w:r>
    </w:p>
    <w:p>
      <w:pPr>
        <w:pStyle w:val="Reference"/>
        <w:spacing w:before="0" w:after="12" w:line="240" w:lineRule="auto"/>
        <w:ind w:left="216" w:hanging="216"/>
        <w:jc w:val="left"/>
      </w:pPr>
      <w:r>
        <w:rPr>
          <w:rFonts w:ascii="Times New Roman" w:hAnsi="Times New Roman" w:cs="Times New Roman" w:eastAsia="Times New Roman"/>
          <w:sz w:val="21"/>
        </w:rPr>
        <w:t>Parker, G. G., &amp; Van Alstyne, M. W. (2005). Two-sided network effects: A theory of information product design. Management Science, 51(10), 1494-1504.</w:t>
      </w:r>
    </w:p>
    <w:p>
      <w:pPr>
        <w:pStyle w:val="Reference"/>
        <w:spacing w:before="0" w:after="12" w:line="240" w:lineRule="auto"/>
        <w:ind w:left="216" w:hanging="216"/>
        <w:jc w:val="left"/>
      </w:pPr>
      <w:r>
        <w:rPr>
          <w:rFonts w:ascii="Times New Roman" w:hAnsi="Times New Roman" w:cs="Times New Roman" w:eastAsia="Times New Roman"/>
          <w:sz w:val="21"/>
        </w:rPr>
        <w:t>Pomeranz, D. (2015). No taxation without information: Deterrence and self-enforcement in the value added tax. American Economic Review, 105(8), 2539-2569.</w:t>
      </w:r>
    </w:p>
    <w:p>
      <w:pPr>
        <w:pStyle w:val="Reference"/>
        <w:spacing w:before="0" w:after="12" w:line="240" w:lineRule="auto"/>
        <w:ind w:left="216" w:hanging="216"/>
        <w:jc w:val="left"/>
      </w:pPr>
      <w:r>
        <w:rPr>
          <w:rFonts w:ascii="Times New Roman" w:hAnsi="Times New Roman" w:cs="Times New Roman" w:eastAsia="Times New Roman"/>
          <w:sz w:val="21"/>
        </w:rPr>
        <w:t>Rochet, J.-C., &amp; Tirole, J. (2003). Platform competition in two-sided markets. Journal of the European Economic Association, 1(4), 990-1029.</w:t>
      </w:r>
    </w:p>
    <w:p>
      <w:pPr>
        <w:pStyle w:val="Reference"/>
        <w:spacing w:before="0" w:after="12" w:line="240" w:lineRule="auto"/>
        <w:ind w:left="216" w:hanging="216"/>
        <w:jc w:val="left"/>
      </w:pPr>
      <w:r>
        <w:rPr>
          <w:rFonts w:ascii="Times New Roman" w:hAnsi="Times New Roman" w:cs="Times New Roman" w:eastAsia="Times New Roman"/>
          <w:sz w:val="21"/>
        </w:rPr>
        <w:t>Slemrod, J. (2019). Tax compliance and enforcement. Journal of Economic Literature, 57(4), 904-954.</w:t>
      </w:r>
    </w:p>
    <w:p>
      <w:pPr>
        <w:pStyle w:val="Reference"/>
        <w:spacing w:before="0" w:after="12" w:line="240" w:lineRule="auto"/>
        <w:ind w:left="216" w:hanging="216"/>
        <w:jc w:val="left"/>
      </w:pPr>
      <w:r>
        <w:rPr>
          <w:rFonts w:ascii="Times New Roman" w:hAnsi="Times New Roman" w:cs="Times New Roman" w:eastAsia="Times New Roman"/>
          <w:sz w:val="21"/>
        </w:rPr>
        <w:t>Ulyssea, G. (2018). Firms, informality, and development: Theory and evidence from Brazil. American Economic Review, 108(8), 2015-2047.</w:t>
      </w:r>
    </w:p>
    <w:p>
      <w:pPr>
        <w:pStyle w:val="Reference"/>
        <w:spacing w:before="0" w:after="12" w:line="240" w:lineRule="auto"/>
        <w:ind w:left="216" w:hanging="216"/>
        <w:jc w:val="left"/>
      </w:pPr>
      <w:r>
        <w:rPr>
          <w:rFonts w:ascii="Times New Roman" w:hAnsi="Times New Roman" w:cs="Times New Roman" w:eastAsia="Times New Roman"/>
          <w:sz w:val="21"/>
        </w:rPr>
        <w:t>United Nations et al. (2025). System of National Accounts 2025.</w:t>
      </w:r>
    </w:p>
    <w:p>
      <w:pPr>
        <w:pStyle w:val="Reference"/>
        <w:spacing w:before="0" w:after="12" w:line="240" w:lineRule="auto"/>
        <w:ind w:left="216" w:hanging="216"/>
        <w:jc w:val="left"/>
      </w:pPr>
      <w:r>
        <w:rPr>
          <w:rFonts w:ascii="Times New Roman" w:hAnsi="Times New Roman" w:cs="Times New Roman" w:eastAsia="Times New Roman"/>
          <w:sz w:val="21"/>
        </w:rPr>
        <w:t>World Bank. (n.d.). World Development Indicators: GDP (current US$) and official exchange rate (LCU per US$, period average), Indonesia. Washington, DC: World Bank.</w:t>
      </w:r>
    </w:p>
    <w:sectPr w:rsidR="00FC693F" w:rsidRPr="0006063C" w:rsidSect="00034616">
      <w:footerReference w:type="default" r:id="rId9"/>
      <w:pgSz w:w="11906" w:h="16838"/>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2">
    <w:p>
      <w:pPr>
        <w:spacing w:after="0" w:line="240" w:lineRule="auto"/>
        <w:jc w:val="both"/>
      </w:pPr>
      <w:r>
        <w:rPr>
          <w:rFonts w:ascii="Times New Roman" w:hAnsi="Times New Roman" w:eastAsia="Times New Roman"/>
          <w:vertAlign w:val="superscript"/>
          <w:sz w:val="20"/>
        </w:rPr>
        <w:footnoteRef/>
      </w:r>
      <w:r>
        <w:rPr>
          <w:rFonts w:ascii="Times New Roman" w:hAnsi="Times New Roman" w:eastAsia="Times New Roman"/>
          <w:sz w:val="20"/>
        </w:rPr>
        <w:t xml:space="preserve"> Issuer labels differ. GoTo reports GTV and Sea Limited reports GMV for Shopee; for these the label differs but the measure is the same. Blibli and Bukalapak report TPV for the segments used here, and Grab reports GMV for deliveries and mobility and TPV for financial services. Where a source reports TPV the measure rests on a different basis, so it is retained under its own label rather than relabeled as GTV.</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5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90" w:after="3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notes" Target="footnotes.xml"/><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