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　智　大　學</w:t>
      </w:r>
    </w:p>
    <w:p>
      <w:pPr>
        <w:pStyle w:val="CoverDept"/>
      </w:pPr>
      <w:r>
        <w:t xml:space="preserve">管理學院財務金融暨會計碩士班</w:t>
      </w:r>
    </w:p>
    <w:p>
      <w:pPr>
        <w:pStyle w:val="CoverTrack"/>
      </w:pPr>
      <w:r>
        <w:t xml:space="preserve">財務金融碩士學程</w:t>
      </w:r>
    </w:p>
    <w:p>
      <w:pPr>
        <w:pStyle w:val="CoverDegree"/>
      </w:pPr>
      <w:r>
        <w:t xml:space="preserve">碩　士　論　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440" w:footer="0" w:header="850" w:left="1797" w:right="1797" w:top="1440"/>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sectPr>
          <w:pgSz w:h="16838" w:w="11906"/>
          <w:pgMar w:bottom="1440" w:footer="0" w:header="850" w:left="1797" w:right="1797" w:top="1440"/>
        </w:sectPr>
      </w:pP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6</w:t>
      </w:r>
    </w:p>
    <w:p>
      <w:pPr>
        <w:pStyle w:val="toc2"/>
      </w:pPr>
      <w:r>
        <w:t xml:space="preserve">2.1 Platform economics and revenue recognition</w:t>
      </w:r>
      <w:r>
        <w:tab/>
      </w:r>
      <w:r>
        <w:t xml:space="preserve">6</w:t>
      </w:r>
    </w:p>
    <w:p>
      <w:pPr>
        <w:pStyle w:val="toc2"/>
      </w:pPr>
      <w:r>
        <w:t xml:space="preserve">2.2 Measuring the digital economy</w:t>
      </w:r>
      <w:r>
        <w:tab/>
      </w:r>
      <w:r>
        <w:t xml:space="preserve">7</w:t>
      </w:r>
    </w:p>
    <w:p>
      <w:pPr>
        <w:pStyle w:val="toc2"/>
      </w:pPr>
      <w:r>
        <w:t xml:space="preserve">2.3 Digital records and third-party information</w:t>
      </w:r>
      <w:r>
        <w:tab/>
      </w:r>
      <w:r>
        <w:t xml:space="preserve">8</w:t>
      </w:r>
    </w:p>
    <w:p>
      <w:pPr>
        <w:pStyle w:val="toc2"/>
      </w:pPr>
      <w:r>
        <w:t xml:space="preserve">2.4 Research gap</w:t>
      </w:r>
      <w:r>
        <w:tab/>
      </w:r>
      <w:r>
        <w:t xml:space="preserve">9</w:t>
      </w:r>
    </w:p>
    <w:p>
      <w:pPr>
        <w:pStyle w:val="toc1"/>
      </w:pPr>
      <w:r>
        <w:t xml:space="preserve">Chapter 3 Framework and Hypotheses</w:t>
      </w:r>
      <w:r>
        <w:tab/>
      </w:r>
      <w:r>
        <w:t xml:space="preserve">10</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What changes the wedge and the ecosystem ratio</w:t>
      </w:r>
      <w:r>
        <w:tab/>
      </w:r>
      <w:r>
        <w:t xml:space="preserve">14</w:t>
      </w:r>
    </w:p>
    <w:p>
      <w:pPr>
        <w:pStyle w:val="toc2"/>
      </w:pPr>
      <w:r>
        <w:t xml:space="preserve">3.4 Hypotheses</w:t>
      </w:r>
      <w:r>
        <w:tab/>
      </w:r>
      <w:r>
        <w:t xml:space="preserve">15</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20</w:t>
      </w:r>
    </w:p>
    <w:p>
      <w:pPr>
        <w:pStyle w:val="toc2"/>
      </w:pPr>
      <w:r>
        <w:t xml:space="preserve">4.1 The platform data</w:t>
      </w:r>
      <w:r>
        <w:tab/>
      </w:r>
      <w:r>
        <w:t xml:space="preserve">21</w:t>
      </w:r>
    </w:p>
    <w:p>
      <w:pPr>
        <w:pStyle w:val="toc2"/>
      </w:pPr>
      <w:r>
        <w:t xml:space="preserve">4.2 Measuring the wedge in Indonesia</w:t>
      </w:r>
      <w:r>
        <w:tab/>
      </w:r>
      <w:r>
        <w:t xml:space="preserve">22</w:t>
      </w:r>
    </w:p>
    <w:p>
      <w:pPr>
        <w:pStyle w:val="toc2"/>
      </w:pPr>
      <w:r>
        <w:t xml:space="preserve">4.3 Testing H1</w:t>
      </w:r>
      <w:r>
        <w:tab/>
      </w:r>
      <w:r>
        <w:t xml:space="preserve">22</w:t>
      </w:r>
    </w:p>
    <w:p>
      <w:pPr>
        <w:pStyle w:val="toc2"/>
      </w:pPr>
      <w:r>
        <w:t xml:space="preserve">4.4 What explains the wedge and the ecosystem ratio</w:t>
      </w:r>
      <w:r>
        <w:tab/>
      </w:r>
      <w:r>
        <w:t xml:space="preserve">23</w:t>
      </w:r>
    </w:p>
    <w:p>
      <w:pPr>
        <w:pStyle w:val="toc2"/>
      </w:pPr>
      <w:r>
        <w:t xml:space="preserve">4.5 Market values</w:t>
      </w:r>
      <w:r>
        <w:tab/>
      </w:r>
      <w:r>
        <w:t xml:space="preserve">25</w:t>
      </w:r>
    </w:p>
    <w:p>
      <w:pPr>
        <w:pStyle w:val="toc2"/>
      </w:pPr>
      <w:r>
        <w:t xml:space="preserve">4.6 The survey files and H2</w:t>
      </w:r>
      <w:r>
        <w:tab/>
      </w:r>
      <w:r>
        <w:t xml:space="preserve">25</w:t>
      </w:r>
    </w:p>
    <w:p>
      <w:pPr>
        <w:pStyle w:val="toc2"/>
      </w:pPr>
      <w:r>
        <w:t xml:space="preserve">4.7 The entry test and the extra sellers</w:t>
      </w:r>
      <w:r>
        <w:tab/>
      </w:r>
      <w:r>
        <w:t xml:space="preserve">26</w:t>
      </w:r>
    </w:p>
    <w:p>
      <w:pPr>
        <w:pStyle w:val="toc2"/>
      </w:pPr>
      <w:r>
        <w:t xml:space="preserve">4.8 Channels, records and reach</w:t>
      </w:r>
      <w:r>
        <w:tab/>
      </w:r>
      <w:r>
        <w:t xml:space="preserve">27</w:t>
      </w:r>
    </w:p>
    <w:p>
      <w:pPr>
        <w:pStyle w:val="toc2"/>
      </w:pPr>
      <w:r>
        <w:t xml:space="preserve">4.9 Comparing national figures</w:t>
      </w:r>
      <w:r>
        <w:tab/>
      </w:r>
      <w:r>
        <w:t xml:space="preserve">28</w:t>
      </w:r>
    </w:p>
    <w:p>
      <w:pPr>
        <w:pStyle w:val="toc2"/>
      </w:pPr>
      <w:r>
        <w:t xml:space="preserve">4.10 Labels, traceability and licensed data</w:t>
      </w:r>
      <w:r>
        <w:tab/>
      </w:r>
      <w:r>
        <w:t xml:space="preserve">28</w:t>
      </w:r>
    </w:p>
    <w:p>
      <w:pPr>
        <w:pStyle w:val="toc1"/>
      </w:pPr>
      <w:r>
        <w:t xml:space="preserve">Chapter 5 Results</w:t>
      </w:r>
      <w:r>
        <w:tab/>
      </w:r>
      <w:r>
        <w:t xml:space="preserve">30</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explains the wedge and the ecosystem ratio</w:t>
      </w:r>
      <w:r>
        <w:tab/>
      </w:r>
      <w:r>
        <w:t xml:space="preserve">33</w:t>
      </w:r>
    </w:p>
    <w:p>
      <w:pPr>
        <w:pStyle w:val="toc2"/>
      </w:pPr>
      <w:r>
        <w:t xml:space="preserve">5.4 What markets valued</w:t>
      </w:r>
      <w:r>
        <w:tab/>
      </w:r>
      <w:r>
        <w:t xml:space="preserve">35</w:t>
      </w:r>
    </w:p>
    <w:p>
      <w:pPr>
        <w:pStyle w:val="toc2"/>
      </w:pPr>
      <w:r>
        <w:t xml:space="preserve">5.5 The platforms and the sellers in 2023</w:t>
      </w:r>
      <w:r>
        <w:tab/>
      </w:r>
      <w:r>
        <w:t xml:space="preserve">36</w:t>
      </w:r>
    </w:p>
    <w:p>
      <w:pPr>
        <w:pStyle w:val="toc2"/>
      </w:pPr>
      <w:r>
        <w:t xml:space="preserve">5.6 H2 and the entry test</w:t>
      </w:r>
      <w:r>
        <w:tab/>
      </w:r>
      <w:r>
        <w:t xml:space="preserve">37</w:t>
      </w:r>
    </w:p>
    <w:p>
      <w:pPr>
        <w:pStyle w:val="toc2"/>
      </w:pPr>
      <w:r>
        <w:t xml:space="preserve">5.7 What the rise in the count contains</w:t>
      </w:r>
      <w:r>
        <w:tab/>
      </w:r>
      <w:r>
        <w:t xml:space="preserve">37</w:t>
      </w:r>
    </w:p>
    <w:p>
      <w:pPr>
        <w:pStyle w:val="toc2"/>
      </w:pPr>
      <w:r>
        <w:t xml:space="preserve">5.8 Who the extra sellers were</w:t>
      </w:r>
      <w:r>
        <w:tab/>
      </w:r>
      <w:r>
        <w:t xml:space="preserve">39</w:t>
      </w:r>
    </w:p>
    <w:p>
      <w:pPr>
        <w:pStyle w:val="toc2"/>
      </w:pPr>
      <w:r>
        <w:t xml:space="preserve">5.9 Channels and records</w:t>
      </w:r>
      <w:r>
        <w:tab/>
      </w:r>
      <w:r>
        <w:t xml:space="preserve">40</w:t>
      </w:r>
    </w:p>
    <w:p>
      <w:pPr>
        <w:pStyle w:val="toc2"/>
      </w:pPr>
      <w:r>
        <w:t xml:space="preserve">5.10 Why the national figures disagree</w:t>
      </w:r>
      <w:r>
        <w:tab/>
      </w:r>
      <w:r>
        <w:t xml:space="preserve">41</w:t>
      </w:r>
    </w:p>
    <w:p>
      <w:pPr>
        <w:pStyle w:val="toc1"/>
      </w:pPr>
      <w:r>
        <w:t xml:space="preserve">Chapter 6 Discussion and Policy Implications</w:t>
      </w:r>
      <w:r>
        <w:tab/>
      </w:r>
      <w:r>
        <w:t xml:space="preserve">43</w:t>
      </w:r>
    </w:p>
    <w:p>
      <w:pPr>
        <w:pStyle w:val="toc2"/>
      </w:pPr>
      <w:r>
        <w:t xml:space="preserve">6.1 The rules and what each acts on</w:t>
      </w:r>
      <w:r>
        <w:tab/>
      </w:r>
      <w:r>
        <w:t xml:space="preserve">43</w:t>
      </w:r>
    </w:p>
    <w:p>
      <w:pPr>
        <w:pStyle w:val="toc2"/>
      </w:pPr>
      <w:r>
        <w:t xml:space="preserve">6.2 What the commission cap and the discount rule can move</w:t>
      </w:r>
      <w:r>
        <w:tab/>
      </w:r>
      <w:r>
        <w:t xml:space="preserve">44</w:t>
      </w:r>
    </w:p>
    <w:p>
      <w:pPr>
        <w:pStyle w:val="toc2"/>
      </w:pPr>
      <w:r>
        <w:t xml:space="preserve">6.3 How far the marketplace tax reaches</w:t>
      </w:r>
      <w:r>
        <w:tab/>
      </w:r>
      <w:r>
        <w:t xml:space="preserve">45</w:t>
      </w:r>
    </w:p>
    <w:p>
      <w:pPr>
        <w:pStyle w:val="toc2"/>
      </w:pPr>
      <w:r>
        <w:t xml:space="preserve">6.4 What the statistics rules can change</w:t>
      </w:r>
      <w:r>
        <w:tab/>
      </w:r>
      <w:r>
        <w:t xml:space="preserve">47</w:t>
      </w:r>
    </w:p>
    <w:p>
      <w:pPr>
        <w:pStyle w:val="toc2"/>
      </w:pPr>
      <w:r>
        <w:t xml:space="preserve">6.5 What the registered predictions test</w:t>
      </w:r>
      <w:r>
        <w:tab/>
      </w:r>
      <w:r>
        <w:t xml:space="preserve">47</w:t>
      </w:r>
    </w:p>
    <w:p>
      <w:pPr>
        <w:pStyle w:val="toc2"/>
      </w:pPr>
      <w:r>
        <w:t xml:space="preserve">6.6 Beyond Indonesia</w:t>
      </w:r>
      <w:r>
        <w:tab/>
      </w:r>
      <w:r>
        <w:t xml:space="preserve">48</w:t>
      </w:r>
    </w:p>
    <w:p>
      <w:pPr>
        <w:pStyle w:val="toc1"/>
      </w:pPr>
      <w:r>
        <w:t xml:space="preserve">Chapter 7 Conclusion</w:t>
      </w:r>
      <w:r>
        <w:tab/>
      </w:r>
      <w:r>
        <w:t xml:space="preserve">49</w:t>
      </w:r>
    </w:p>
    <w:p>
      <w:pPr>
        <w:pStyle w:val="toc2"/>
      </w:pPr>
      <w:r>
        <w:t xml:space="preserve">7.1 The answer to the research question</w:t>
      </w:r>
      <w:r>
        <w:tab/>
      </w:r>
      <w:r>
        <w:t xml:space="preserve">49</w:t>
      </w:r>
    </w:p>
    <w:p>
      <w:pPr>
        <w:pStyle w:val="toc2"/>
      </w:pPr>
      <w:r>
        <w:t xml:space="preserve">7.2 What the thesis adds</w:t>
      </w:r>
      <w:r>
        <w:tab/>
      </w:r>
      <w:r>
        <w:t xml:space="preserve">50</w:t>
      </w:r>
    </w:p>
    <w:p>
      <w:pPr>
        <w:pStyle w:val="toc2"/>
      </w:pPr>
      <w:r>
        <w:t xml:space="preserve">7.3 Predictions that failed</w:t>
      </w:r>
      <w:r>
        <w:tab/>
      </w:r>
      <w:r>
        <w:t xml:space="preserve">51</w:t>
      </w:r>
    </w:p>
    <w:p>
      <w:pPr>
        <w:pStyle w:val="toc2"/>
      </w:pPr>
      <w:r>
        <w:t xml:space="preserve">7.4 Limits of the evidence</w:t>
      </w:r>
      <w:r>
        <w:tab/>
      </w:r>
      <w:r>
        <w:t xml:space="preserve">52</w:t>
      </w:r>
    </w:p>
    <w:p>
      <w:pPr>
        <w:pStyle w:val="toc2"/>
      </w:pPr>
      <w:r>
        <w:t xml:space="preserve">7.5 Further research</w:t>
      </w:r>
      <w:r>
        <w:tab/>
      </w:r>
      <w:r>
        <w:t xml:space="preserve">54</w:t>
      </w:r>
    </w:p>
    <w:p>
      <w:pPr>
        <w:pStyle w:val="toc1"/>
      </w:pPr>
      <w:r>
        <w:t xml:space="preserve">References</w:t>
      </w:r>
      <w:r>
        <w:tab/>
      </w:r>
      <w:r>
        <w:t xml:space="preserve">56</w:t>
      </w:r>
    </w:p>
    <w:p>
      <w:pPr>
        <w:pStyle w:val="toc1"/>
      </w:pPr>
      <w:r>
        <w:t xml:space="preserve">Appendices</w:t>
      </w:r>
      <w:r>
        <w:tab/>
      </w:r>
      <w:r>
        <w:t xml:space="preserve">79</w:t>
      </w:r>
    </w:p>
    <w:p>
      <w:pPr>
        <w:pStyle w:val="toc2"/>
      </w:pPr>
      <w:r>
        <w:t xml:space="preserve">Appendix A. Definition of variables</w:t>
      </w:r>
      <w:r>
        <w:tab/>
      </w:r>
      <w:r>
        <w:t xml:space="preserve">79</w:t>
      </w:r>
    </w:p>
    <w:p>
      <w:pPr>
        <w:pStyle w:val="toc2"/>
      </w:pPr>
      <w:r>
        <w:t xml:space="preserve">Appendix B. Platforms, windows and the wedge by year</w:t>
      </w:r>
      <w:r>
        <w:tab/>
      </w:r>
      <w:r>
        <w:t xml:space="preserve">81</w:t>
      </w:r>
    </w:p>
    <w:p>
      <w:pPr>
        <w:pStyle w:val="toc2"/>
      </w:pPr>
      <w:r>
        <w:t xml:space="preserve">Appendix C. The checks on the tests of H1 and on the regressions</w:t>
      </w:r>
      <w:r>
        <w:tab/>
      </w:r>
      <w:r>
        <w:t xml:space="preserve">87</w:t>
      </w:r>
    </w:p>
    <w:p>
      <w:pPr>
        <w:pStyle w:val="toc2"/>
      </w:pPr>
      <w:r>
        <w:t xml:space="preserve">Appendix D. Registered tests and their outcomes</w:t>
      </w:r>
      <w:r>
        <w:tab/>
      </w:r>
      <w:r>
        <w:t xml:space="preserve">91</w:t>
      </w:r>
    </w:p>
    <w:p>
      <w:pPr>
        <w:pStyle w:val="toc2"/>
      </w:pPr>
      <w:r>
        <w:t xml:space="preserve">Appendix E. The values behind Figures 4 to 6</w:t>
      </w:r>
      <w:r>
        <w:tab/>
      </w:r>
      <w:r>
        <w:t xml:space="preserve">93</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The invisible wedge of three platforms, 2023 (US$ billion)</w:t>
      </w:r>
      <w:r>
        <w:tab/>
      </w:r>
      <w:r>
        <w:t xml:space="preserve">72</w:t>
      </w:r>
    </w:p>
    <w:p>
      <w:pPr>
        <w:pStyle w:val="tableoffigures"/>
      </w:pPr>
      <w:r>
        <w:t xml:space="preserve">Table 2. Summary statistics and correlations</w:t>
      </w:r>
      <w:r>
        <w:tab/>
      </w:r>
      <w:r>
        <w:t xml:space="preserve">73</w:t>
      </w:r>
    </w:p>
    <w:p>
      <w:pPr>
        <w:pStyle w:val="tableoffigures"/>
      </w:pPr>
      <w:r>
        <w:t xml:space="preserve">Table 3. Revenue growth and transaction value growth</w:t>
      </w:r>
      <w:r>
        <w:tab/>
      </w:r>
      <w:r>
        <w:t xml:space="preserve">74</w:t>
      </w:r>
    </w:p>
    <w:p>
      <w:pPr>
        <w:pStyle w:val="tableoffigures"/>
      </w:pPr>
      <w:r>
        <w:t xml:space="preserve">Table 4. What explains the wedge and the ecosystem ratio</w:t>
      </w:r>
      <w:r>
        <w:tab/>
      </w:r>
      <w:r>
        <w:t xml:space="preserve">75</w:t>
      </w:r>
    </w:p>
    <w:p>
      <w:pPr>
        <w:pStyle w:val="tableoffigures"/>
      </w:pPr>
      <w:r>
        <w:t xml:space="preserve">Table 5. The 2023 rise in the count of online sellers (thousands)</w:t>
      </w:r>
      <w:r>
        <w:tab/>
      </w:r>
      <w:r>
        <w:t xml:space="preserve">76</w:t>
      </w:r>
    </w:p>
    <w:p>
      <w:pPr>
        <w:pStyle w:val="tableoffigures"/>
      </w:pPr>
      <w:r>
        <w:t xml:space="preserve">Table 6. Indonesia’s recent rules and what each acts on</w:t>
      </w:r>
      <w:r>
        <w:tab/>
      </w:r>
      <w:r>
        <w:t xml:space="preserve">77</w:t>
      </w:r>
    </w:p>
    <w:p>
      <w:pPr>
        <w:pStyle w:val="tableoffigures"/>
      </w:pPr>
      <w:r>
        <w:t xml:space="preserve">Table 7. Registered predictions on the 2026 rules</w:t>
      </w:r>
      <w:r>
        <w:tab/>
      </w:r>
      <w:r>
        <w:t xml:space="preserve">78</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66</w:t>
      </w:r>
    </w:p>
    <w:p>
      <w:pPr>
        <w:pStyle w:val="tableoffigures"/>
      </w:pPr>
      <w:r>
        <w:t xml:space="preserve">Figure 2. The thin take rate.</w:t>
      </w:r>
      <w:r>
        <w:tab/>
      </w:r>
      <w:r>
        <w:t xml:space="preserve">67</w:t>
      </w:r>
    </w:p>
    <w:p>
      <w:pPr>
        <w:pStyle w:val="tableoffigures"/>
      </w:pPr>
      <w:r>
        <w:t xml:space="preserve">Figure 3. Tokopedia, 2022 to 2023: two ways to split the rise in revenue.</w:t>
      </w:r>
      <w:r>
        <w:tab/>
      </w:r>
      <w:r>
        <w:t xml:space="preserve">68</w:t>
      </w:r>
    </w:p>
    <w:p>
      <w:pPr>
        <w:pStyle w:val="tableoffigures"/>
      </w:pPr>
      <w:r>
        <w:t xml:space="preserve">Figure 4. Growth in 2023 (percent).</w:t>
      </w:r>
      <w:r>
        <w:tab/>
      </w:r>
      <w:r>
        <w:t xml:space="preserve">69</w:t>
      </w:r>
    </w:p>
    <w:p>
      <w:pPr>
        <w:pStyle w:val="tableoffigures"/>
      </w:pPr>
      <w:r>
        <w:t xml:space="preserve">Figure 5. Who the extra sellers were.</w:t>
      </w:r>
      <w:r>
        <w:tab/>
      </w:r>
      <w:r>
        <w:t xml:space="preserve">70</w:t>
      </w:r>
    </w:p>
    <w:p>
      <w:pPr>
        <w:pStyle w:val="tableoffigures"/>
      </w:pPr>
      <w:r>
        <w:t xml:space="preserve">Figure 6. Marketplace use and financial statements, 2020 to 2024.</w:t>
      </w:r>
      <w:r>
        <w:tab/>
      </w:r>
      <w:r>
        <w:t xml:space="preserve">71</w:t>
      </w:r>
      <w:r>
        <w:fldChar w:fldCharType="end"/>
      </w:r>
    </w:p>
    <w:p>
      <w:pPr>
        <w:sectPr>
          <w:footerReference r:id="rId9" w:type="default"/>
          <w:pgSz w:h="16838" w:w="11906"/>
          <w:pgMar w:bottom="1134" w:footer="567" w:header="850" w:left="2268" w:right="1134" w:top="1984"/>
          <w:pgNumType w:fmt="lowerRoman" w:start="2"/>
        </w:sectPr>
      </w:pPr>
    </w:p>
    <w:bookmarkStart w:id="23"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probably because they cover different sellers: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0"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 and platform-mediated activity can create traces outside conventional records (Barrios, Hochberg and Yi 2022; Denes, Lagaras and Tsoutsoura 2025).</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7"/>
    <w:bookmarkEnd w:id="28"/>
    <w:bookmarkStart w:id="35"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InsertMarker"/>
        <w:keepLines/>
        <w:spacing w:before="120" w:after="120" w:line="240" w:lineRule="auto"/>
        <w:ind w:firstLine="0"/>
        <w:jc w:val="center"/>
      </w:pPr>
      <w:r>
        <w:t xml:space="preserve">[Insert Figure 1 about here]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29"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29"/>
    <w:bookmarkStart w:id="30"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pPr>
      <w:r>
        <w:t xml:space="preserve">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(5)</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0"/>
    <w:bookmarkStart w:id="31"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Equation"/>
      </w:pPr>
      <w:r>
        <w:tab/>
        <w:t>g(R</w:t>
      </w:r>
      <w:r>
        <w:rPr>
          <w:vertAlign w:val="subscript"/>
        </w:rPr>
        <w:t xml:space="preserve">it</w:t>
      </w:r>
      <w:r>
        <w:t xml:space="preserve">) = a + b g(V</w:t>
      </w:r>
      <w:r>
        <w:rPr>
          <w:vertAlign w:val="subscript"/>
        </w:rPr>
        <w:t xml:space="preserve">it</w:t>
      </w:r>
      <w:r>
        <w:t xml:space="preserve">) + c Indonesia_i + d (Indonesia_i × g(V</w:t>
      </w:r>
      <w:r>
        <w:rPr>
          <w:vertAlign w:val="subscript"/>
        </w:rPr>
        <w:t xml:space="preserve">it</w:t>
      </w:r>
      <w:r>
        <w:t xml:space="preserve">)) + u</w:t>
      </w:r>
      <w:r>
        <w:rPr>
          <w:vertAlign w:val="subscript"/>
        </w:rPr>
        <w:t xml:space="preserve">it</w:t>
      </w:r>
      <w:r>
        <w:tab/>
        <w:t>(6)</w:t>
      </w:r>
    </w:p>
    <w:p>
      <w:pPr>
        <w:pStyle w:val="BodyText"/>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Equation"/>
      </w:pPr>
      <w:r>
        <w:tab/>
        <w:t>Y</w:t>
      </w:r>
      <w:r>
        <w:rPr>
          <w:vertAlign w:val="subscript"/>
        </w:rPr>
        <w:t xml:space="preserve">it</w:t>
      </w:r>
      <w:r>
        <w:t xml:space="preserve"> </w:t>
      </w:r>
      <w:r>
        <w:t xml:space="preserve">= α + β1 Indonesia_i + β2 ln(1 + Listed</w:t>
      </w:r>
      <w:r>
        <w:rPr>
          <w:vertAlign w:val="subscript"/>
        </w:rPr>
        <w:t xml:space="preserve">it</w:t>
      </w:r>
      <w:r>
        <w:t xml:space="preserve">) + β3 ln(Assets</w:t>
      </w:r>
      <w:r>
        <w:rPr>
          <w:vertAlign w:val="subscript"/>
        </w:rPr>
        <w:t xml:space="preserve">it</w:t>
      </w:r>
      <w:r>
        <w:t xml:space="preserve">) + β4′ Type_i + γ′ Macro</w:t>
      </w:r>
      <w:r>
        <w:rPr>
          <w:vertAlign w:val="subscript"/>
        </w:rPr>
        <w:t xml:space="preserve">it</w:t>
      </w:r>
      <w:r>
        <w:t xml:space="preserve"> </w:t>
      </w:r>
      <w:r>
        <w:t xml:space="preserve">+ δ</w:t>
      </w:r>
      <w:r>
        <w:rPr>
          <w:vertAlign w:val="subscript"/>
        </w:rPr>
        <w:t xml:space="preserve">t</w:t>
      </w:r>
      <w:r>
        <w:t xml:space="preserve"> </w:t>
      </w:r>
      <w:r>
        <w:t xml:space="preserve">+ ε</w:t>
      </w:r>
      <w:r>
        <w:rPr>
          <w:vertAlign w:val="subscript"/>
        </w:rPr>
        <w:t xml:space="preserve">it</w:t>
      </w:r>
      <w:r>
        <w:tab/>
        <w:t>(7)</w:t>
      </w:r>
    </w:p>
    <w:p>
      <w:pPr>
        <w:pStyle w:val="BodyText"/>
      </w:pPr>
      <w:r>
        <w:t xml:space="preserve">where Y</w:t>
      </w:r>
      <w:r>
        <w:rPr>
          <w:vertAlign w:val="subscript"/>
        </w:rPr>
        <w:t xml:space="preserve">it</w:t>
      </w:r>
      <w:r>
        <w:t xml:space="preserve"> </w:t>
      </w:r>
      <w:r>
        <w:t xml:space="preserve">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1"/>
    <w:bookmarkStart w:id="32"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an ordinary least squares (OLS) regression of revenue growth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Equation"/>
      </w:pPr>
      <w:r>
        <w:tab/>
        <w:t>1 + g(Y</w:t>
      </w:r>
      <w:r>
        <w:rPr>
          <w:vertAlign w:val="subscript"/>
        </w:rPr>
        <w:t xml:space="preserve">t</w:t>
      </w:r>
      <w:r>
        <w:t xml:space="preserve">) = (1 + g(N</w:t>
      </w:r>
      <w:r>
        <w:rPr>
          <w:vertAlign w:val="subscript"/>
        </w:rPr>
        <w:t xml:space="preserve">t</w:t>
      </w:r>
      <w:r>
        <w:t xml:space="preserve">)) × (1 + g(Y</w:t>
      </w:r>
      <w:r>
        <w:rPr>
          <w:vertAlign w:val="subscript"/>
        </w:rPr>
        <w:t xml:space="preserve">t</w:t>
      </w:r>
      <w:r>
        <w:t xml:space="preserve"> </w:t>
      </w:r>
      <w:r>
        <w:t xml:space="preserve">/ N</w:t>
      </w:r>
      <w:r>
        <w:rPr>
          <w:vertAlign w:val="subscript"/>
        </w:rPr>
        <w:t xml:space="preserve">t</w:t>
      </w:r>
      <w:r>
        <w:t>))</w:t>
        <w:tab/>
        <w:t>(8)</w:t>
      </w:r>
    </w:p>
    <w:p>
      <w:pPr>
        <w:pStyle w:val="BodyText"/>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2"/>
    <w:bookmarkStart w:id="33"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3"/>
    <w:bookmarkStart w:id="34"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(9)</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4"/>
    <w:bookmarkEnd w:id="35"/>
    <w:bookmarkStart w:id="47"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6"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36"/>
    <w:bookmarkStart w:id="37"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37"/>
    <w:bookmarkStart w:id="38"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38"/>
    <w:bookmarkStart w:id="39"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39"/>
    <w:bookmarkStart w:id="40"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0"/>
    <w:bookmarkStart w:id="42"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1"/>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2"/>
    <w:bookmarkStart w:id="43"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3"/>
    <w:bookmarkStart w:id="44"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4"/>
    <w:bookmarkStart w:id="45"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5"/>
    <w:bookmarkStart w:id="46"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The World Bank indicators, the Bank for International Settlements policy rates and the total assets from the filings with the US Securities and Exchange Commission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6"/>
    <w:bookmarkEnd w:id="47"/>
    <w:bookmarkStart w:id="58"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48"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1 shows each platform.</w:t>
      </w:r>
    </w:p>
    <w:p>
      <w:pPr>
        <w:pStyle w:val="InsertMarker"/>
        <w:keepLines/>
        <w:spacing w:before="120" w:after="120" w:line="240" w:lineRule="auto"/>
        <w:ind w:firstLine="0"/>
        <w:jc w:val="center"/>
      </w:pPr>
      <w:r>
        <w:t xml:space="preserve">[Insert Table 1 about here]</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48"/>
    <w:bookmarkStart w:id="49" w:name="testing-h1-1"/>
    <w:p>
      <w:pPr>
        <w:pStyle w:val="Heading2"/>
      </w:pPr>
      <w:r>
        <w:t xml:space="preserve">5.2 Testing H1</w:t>
      </w:r>
    </w:p>
    <w:p>
      <w:pPr>
        <w:pStyle w:val="FirstParagraph"/>
      </w:pPr>
      <w:r>
        <w:t xml:space="preserve">Revenue followed transaction value abroad and did not in Indonesia and the region, so the thesis rejects H1 for the Indonesian and regional platforms. Table 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InsertMarker"/>
        <w:keepLines/>
        <w:spacing w:before="120" w:after="120" w:line="240" w:lineRule="auto"/>
        <w:ind w:firstLine="0"/>
        <w:jc w:val="center"/>
      </w:pPr>
      <w:r>
        <w:t xml:space="preserve">[Insert Table 2 about here]</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p>
    <w:p>
      <w:pPr>
        <w:pStyle w:val="InsertMarker"/>
        <w:keepLines/>
        <w:spacing w:before="120" w:after="120" w:line="240" w:lineRule="auto"/>
        <w:ind w:firstLine="0"/>
        <w:jc w:val="center"/>
      </w:pPr>
      <w:r>
        <w:t xml:space="preserve">[Insert Table 3 about here]</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t xml:space="preserve">The test of the size of moves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4 shows that years since listing explains neither the wedge nor the ecosystem ratio.</w:t>
      </w:r>
    </w:p>
    <w:p>
      <w:pPr>
        <w:pStyle w:val="InsertMarker"/>
        <w:keepLines/>
        <w:spacing w:before="120" w:after="120" w:line="240" w:lineRule="auto"/>
        <w:ind w:firstLine="0"/>
        <w:jc w:val="center"/>
      </w:pPr>
      <w:r>
        <w:t xml:space="preserve">[Insert Table 4 about here]</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in its Panels A, B and C. The test shows that take rates moved, but not what the platforms changed to move them.</w:t>
      </w:r>
    </w:p>
    <w:p>
      <w:pPr>
        <w:pStyle w:val="InsertMarker"/>
        <w:keepLines/>
        <w:spacing w:before="120" w:after="120" w:line="240" w:lineRule="auto"/>
        <w:ind w:firstLine="0"/>
        <w:jc w:val="center"/>
      </w:pPr>
      <w:r>
        <w:t xml:space="preserve">[Insert Figure 2 about here]</w:t>
      </w:r>
    </w:p>
    <w:bookmarkEnd w:id="49"/>
    <w:bookmarkStart w:id="50" w:name="X56de9ba7770ef3105b879e5bfcd70c78553d119"/>
    <w:p>
      <w:pPr>
        <w:pStyle w:val="Heading2"/>
      </w:pPr>
      <w:r>
        <w:t xml:space="preserve">5.3 What explains the wedge and the ecosystem ratio</w:t>
      </w:r>
    </w:p>
    <w:p>
      <w:pPr>
        <w:pStyle w:val="FirstParagraph"/>
      </w:pPr>
      <w:r>
        <w:t xml:space="preserve">Size explains the wedge, and pricing explains the ecosystem ratio. Table 4 regresses each on the features of the platform and of its home market.</w:t>
      </w:r>
    </w:p>
    <w:p>
      <w:pPr>
        <w:pStyle w:val="BodyText"/>
      </w:pPr>
      <w:r>
        <w:t xml:space="preserve">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3).</w:t>
      </w:r>
    </w:p>
    <w:p>
      <w:pPr>
        <w:pStyle w:val="InsertMarker"/>
        <w:keepLines/>
        <w:spacing w:before="120" w:after="120" w:line="240" w:lineRule="auto"/>
        <w:ind w:firstLine="0"/>
        <w:jc w:val="center"/>
      </w:pPr>
      <w:r>
        <w:t xml:space="preserve">[Insert Figure 3 about here]</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50"/>
    <w:bookmarkStart w:id="5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(9),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1"/>
    <w:bookmarkStart w:id="52"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InsertMarker"/>
        <w:keepLines/>
        <w:spacing w:before="120" w:after="120" w:line="240" w:lineRule="auto"/>
        <w:ind w:firstLine="0"/>
        <w:jc w:val="center"/>
      </w:pPr>
      <w:r>
        <w:t xml:space="preserve">[Insert Figure 4 about here]</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52"/>
    <w:bookmarkStart w:id="53"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53"/>
    <w:bookmarkStart w:id="54"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InsertMarker"/>
        <w:keepLines/>
        <w:spacing w:before="120" w:after="120" w:line="240" w:lineRule="auto"/>
        <w:ind w:firstLine="0"/>
        <w:jc w:val="center"/>
      </w:pPr>
      <w:r>
        <w:t xml:space="preserve">[Insert Table 5 about here]</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54"/>
    <w:bookmarkStart w:id="55"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 Figure 5 compares each group’s share of the extra count with its share of the 2022 count.</w:t>
      </w:r>
    </w:p>
    <w:p>
      <w:pPr>
        <w:pStyle w:val="InsertMarker"/>
        <w:keepLines/>
        <w:spacing w:before="120" w:after="120" w:line="240" w:lineRule="auto"/>
        <w:ind w:firstLine="0"/>
        <w:jc w:val="center"/>
      </w:pPr>
      <w:r>
        <w:t xml:space="preserve">[Insert Figure 5 about here]</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55"/>
    <w:bookmarkStart w:id="56"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InsertMarker"/>
        <w:keepLines/>
        <w:spacing w:before="120" w:after="120" w:line="240" w:lineRule="auto"/>
        <w:ind w:firstLine="0"/>
        <w:jc w:val="center"/>
      </w:pPr>
      <w:r>
        <w:t xml:space="preserve">[Insert Figure 6 about here]</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56"/>
    <w:bookmarkStart w:id="57"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57"/>
    <w:bookmarkEnd w:id="58"/>
    <w:bookmarkStart w:id="65"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59"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 lists each rule with the part it acts on and the section of Chapter 5 that measures that part.</w:t>
      </w:r>
    </w:p>
    <w:p>
      <w:pPr>
        <w:pStyle w:val="InsertMarker"/>
        <w:keepLines/>
        <w:spacing w:before="120" w:after="120" w:line="240" w:lineRule="auto"/>
        <w:ind w:firstLine="0"/>
        <w:jc w:val="center"/>
      </w:pPr>
      <w:r>
        <w:t xml:space="preserve">[Insert Table 6 about here]</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59"/>
    <w:bookmarkStart w:id="60"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60"/>
    <w:bookmarkStart w:id="61"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61"/>
    <w:bookmarkStart w:id="62"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62"/>
    <w:bookmarkStart w:id="63"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7 lists them with the date each is scored.</w:t>
      </w:r>
    </w:p>
    <w:p>
      <w:pPr>
        <w:pStyle w:val="InsertMarker"/>
        <w:keepLines/>
        <w:spacing w:before="120" w:after="120" w:line="240" w:lineRule="auto"/>
        <w:ind w:firstLine="0"/>
        <w:jc w:val="center"/>
      </w:pPr>
      <w:r>
        <w:t xml:space="preserve">[Insert Table 7 about here]</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63"/>
    <w:bookmarkStart w:id="64"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64"/>
    <w:bookmarkEnd w:id="65"/>
    <w:bookmarkStart w:id="71"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66"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66"/>
    <w:bookmarkStart w:id="67"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67"/>
    <w:bookmarkStart w:id="68"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68"/>
    <w:bookmarkStart w:id="69"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69"/>
    <w:bookmarkStart w:id="70"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70"/>
    <w:bookmarkEnd w:id="71"/>
    <w:bookmarkStart w:id="90"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for International Settlements. (2026).</w:t>
      </w:r>
      <w:r>
        <w:t xml:space="preserve"> </w:t>
      </w:r>
      <w:r>
        <w:rPr>
          <w:iCs/>
          <w:i/>
        </w:rPr>
        <w:t xml:space="preserve">Central bank policy rates</w:t>
      </w:r>
      <w:r>
        <w:t xml:space="preserve"> </w:t>
      </w:r>
      <w:r>
        <w:t xml:space="preserve">[Data set, WS_CBPOL, monthly]. https://data.bis.org</w:t>
      </w:r>
      <w:r>
        <w:t xml:space="preserve"> </w:t>
      </w: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Barrios, J. M., Hochberg, Y. V., &amp; Yi, H. (2022). Launching with a parachute: The gig economy and new business formation.</w:t>
      </w:r>
      <w:r>
        <w:t xml:space="preserve"> </w:t>
      </w:r>
      <w:r>
        <w:rPr>
          <w:iCs/>
          <w:i/>
        </w:rPr>
        <w:t xml:space="preserve">Journal of Financial Economics, 144</w:t>
      </w:r>
      <w:r>
        <w:t xml:space="preserve">(1), 22–43. https://doi.org/10.1016/j.jfineco.2021.12.011</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r>
        <w:t xml:space="preserve"> </w:t>
      </w: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Denes, M. R., Lagaras, S., &amp; Tsoutsoura, M. (2025). Entrepreneurship and the gig economy: Evidence from U.S. tax returns.</w:t>
      </w:r>
      <w:r>
        <w:t xml:space="preserve"> </w:t>
      </w:r>
      <w:r>
        <w:rPr>
          <w:iCs/>
          <w:i/>
        </w:rPr>
        <w:t xml:space="preserve">Journal of Financial Economics, 173</w:t>
      </w:r>
      <w:r>
        <w:t xml:space="preserve">, Article 104156. https://doi.org/10.1016/j.jfineco.2025.104156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r>
        <w:t xml:space="preserve"> </w:t>
      </w:r>
      <w:r>
        <w:t xml:space="preserve">U.S. Securities and Exchange Commission. (2026).</w:t>
      </w:r>
      <w:r>
        <w:t xml:space="preserve"> </w:t>
      </w:r>
      <w:r>
        <w:rPr>
          <w:iCs/>
          <w:i/>
        </w:rPr>
        <w:t xml:space="preserve">EDGAR company facts: XBRL financial data for annual filings (Forms 10-K, 20-F and 40-F)</w:t>
      </w:r>
      <w:r>
        <w:t xml:space="preserve"> </w:t>
      </w:r>
      <w:r>
        <w:t xml:space="preserve">[Total assets]. https://data.sec.gov/api/xbrl/companyfacts/</w:t>
      </w:r>
    </w:p>
    <w:p>
      <w:pPr>
        <w:pStyle w:val="BodyText"/>
        <w:spacing w:after="120"/>
        <w:ind w:left="709" w:hanging="709"/>
        <w:jc w:val="left"/>
      </w:pPr>
      <w:r>
        <w:t xml:space="preserve">World Bank. (2026).</w:t>
      </w:r>
      <w:r>
        <w:t xml:space="preserve"> </w:t>
      </w:r>
      <w:r>
        <w:rPr>
          <w:iCs/>
          <w:i/>
        </w:rPr>
        <w:t xml:space="preserve">World development indicators</w:t>
      </w:r>
      <w:r>
        <w:t xml:space="preserve"> </w:t>
      </w:r>
      <w:r>
        <w:t xml:space="preserve">[GDP growth, consumer-price inflation, household final consumption expenditure growth and official exchange rate (LCU per US$, period average), 2012–2025]. https://data.worldbank.org</w:t>
      </w:r>
    </w:p>
    <w:p>
      <w:pPr>
        <w:pStyle w:val="BodyText"/>
        <w:keepNext/>
        <w:pageBreakBefore/>
        <w:spacing w:before="200" w:after="0" w:line="240" w:lineRule="auto"/>
        <w:jc w:val="center"/>
      </w:pPr>
      <w:r>
        <w:drawing>
          <wp:inline>
            <wp:extent cx="5400000" cy="2949134"/>
            <wp:effectExtent b="0" l="0" r="0" t="0"/>
            <wp:docPr descr="" title="" id="73" name="Picture"/>
            <a:graphic>
              <a:graphicData uri="http://schemas.openxmlformats.org/drawingml/2006/picture">
                <pic:pic>
                  <pic:nvPicPr>
                    <pic:cNvPr descr="figures_yzu/fig3_1_two_links.png" id="74" name="Picture"/>
                    <pic:cNvPicPr>
                      <a:picLocks noChangeArrowheads="1" noChangeAspect="1"/>
                    </pic:cNvPicPr>
                  </pic:nvPicPr>
                  <pic:blipFill>
                    <a:blip r:embed="rId72"/>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BodyText"/>
        <w:keepNext/>
        <w:pageBreakBefore/>
        <w:spacing w:before="200" w:after="0" w:line="240" w:lineRule="auto"/>
        <w:jc w:val="center"/>
      </w:pPr>
      <w:r>
        <w:drawing>
          <wp:inline>
            <wp:extent cx="5400000" cy="1978392"/>
            <wp:effectExtent b="0" l="0" r="0" t="0"/>
            <wp:docPr descr="" title="" id="76" name="Picture"/>
            <a:graphic>
              <a:graphicData uri="http://schemas.openxmlformats.org/drawingml/2006/picture">
                <pic:pic>
                  <pic:nvPicPr>
                    <pic:cNvPr descr="figures_yzu/fig5_1_thin_slice.png" id="77" name="Picture"/>
                    <pic:cNvPicPr>
                      <a:picLocks noChangeArrowheads="1" noChangeAspect="1"/>
                    </pic:cNvPicPr>
                  </pic:nvPicPr>
                  <pic:blipFill>
                    <a:blip r:embed="rId75"/>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p>
    <w:p>
      <w:pPr>
        <w:pStyle w:val="BodyText"/>
        <w:keepNext/>
        <w:pageBreakBefore/>
        <w:spacing w:before="200" w:after="0" w:line="240" w:lineRule="auto"/>
        <w:jc w:val="center"/>
      </w:pPr>
      <w:r>
        <w:drawing>
          <wp:inline>
            <wp:extent cx="5400000" cy="1826209"/>
            <wp:effectExtent b="0" l="0" r="0" t="0"/>
            <wp:docPr descr="" title="" id="79" name="Picture"/>
            <a:graphic>
              <a:graphicData uri="http://schemas.openxmlformats.org/drawingml/2006/picture">
                <pic:pic>
                  <pic:nvPicPr>
                    <pic:cNvPr descr="figures_yzu/fig5_2_tokopedia_two_views.png" id="80" name="Picture"/>
                    <pic:cNvPicPr>
                      <a:picLocks noChangeArrowheads="1" noChangeAspect="1"/>
                    </pic:cNvPicPr>
                  </pic:nvPicPr>
                  <pic:blipFill>
                    <a:blip r:embed="rId78"/>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keepNext/>
        <w:pageBreakBefore/>
        <w:spacing w:before="200" w:after="0" w:line="240" w:lineRule="auto"/>
        <w:jc w:val="center"/>
      </w:pPr>
      <w:r>
        <w:drawing>
          <wp:inline>
            <wp:extent cx="5400000" cy="2891497"/>
            <wp:effectExtent b="0" l="0" r="0" t="0"/>
            <wp:docPr descr="" title="" id="82" name="Picture"/>
            <a:graphic>
              <a:graphicData uri="http://schemas.openxmlformats.org/drawingml/2006/picture">
                <pic:pic>
                  <pic:nvPicPr>
                    <pic:cNvPr descr="figures_yzu/fig5_3_growth_2023.png" id="83" name="Picture"/>
                    <pic:cNvPicPr>
                      <a:picLocks noChangeArrowheads="1" noChangeAspect="1"/>
                    </pic:cNvPicPr>
                  </pic:nvPicPr>
                  <pic:blipFill>
                    <a:blip r:embed="rId81"/>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keepNext/>
        <w:pageBreakBefore/>
        <w:spacing w:before="200" w:after="0" w:line="240" w:lineRule="auto"/>
        <w:jc w:val="center"/>
      </w:pPr>
      <w:r>
        <w:drawing>
          <wp:inline>
            <wp:extent cx="5400000" cy="2130577"/>
            <wp:effectExtent b="0" l="0" r="0" t="0"/>
            <wp:docPr descr="" title="" id="85" name="Picture"/>
            <a:graphic>
              <a:graphicData uri="http://schemas.openxmlformats.org/drawingml/2006/picture">
                <pic:pic>
                  <pic:nvPicPr>
                    <pic:cNvPr descr="figures_yzu/fig5_4_extra_sellers.png" id="86" name="Picture"/>
                    <pic:cNvPicPr>
                      <a:picLocks noChangeArrowheads="1" noChangeAspect="1"/>
                    </pic:cNvPicPr>
                  </pic:nvPicPr>
                  <pic:blipFill>
                    <a:blip r:embed="rId84"/>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keepNext/>
        <w:pageBreakBefore/>
        <w:spacing w:before="200" w:after="0" w:line="240" w:lineRule="auto"/>
        <w:jc w:val="center"/>
      </w:pPr>
      <w:r>
        <w:drawing>
          <wp:inline>
            <wp:extent cx="5400000" cy="2480043"/>
            <wp:effectExtent b="0" l="0" r="0" t="0"/>
            <wp:docPr descr="" title="" id="88" name="Picture"/>
            <a:graphic>
              <a:graphicData uri="http://schemas.openxmlformats.org/drawingml/2006/picture">
                <pic:pic>
                  <pic:nvPicPr>
                    <pic:cNvPr descr="figures_yzu/fig5_5_marketplace_and_records.png" id="89" name="Picture"/>
                    <pic:cNvPicPr>
                      <a:picLocks noChangeArrowheads="1" noChangeAspect="1"/>
                    </pic:cNvPicPr>
                  </pic:nvPicPr>
                  <pic:blipFill>
                    <a:blip r:embed="rId87"/>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TableCaption"/>
        <w:keepNext/>
        <w:pageBreakBefore/>
      </w:pPr>
      <w:r>
        <w:rPr>
          <w:b/>
        </w:rPr>
        <w:t>Table 1.</w:t>
      </w:r>
      <w:r>
        <w:rPr>
          <w:b w:val="0"/>
        </w:rPr>
        <w:t xml:space="preserve"> The invisible wedge of three platforms, 2023 (US$ billion)</w:t>
      </w:r>
    </w:p>
    <w:p>
      <w:pPr>
        <w:pStyle w:val="TableNote"/>
        <w:keepNext/>
      </w:pPr>
      <w:r>
        <w:t xml:space="preserve">This table reports transaction value, revenue, the wedge (transaction value less revenue) and the ecosystem ratio (the wedge divided by revenue) for Tokopedia, Shopee in Indonesia and Grab in Indonesia in 2023. The last column states how each platform’s amounts are obtained. The total row is the sum of the three platforms and is not a national total.</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TableCaption"/>
        <w:keepNext/>
        <w:pageBreakBefore/>
      </w:pPr>
      <w:r>
        <w:rPr>
          <w:b/>
        </w:rPr>
        <w:t>Table 2.</w:t>
      </w:r>
      <w:r>
        <w:rPr>
          <w:b w:val="0"/>
        </w:rPr>
        <w:t xml:space="preserve"> Summary statistics and correlations</w:t>
      </w:r>
    </w:p>
    <w:p>
      <w:pPr>
        <w:pStyle w:val="TableNote"/>
        <w:keepNext/>
      </w:pPr>
      <w: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TableNote"/>
        <w:keepNext/>
      </w:pPr>
      <w:r>
        <w:rPr>
          <w:iCs/>
          <w:i/>
        </w:rPr>
        <w:t xml:space="preserve">Panel A. Summary statistics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09"/>
        <w:gridCol w:w="1530"/>
        <w:gridCol w:w="655"/>
        <w:gridCol w:w="655"/>
        <w:gridCol w:w="655"/>
        <w:gridCol w:w="845"/>
        <w:gridCol w:w="750"/>
        <w:gridCol w:w="655"/>
        <w:gridCol w:w="845"/>
      </w:tblGrid>
      <w:tr>
        <w:trPr>
          <w:tblHeader w:val="true"/>
          <w:cantSplit/>
          <w:tblHeader/>
        </w:trPr>
        <w:tc>
          <w:tcPr>
            <w:tcW w:w="1909" w:type="dxa"/>
            <w:tcBorders>
              <w:bottom w:val="single" w:sz="5" w:space="0" w:color="000000"/>
            </w:tcBorders>
          </w:tcPr>
          <w:p>
            <w:pPr>
              <w:pStyle w:val="Compact"/>
              <w:keepNext/>
              <w:spacing w:before="0" w:after="0" w:lineRule="exact" w:line="220"/>
              <w:jc w:val="left"/>
            </w:pPr>
            <w:r>
              <w:rPr>
                <w:b/>
                <w:sz w:val="18"/>
              </w:rPr>
              <w:t xml:space="preserve">Variable</w:t>
            </w:r>
          </w:p>
        </w:tc>
        <w:tc>
          <w:tcPr>
            <w:tcW w:w="3495" w:type="dxa"/>
            <w:gridSpan w:val="4"/>
            <w:tcBorders>
              <w:bottom w:val="single" w:sz="5" w:space="0" w:color="000000"/>
            </w:tcBorders>
          </w:tcPr>
          <w:p>
            <w:pPr>
              <w:pStyle w:val="Compact"/>
              <w:keepNext/>
              <w:spacing w:before="0" w:after="0" w:lineRule="exact" w:line="220"/>
              <w:jc w:val="center"/>
            </w:pPr>
            <w:r>
              <w:rPr>
                <w:b/>
                <w:sz w:val="18"/>
              </w:rPr>
              <w:t xml:space="preserve">Indonesian and regional</w:t>
            </w:r>
          </w:p>
        </w:tc>
        <w:tc>
          <w:tcPr>
            <w:tcW w:w="3095" w:type="dxa"/>
            <w:gridSpan w:val="4"/>
            <w:tcBorders>
              <w:bottom w:val="single" w:sz="5" w:space="0" w:color="000000"/>
            </w:tcBorders>
          </w:tcPr>
          <w:p>
            <w:pPr>
              <w:pStyle w:val="Compact"/>
              <w:keepNext/>
              <w:spacing w:before="0" w:after="0" w:lineRule="exact" w:line="220"/>
              <w:jc w:val="center"/>
            </w:pPr>
            <w:r>
              <w:rPr>
                <w:b/>
                <w:sz w:val="18"/>
              </w:rPr>
              <w:t xml:space="preserve">Foreign</w:t>
            </w:r>
          </w:p>
        </w:tc>
      </w:tr>
      <w:tr>
        <w:trPr>
          <w:cantSplit/>
        </w:trPr>
        <w:tc>
          <w:tcPr>
            <w:tcW w:w="1909" w:type="dxa"/>
          </w:tcPr>
          <w:p>
            <w:pPr>
              <w:pStyle w:val="Compact"/>
              <w:keepNext/>
              <w:spacing w:before="0" w:after="0" w:lineRule="exact" w:line="220"/>
              <w:jc w:val="left"/>
            </w:pPr>
          </w:p>
        </w:tc>
        <w:tc>
          <w:tcPr>
            <w:tcW w:w="1530" w:type="dxa"/>
          </w:tcPr>
          <w:p>
            <w:pPr>
              <w:pStyle w:val="Compact"/>
              <w:keepNext/>
              <w:spacing w:before="0" w:after="0" w:lineRule="exact" w:line="220"/>
              <w:jc w:val="left"/>
            </w:pPr>
            <w:r>
              <w:rPr>
                <w:bCs/>
                <w:b/>
                <w:sz w:val="18"/>
              </w:rPr>
              <w:t xml:space="preserve">N</w:t>
            </w:r>
          </w:p>
        </w:tc>
        <w:tc>
          <w:tcPr>
            <w:tcW w:w="655"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655" w:type="dxa"/>
          </w:tcPr>
          <w:p>
            <w:pPr>
              <w:pStyle w:val="Compact"/>
              <w:keepNext/>
              <w:spacing w:before="0" w:after="0" w:lineRule="exact" w:line="220"/>
              <w:jc w:val="left"/>
            </w:pPr>
            <w:r>
              <w:rPr>
                <w:bCs/>
                <w:b/>
                <w:sz w:val="18"/>
              </w:rPr>
              <w:t xml:space="preserve">SD</w:t>
            </w:r>
          </w:p>
        </w:tc>
        <w:tc>
          <w:tcPr>
            <w:tcW w:w="845" w:type="dxa"/>
          </w:tcPr>
          <w:p>
            <w:pPr>
              <w:pStyle w:val="Compact"/>
              <w:keepNext/>
              <w:spacing w:before="0" w:after="0" w:lineRule="exact" w:line="220"/>
              <w:jc w:val="left"/>
            </w:pPr>
            <w:r>
              <w:rPr>
                <w:bCs/>
                <w:b/>
                <w:sz w:val="18"/>
              </w:rPr>
              <w:t xml:space="preserve">N</w:t>
            </w:r>
          </w:p>
        </w:tc>
        <w:tc>
          <w:tcPr>
            <w:tcW w:w="750"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845" w:type="dxa"/>
          </w:tcPr>
          <w:p>
            <w:pPr>
              <w:pStyle w:val="Compact"/>
              <w:keepNext/>
              <w:spacing w:before="0" w:after="0" w:lineRule="exact" w:line="220"/>
              <w:jc w:val="left"/>
            </w:pPr>
            <w:r>
              <w:rPr>
                <w:bCs/>
                <w:b/>
                <w:sz w:val="18"/>
              </w:rPr>
              <w:t xml:space="preserve">SD</w:t>
            </w:r>
          </w:p>
        </w:tc>
      </w:tr>
      <w:tr>
        <w:trPr>
          <w:cantSplit/>
        </w:trPr>
        <w:tc>
          <w:tcPr>
            <w:tcW w:w="1909" w:type="dxa"/>
          </w:tcPr>
          <w:p>
            <w:pPr>
              <w:pStyle w:val="Compact"/>
              <w:keepNext/>
              <w:spacing w:before="0" w:after="0" w:lineRule="exact" w:line="220"/>
              <w:jc w:val="left"/>
            </w:pPr>
            <w:r>
              <w:rPr>
                <w:sz w:val="18"/>
              </w:rPr>
              <w:t xml:space="preserve">Wedge,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7,834</w:t>
            </w:r>
          </w:p>
        </w:tc>
        <w:tc>
          <w:tcPr>
            <w:tcW w:w="655" w:type="dxa"/>
          </w:tcPr>
          <w:p>
            <w:pPr>
              <w:pStyle w:val="Compact"/>
              <w:keepNext/>
              <w:spacing w:before="0" w:after="0" w:lineRule="exact" w:line="220"/>
              <w:jc w:val="left"/>
            </w:pPr>
            <w:r>
              <w:rPr>
                <w:sz w:val="18"/>
              </w:rPr>
              <w:t xml:space="preserve">6,999</w:t>
            </w:r>
          </w:p>
        </w:tc>
        <w:tc>
          <w:tcPr>
            <w:tcW w:w="655" w:type="dxa"/>
          </w:tcPr>
          <w:p>
            <w:pPr>
              <w:pStyle w:val="Compact"/>
              <w:keepNext/>
              <w:spacing w:before="0" w:after="0" w:lineRule="exact" w:line="220"/>
              <w:jc w:val="left"/>
            </w:pPr>
            <w:r>
              <w:rPr>
                <w:sz w:val="18"/>
              </w:rPr>
              <w:t xml:space="preserve">5,311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50,439</w:t>
            </w:r>
          </w:p>
        </w:tc>
        <w:tc>
          <w:tcPr>
            <w:tcW w:w="655" w:type="dxa"/>
          </w:tcPr>
          <w:p>
            <w:pPr>
              <w:pStyle w:val="Compact"/>
              <w:keepNext/>
              <w:spacing w:before="0" w:after="0" w:lineRule="exact" w:line="220"/>
              <w:jc w:val="left"/>
            </w:pPr>
            <w:r>
              <w:rPr>
                <w:sz w:val="18"/>
              </w:rPr>
              <w:t xml:space="preserve">3,732</w:t>
            </w:r>
          </w:p>
        </w:tc>
        <w:tc>
          <w:tcPr>
            <w:tcW w:w="845" w:type="dxa"/>
          </w:tcPr>
          <w:p>
            <w:pPr>
              <w:pStyle w:val="Compact"/>
              <w:keepNext/>
              <w:spacing w:before="0" w:after="0" w:lineRule="exact" w:line="220"/>
              <w:jc w:val="left"/>
            </w:pPr>
            <w:r>
              <w:rPr>
                <w:sz w:val="18"/>
              </w:rPr>
              <w:t xml:space="preserve">142,180</w:t>
            </w:r>
          </w:p>
        </w:tc>
      </w:tr>
      <w:tr>
        <w:trPr>
          <w:cantSplit/>
        </w:trPr>
        <w:tc>
          <w:tcPr>
            <w:tcW w:w="1909" w:type="dxa"/>
          </w:tcPr>
          <w:p>
            <w:pPr>
              <w:pStyle w:val="Compact"/>
              <w:keepNext/>
              <w:spacing w:before="0" w:after="0" w:lineRule="exact" w:line="220"/>
              <w:jc w:val="left"/>
            </w:pPr>
            <w:r>
              <w:rPr>
                <w:sz w:val="18"/>
              </w:rPr>
              <w:t xml:space="preserve">Ecosystem ratio</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25.08</w:t>
            </w:r>
          </w:p>
        </w:tc>
        <w:tc>
          <w:tcPr>
            <w:tcW w:w="655" w:type="dxa"/>
          </w:tcPr>
          <w:p>
            <w:pPr>
              <w:pStyle w:val="Compact"/>
              <w:keepNext/>
              <w:spacing w:before="0" w:after="0" w:lineRule="exact" w:line="220"/>
              <w:jc w:val="left"/>
            </w:pPr>
            <w:r>
              <w:rPr>
                <w:sz w:val="18"/>
              </w:rPr>
              <w:t xml:space="preserve">34.66</w:t>
            </w:r>
          </w:p>
        </w:tc>
        <w:tc>
          <w:tcPr>
            <w:tcW w:w="655" w:type="dxa"/>
          </w:tcPr>
          <w:p>
            <w:pPr>
              <w:pStyle w:val="Compact"/>
              <w:keepNext/>
              <w:spacing w:before="0" w:after="0" w:lineRule="exact" w:line="220"/>
              <w:jc w:val="left"/>
            </w:pPr>
            <w:r>
              <w:rPr>
                <w:sz w:val="18"/>
              </w:rPr>
              <w:t xml:space="preserve">14.95</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8.84</w:t>
            </w:r>
          </w:p>
        </w:tc>
        <w:tc>
          <w:tcPr>
            <w:tcW w:w="655" w:type="dxa"/>
          </w:tcPr>
          <w:p>
            <w:pPr>
              <w:pStyle w:val="Compact"/>
              <w:keepNext/>
              <w:spacing w:before="0" w:after="0" w:lineRule="exact" w:line="220"/>
              <w:jc w:val="left"/>
            </w:pPr>
            <w:r>
              <w:rPr>
                <w:sz w:val="18"/>
              </w:rPr>
              <w:t xml:space="preserve">5.50</w:t>
            </w:r>
          </w:p>
        </w:tc>
        <w:tc>
          <w:tcPr>
            <w:tcW w:w="845" w:type="dxa"/>
          </w:tcPr>
          <w:p>
            <w:pPr>
              <w:pStyle w:val="Compact"/>
              <w:keepNext/>
              <w:spacing w:before="0" w:after="0" w:lineRule="exact" w:line="220"/>
              <w:jc w:val="left"/>
            </w:pPr>
            <w:r>
              <w:rPr>
                <w:sz w:val="18"/>
              </w:rPr>
              <w:t xml:space="preserve">9.56</w:t>
            </w:r>
          </w:p>
        </w:tc>
      </w:tr>
      <w:tr>
        <w:trPr>
          <w:cantSplit/>
        </w:trPr>
        <w:tc>
          <w:tcPr>
            <w:tcW w:w="1909" w:type="dxa"/>
          </w:tcPr>
          <w:p>
            <w:pPr>
              <w:pStyle w:val="Compact"/>
              <w:keepNext/>
              <w:spacing w:before="0" w:after="0" w:lineRule="exact" w:line="220"/>
              <w:jc w:val="left"/>
            </w:pPr>
            <w:r>
              <w:rPr>
                <w:sz w:val="18"/>
              </w:rPr>
              <w:t xml:space="preserve">Revenue growth, g(R)</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0.53</w:t>
            </w:r>
          </w:p>
        </w:tc>
        <w:tc>
          <w:tcPr>
            <w:tcW w:w="655" w:type="dxa"/>
          </w:tcPr>
          <w:p>
            <w:pPr>
              <w:pStyle w:val="Compact"/>
              <w:keepNext/>
              <w:spacing w:before="0" w:after="0" w:lineRule="exact" w:line="220"/>
              <w:jc w:val="left"/>
            </w:pPr>
            <w:r>
              <w:rPr>
                <w:sz w:val="18"/>
              </w:rPr>
              <w:t xml:space="preserve">0.38</w:t>
            </w:r>
          </w:p>
        </w:tc>
        <w:tc>
          <w:tcPr>
            <w:tcW w:w="655" w:type="dxa"/>
          </w:tcPr>
          <w:p>
            <w:pPr>
              <w:pStyle w:val="Compact"/>
              <w:keepNext/>
              <w:spacing w:before="0" w:after="0" w:lineRule="exact" w:line="220"/>
              <w:jc w:val="left"/>
            </w:pPr>
            <w:r>
              <w:rPr>
                <w:sz w:val="18"/>
              </w:rPr>
              <w:t xml:space="preserve">0.44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0.32</w:t>
            </w:r>
          </w:p>
        </w:tc>
        <w:tc>
          <w:tcPr>
            <w:tcW w:w="655" w:type="dxa"/>
          </w:tcPr>
          <w:p>
            <w:pPr>
              <w:pStyle w:val="Compact"/>
              <w:keepNext/>
              <w:spacing w:before="0" w:after="0" w:lineRule="exact" w:line="220"/>
              <w:jc w:val="left"/>
            </w:pPr>
            <w:r>
              <w:rPr>
                <w:sz w:val="18"/>
              </w:rPr>
              <w:t xml:space="preserve">0.21</w:t>
            </w:r>
          </w:p>
        </w:tc>
        <w:tc>
          <w:tcPr>
            <w:tcW w:w="845" w:type="dxa"/>
          </w:tcPr>
          <w:p>
            <w:pPr>
              <w:pStyle w:val="Compact"/>
              <w:keepNext/>
              <w:spacing w:before="0" w:after="0" w:lineRule="exact" w:line="220"/>
              <w:jc w:val="left"/>
            </w:pPr>
            <w:r>
              <w:rPr>
                <w:sz w:val="18"/>
              </w:rPr>
              <w:t xml:space="preserve">0.44</w:t>
            </w:r>
          </w:p>
        </w:tc>
      </w:tr>
      <w:tr>
        <w:trPr>
          <w:cantSplit/>
        </w:trPr>
        <w:tc>
          <w:tcPr>
            <w:tcW w:w="1909" w:type="dxa"/>
          </w:tcPr>
          <w:p>
            <w:pPr>
              <w:pStyle w:val="Compact"/>
              <w:keepNext/>
              <w:spacing w:before="0" w:after="0" w:lineRule="exact" w:line="220"/>
              <w:jc w:val="left"/>
            </w:pPr>
            <w:r>
              <w:rPr>
                <w:sz w:val="18"/>
              </w:rPr>
              <w:t xml:space="preserve">Transaction value growth, g(V)</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0.22</w:t>
            </w:r>
          </w:p>
        </w:tc>
        <w:tc>
          <w:tcPr>
            <w:tcW w:w="655" w:type="dxa"/>
          </w:tcPr>
          <w:p>
            <w:pPr>
              <w:pStyle w:val="Compact"/>
              <w:keepNext/>
              <w:spacing w:before="0" w:after="0" w:lineRule="exact" w:line="220"/>
              <w:jc w:val="left"/>
            </w:pPr>
            <w:r>
              <w:rPr>
                <w:sz w:val="18"/>
              </w:rPr>
              <w:t xml:space="preserve">0.16</w:t>
            </w:r>
          </w:p>
        </w:tc>
        <w:tc>
          <w:tcPr>
            <w:tcW w:w="655" w:type="dxa"/>
          </w:tcPr>
          <w:p>
            <w:pPr>
              <w:pStyle w:val="Compact"/>
              <w:keepNext/>
              <w:spacing w:before="0" w:after="0" w:lineRule="exact" w:line="220"/>
              <w:jc w:val="left"/>
            </w:pPr>
            <w:r>
              <w:rPr>
                <w:sz w:val="18"/>
              </w:rPr>
              <w:t xml:space="preserve">0.34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0.26</w:t>
            </w:r>
          </w:p>
        </w:tc>
        <w:tc>
          <w:tcPr>
            <w:tcW w:w="655" w:type="dxa"/>
          </w:tcPr>
          <w:p>
            <w:pPr>
              <w:pStyle w:val="Compact"/>
              <w:keepNext/>
              <w:spacing w:before="0" w:after="0" w:lineRule="exact" w:line="220"/>
              <w:jc w:val="left"/>
            </w:pPr>
            <w:r>
              <w:rPr>
                <w:sz w:val="18"/>
              </w:rPr>
              <w:t xml:space="preserve">0.16</w:t>
            </w:r>
          </w:p>
        </w:tc>
        <w:tc>
          <w:tcPr>
            <w:tcW w:w="845" w:type="dxa"/>
          </w:tcPr>
          <w:p>
            <w:pPr>
              <w:pStyle w:val="Compact"/>
              <w:keepNext/>
              <w:spacing w:before="0" w:after="0" w:lineRule="exact" w:line="220"/>
              <w:jc w:val="left"/>
            </w:pPr>
            <w:r>
              <w:rPr>
                <w:sz w:val="18"/>
              </w:rPr>
              <w:t xml:space="preserve">0.40</w:t>
            </w:r>
          </w:p>
        </w:tc>
      </w:tr>
      <w:tr>
        <w:trPr>
          <w:cantSplit/>
        </w:trPr>
        <w:tc>
          <w:tcPr>
            <w:tcW w:w="1909" w:type="dxa"/>
          </w:tcPr>
          <w:p>
            <w:pPr>
              <w:pStyle w:val="Compact"/>
              <w:keepNext/>
              <w:spacing w:before="0" w:after="0" w:lineRule="exact" w:line="220"/>
              <w:jc w:val="left"/>
            </w:pPr>
            <w:r>
              <w:rPr>
                <w:sz w:val="18"/>
              </w:rPr>
              <w:t xml:space="preserve">Total assets,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4,300</w:t>
            </w:r>
          </w:p>
        </w:tc>
        <w:tc>
          <w:tcPr>
            <w:tcW w:w="655" w:type="dxa"/>
          </w:tcPr>
          <w:p>
            <w:pPr>
              <w:pStyle w:val="Compact"/>
              <w:keepNext/>
              <w:spacing w:before="0" w:after="0" w:lineRule="exact" w:line="220"/>
              <w:jc w:val="left"/>
            </w:pPr>
            <w:r>
              <w:rPr>
                <w:sz w:val="18"/>
              </w:rPr>
              <w:t xml:space="preserve">2,751</w:t>
            </w:r>
          </w:p>
        </w:tc>
        <w:tc>
          <w:tcPr>
            <w:tcW w:w="655" w:type="dxa"/>
          </w:tcPr>
          <w:p>
            <w:pPr>
              <w:pStyle w:val="Compact"/>
              <w:keepNext/>
              <w:spacing w:before="0" w:after="0" w:lineRule="exact" w:line="220"/>
              <w:jc w:val="left"/>
            </w:pPr>
            <w:r>
              <w:rPr>
                <w:sz w:val="18"/>
              </w:rPr>
              <w:t xml:space="preserve">3,727</w:t>
            </w:r>
          </w:p>
        </w:tc>
        <w:tc>
          <w:tcPr>
            <w:tcW w:w="845" w:type="dxa"/>
          </w:tcPr>
          <w:p>
            <w:pPr>
              <w:pStyle w:val="Compact"/>
              <w:keepNext/>
              <w:spacing w:before="0" w:after="0" w:lineRule="exact" w:line="220"/>
              <w:jc w:val="left"/>
            </w:pPr>
            <w:r>
              <w:rPr>
                <w:sz w:val="18"/>
              </w:rPr>
              <w:t xml:space="preserve">182</w:t>
            </w:r>
          </w:p>
        </w:tc>
        <w:tc>
          <w:tcPr>
            <w:tcW w:w="750" w:type="dxa"/>
          </w:tcPr>
          <w:p>
            <w:pPr>
              <w:pStyle w:val="Compact"/>
              <w:keepNext/>
              <w:spacing w:before="0" w:after="0" w:lineRule="exact" w:line="220"/>
              <w:jc w:val="left"/>
            </w:pPr>
            <w:r>
              <w:rPr>
                <w:sz w:val="18"/>
              </w:rPr>
              <w:t xml:space="preserve">13,252</w:t>
            </w:r>
          </w:p>
        </w:tc>
        <w:tc>
          <w:tcPr>
            <w:tcW w:w="655" w:type="dxa"/>
          </w:tcPr>
          <w:p>
            <w:pPr>
              <w:pStyle w:val="Compact"/>
              <w:keepNext/>
              <w:spacing w:before="0" w:after="0" w:lineRule="exact" w:line="220"/>
              <w:jc w:val="left"/>
            </w:pPr>
            <w:r>
              <w:rPr>
                <w:sz w:val="18"/>
              </w:rPr>
              <w:t xml:space="preserve">1,461</w:t>
            </w:r>
          </w:p>
        </w:tc>
        <w:tc>
          <w:tcPr>
            <w:tcW w:w="845" w:type="dxa"/>
          </w:tcPr>
          <w:p>
            <w:pPr>
              <w:pStyle w:val="Compact"/>
              <w:keepNext/>
              <w:spacing w:before="0" w:after="0" w:lineRule="exact" w:line="220"/>
              <w:jc w:val="left"/>
            </w:pPr>
            <w:r>
              <w:rPr>
                <w:sz w:val="18"/>
              </w:rPr>
              <w:t xml:space="preserve">35,325</w:t>
            </w:r>
          </w:p>
        </w:tc>
      </w:tr>
      <w:tr>
        <w:trPr>
          <w:cantSplit/>
        </w:trPr>
        <w:tc>
          <w:tcPr>
            <w:tcW w:w="1909" w:type="dxa"/>
          </w:tcPr>
          <w:p>
            <w:pPr>
              <w:pStyle w:val="Compact"/>
              <w:keepNext/>
              <w:spacing w:before="0" w:after="0" w:lineRule="exact" w:line="220"/>
              <w:jc w:val="left"/>
            </w:pPr>
            <w:r>
              <w:rPr>
                <w:sz w:val="18"/>
              </w:rPr>
              <w:t xml:space="preserve">Years since listing</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1.10</w:t>
            </w:r>
          </w:p>
        </w:tc>
        <w:tc>
          <w:tcPr>
            <w:tcW w:w="655" w:type="dxa"/>
          </w:tcPr>
          <w:p>
            <w:pPr>
              <w:pStyle w:val="Compact"/>
              <w:keepNext/>
              <w:spacing w:before="0" w:after="0" w:lineRule="exact" w:line="220"/>
              <w:jc w:val="left"/>
            </w:pPr>
            <w:r>
              <w:rPr>
                <w:sz w:val="18"/>
              </w:rPr>
              <w:t xml:space="preserve">1.00</w:t>
            </w:r>
          </w:p>
        </w:tc>
        <w:tc>
          <w:tcPr>
            <w:tcW w:w="655" w:type="dxa"/>
          </w:tcPr>
          <w:p>
            <w:pPr>
              <w:pStyle w:val="Compact"/>
              <w:keepNext/>
              <w:spacing w:before="0" w:after="0" w:lineRule="exact" w:line="220"/>
              <w:jc w:val="left"/>
            </w:pPr>
            <w:r>
              <w:rPr>
                <w:sz w:val="18"/>
              </w:rPr>
              <w:t xml:space="preserve">1.12</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6.38</w:t>
            </w:r>
          </w:p>
        </w:tc>
        <w:tc>
          <w:tcPr>
            <w:tcW w:w="655" w:type="dxa"/>
          </w:tcPr>
          <w:p>
            <w:pPr>
              <w:pStyle w:val="Compact"/>
              <w:keepNext/>
              <w:spacing w:before="0" w:after="0" w:lineRule="exact" w:line="220"/>
              <w:jc w:val="left"/>
            </w:pPr>
            <w:r>
              <w:rPr>
                <w:sz w:val="18"/>
              </w:rPr>
              <w:t xml:space="preserve">4.00</w:t>
            </w:r>
          </w:p>
        </w:tc>
        <w:tc>
          <w:tcPr>
            <w:tcW w:w="845" w:type="dxa"/>
          </w:tcPr>
          <w:p>
            <w:pPr>
              <w:pStyle w:val="Compact"/>
              <w:keepNext/>
              <w:spacing w:before="0" w:after="0" w:lineRule="exact" w:line="220"/>
              <w:jc w:val="left"/>
            </w:pPr>
            <w:r>
              <w:rPr>
                <w:sz w:val="18"/>
              </w:rPr>
              <w:t xml:space="preserve">7.21</w:t>
            </w:r>
          </w:p>
        </w:tc>
      </w:tr>
      <w:tr>
        <w:trPr>
          <w:cantSplit/>
        </w:trPr>
        <w:tc>
          <w:tcPr>
            <w:tcW w:w="1909" w:type="dxa"/>
          </w:tcPr>
          <w:p>
            <w:pPr>
              <w:pStyle w:val="Compact"/>
              <w:keepNext/>
              <w:spacing w:before="0" w:after="0" w:lineRule="exact" w:line="220"/>
              <w:jc w:val="left"/>
            </w:pPr>
            <w:r>
              <w:rPr>
                <w:sz w:val="18"/>
              </w:rPr>
              <w:t xml:space="preserve">GDP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4.20</w:t>
            </w:r>
          </w:p>
        </w:tc>
        <w:tc>
          <w:tcPr>
            <w:tcW w:w="655" w:type="dxa"/>
          </w:tcPr>
          <w:p>
            <w:pPr>
              <w:pStyle w:val="Compact"/>
              <w:keepNext/>
              <w:spacing w:before="0" w:after="0" w:lineRule="exact" w:line="220"/>
              <w:jc w:val="left"/>
            </w:pPr>
            <w:r>
              <w:rPr>
                <w:sz w:val="18"/>
              </w:rPr>
              <w:t xml:space="preserve">5.05</w:t>
            </w:r>
          </w:p>
        </w:tc>
        <w:tc>
          <w:tcPr>
            <w:tcW w:w="655" w:type="dxa"/>
          </w:tcPr>
          <w:p>
            <w:pPr>
              <w:pStyle w:val="Compact"/>
              <w:keepNext/>
              <w:spacing w:before="0" w:after="0" w:lineRule="exact" w:line="220"/>
              <w:jc w:val="left"/>
            </w:pPr>
            <w:r>
              <w:rPr>
                <w:sz w:val="18"/>
              </w:rPr>
              <w:t xml:space="preserve">2.21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3.06</w:t>
            </w:r>
          </w:p>
        </w:tc>
        <w:tc>
          <w:tcPr>
            <w:tcW w:w="655" w:type="dxa"/>
          </w:tcPr>
          <w:p>
            <w:pPr>
              <w:pStyle w:val="Compact"/>
              <w:keepNext/>
              <w:spacing w:before="0" w:after="0" w:lineRule="exact" w:line="220"/>
              <w:jc w:val="left"/>
            </w:pPr>
            <w:r>
              <w:rPr>
                <w:sz w:val="18"/>
              </w:rPr>
              <w:t xml:space="preserve">2.79</w:t>
            </w:r>
          </w:p>
        </w:tc>
        <w:tc>
          <w:tcPr>
            <w:tcW w:w="845" w:type="dxa"/>
          </w:tcPr>
          <w:p>
            <w:pPr>
              <w:pStyle w:val="Compact"/>
              <w:keepNext/>
              <w:spacing w:before="0" w:after="0" w:lineRule="exact" w:line="220"/>
              <w:jc w:val="left"/>
            </w:pPr>
            <w:r>
              <w:rPr>
                <w:sz w:val="18"/>
              </w:rPr>
              <w:t xml:space="preserve">3.00</w:t>
            </w:r>
          </w:p>
        </w:tc>
      </w:tr>
      <w:tr>
        <w:trPr>
          <w:cantSplit/>
        </w:trPr>
        <w:tc>
          <w:tcPr>
            <w:tcW w:w="1909" w:type="dxa"/>
          </w:tcPr>
          <w:p>
            <w:pPr>
              <w:pStyle w:val="Compact"/>
              <w:keepNext/>
              <w:spacing w:before="0" w:after="0" w:lineRule="exact" w:line="220"/>
              <w:jc w:val="left"/>
            </w:pPr>
            <w:r>
              <w:rPr>
                <w:sz w:val="18"/>
              </w:rPr>
              <w:t xml:space="preserve">Inflation,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2.91</w:t>
            </w:r>
          </w:p>
        </w:tc>
        <w:tc>
          <w:tcPr>
            <w:tcW w:w="655" w:type="dxa"/>
          </w:tcPr>
          <w:p>
            <w:pPr>
              <w:pStyle w:val="Compact"/>
              <w:keepNext/>
              <w:spacing w:before="0" w:after="0" w:lineRule="exact" w:line="220"/>
              <w:jc w:val="left"/>
            </w:pPr>
            <w:r>
              <w:rPr>
                <w:sz w:val="18"/>
              </w:rPr>
              <w:t xml:space="preserve">2.93</w:t>
            </w:r>
          </w:p>
        </w:tc>
        <w:tc>
          <w:tcPr>
            <w:tcW w:w="655" w:type="dxa"/>
          </w:tcPr>
          <w:p>
            <w:pPr>
              <w:pStyle w:val="Compact"/>
              <w:keepNext/>
              <w:spacing w:before="0" w:after="0" w:lineRule="exact" w:line="220"/>
              <w:jc w:val="left"/>
            </w:pPr>
            <w:r>
              <w:rPr>
                <w:sz w:val="18"/>
              </w:rPr>
              <w:t xml:space="preserve">1.08</w:t>
            </w:r>
          </w:p>
        </w:tc>
        <w:tc>
          <w:tcPr>
            <w:tcW w:w="845" w:type="dxa"/>
          </w:tcPr>
          <w:p>
            <w:pPr>
              <w:pStyle w:val="Compact"/>
              <w:keepNext/>
              <w:spacing w:before="0" w:after="0" w:lineRule="exact" w:line="220"/>
              <w:jc w:val="left"/>
            </w:pPr>
            <w:r>
              <w:rPr>
                <w:sz w:val="18"/>
              </w:rPr>
              <w:t xml:space="preserve">179</w:t>
            </w:r>
          </w:p>
        </w:tc>
        <w:tc>
          <w:tcPr>
            <w:tcW w:w="750" w:type="dxa"/>
          </w:tcPr>
          <w:p>
            <w:pPr>
              <w:pStyle w:val="Compact"/>
              <w:keepNext/>
              <w:spacing w:before="0" w:after="0" w:lineRule="exact" w:line="220"/>
              <w:jc w:val="left"/>
            </w:pPr>
            <w:r>
              <w:rPr>
                <w:sz w:val="18"/>
              </w:rPr>
              <w:t xml:space="preserve">8.55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21.84</w:t>
            </w:r>
          </w:p>
        </w:tc>
      </w:tr>
      <w:tr>
        <w:trPr>
          <w:cantSplit/>
        </w:trPr>
        <w:tc>
          <w:tcPr>
            <w:tcW w:w="1909" w:type="dxa"/>
          </w:tcPr>
          <w:p>
            <w:pPr>
              <w:pStyle w:val="Compact"/>
              <w:keepNext/>
              <w:spacing w:before="0" w:after="0" w:lineRule="exact" w:line="220"/>
              <w:jc w:val="left"/>
            </w:pPr>
            <w:r>
              <w:rPr>
                <w:sz w:val="18"/>
              </w:rPr>
              <w:t xml:space="preserve">Household spending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3.77</w:t>
            </w:r>
          </w:p>
        </w:tc>
        <w:tc>
          <w:tcPr>
            <w:tcW w:w="655" w:type="dxa"/>
          </w:tcPr>
          <w:p>
            <w:pPr>
              <w:pStyle w:val="Compact"/>
              <w:keepNext/>
              <w:spacing w:before="0" w:after="0" w:lineRule="exact" w:line="220"/>
              <w:jc w:val="left"/>
            </w:pPr>
            <w:r>
              <w:rPr>
                <w:sz w:val="18"/>
              </w:rPr>
              <w:t xml:space="preserve">4.95</w:t>
            </w:r>
          </w:p>
        </w:tc>
        <w:tc>
          <w:tcPr>
            <w:tcW w:w="655" w:type="dxa"/>
          </w:tcPr>
          <w:p>
            <w:pPr>
              <w:pStyle w:val="Compact"/>
              <w:keepNext/>
              <w:spacing w:before="0" w:after="0" w:lineRule="exact" w:line="220"/>
              <w:jc w:val="left"/>
            </w:pPr>
            <w:r>
              <w:rPr>
                <w:sz w:val="18"/>
              </w:rPr>
              <w:t xml:space="preserve">2.45</w:t>
            </w:r>
          </w:p>
        </w:tc>
        <w:tc>
          <w:tcPr>
            <w:tcW w:w="845" w:type="dxa"/>
          </w:tcPr>
          <w:p>
            <w:pPr>
              <w:pStyle w:val="Compact"/>
              <w:keepNext/>
              <w:spacing w:before="0" w:after="0" w:lineRule="exact" w:line="220"/>
              <w:jc w:val="left"/>
            </w:pPr>
            <w:r>
              <w:rPr>
                <w:sz w:val="18"/>
              </w:rPr>
              <w:t xml:space="preserve">174</w:t>
            </w:r>
          </w:p>
        </w:tc>
        <w:tc>
          <w:tcPr>
            <w:tcW w:w="750" w:type="dxa"/>
          </w:tcPr>
          <w:p>
            <w:pPr>
              <w:pStyle w:val="Compact"/>
              <w:keepNext/>
              <w:spacing w:before="0" w:after="0" w:lineRule="exact" w:line="220"/>
              <w:jc w:val="left"/>
            </w:pPr>
            <w:r>
              <w:rPr>
                <w:sz w:val="18"/>
              </w:rPr>
              <w:t xml:space="preserve">3.55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4.21</w:t>
            </w:r>
          </w:p>
        </w:tc>
      </w:tr>
      <w:tr>
        <w:trPr>
          <w:cantSplit/>
        </w:trPr>
        <w:tc>
          <w:tcPr>
            <w:tcW w:w="1909" w:type="dxa"/>
          </w:tcPr>
          <w:p>
            <w:pPr>
              <w:pStyle w:val="Compact"/>
              <w:spacing w:before="0" w:after="0" w:lineRule="exact" w:line="220"/>
              <w:jc w:val="left"/>
            </w:pPr>
            <w:r>
              <w:rPr>
                <w:sz w:val="18"/>
              </w:rPr>
              <w:t xml:space="preserve">Policy rate, percent</w:t>
            </w:r>
          </w:p>
        </w:tc>
        <w:tc>
          <w:tcPr>
            <w:tcW w:w="1530" w:type="dxa"/>
          </w:tcPr>
          <w:p>
            <w:pPr>
              <w:pStyle w:val="Compact"/>
              <w:spacing w:before="0" w:after="0" w:lineRule="exact" w:line="220"/>
              <w:jc w:val="left"/>
            </w:pPr>
            <w:r>
              <w:rPr>
                <w:sz w:val="18"/>
              </w:rPr>
              <w:t xml:space="preserve">20</w:t>
            </w:r>
          </w:p>
        </w:tc>
        <w:tc>
          <w:tcPr>
            <w:tcW w:w="655" w:type="dxa"/>
          </w:tcPr>
          <w:p>
            <w:pPr>
              <w:pStyle w:val="Compact"/>
              <w:spacing w:before="0" w:after="0" w:lineRule="exact" w:line="220"/>
              <w:jc w:val="left"/>
            </w:pPr>
            <w:r>
              <w:rPr>
                <w:sz w:val="18"/>
              </w:rPr>
              <w:t xml:space="preserve">4.85</w:t>
            </w:r>
          </w:p>
        </w:tc>
        <w:tc>
          <w:tcPr>
            <w:tcW w:w="655" w:type="dxa"/>
          </w:tcPr>
          <w:p>
            <w:pPr>
              <w:pStyle w:val="Compact"/>
              <w:spacing w:before="0" w:after="0" w:lineRule="exact" w:line="220"/>
              <w:jc w:val="left"/>
            </w:pPr>
            <w:r>
              <w:rPr>
                <w:sz w:val="18"/>
              </w:rPr>
              <w:t xml:space="preserve">4.76</w:t>
            </w:r>
          </w:p>
        </w:tc>
        <w:tc>
          <w:tcPr>
            <w:tcW w:w="655" w:type="dxa"/>
          </w:tcPr>
          <w:p>
            <w:pPr>
              <w:pStyle w:val="Compact"/>
              <w:spacing w:before="0" w:after="0" w:lineRule="exact" w:line="220"/>
              <w:jc w:val="left"/>
            </w:pPr>
            <w:r>
              <w:rPr>
                <w:sz w:val="18"/>
              </w:rPr>
              <w:t xml:space="preserve">1.01</w:t>
            </w:r>
          </w:p>
        </w:tc>
        <w:tc>
          <w:tcPr>
            <w:tcW w:w="845" w:type="dxa"/>
          </w:tcPr>
          <w:p>
            <w:pPr>
              <w:pStyle w:val="Compact"/>
              <w:spacing w:before="0" w:after="0" w:lineRule="exact" w:line="220"/>
              <w:jc w:val="left"/>
            </w:pPr>
            <w:r>
              <w:rPr>
                <w:sz w:val="18"/>
              </w:rPr>
              <w:t xml:space="preserve">183</w:t>
            </w:r>
          </w:p>
        </w:tc>
        <w:tc>
          <w:tcPr>
            <w:tcW w:w="750" w:type="dxa"/>
          </w:tcPr>
          <w:p>
            <w:pPr>
              <w:pStyle w:val="Compact"/>
              <w:spacing w:before="0" w:after="0" w:lineRule="exact" w:line="220"/>
              <w:jc w:val="left"/>
            </w:pPr>
            <w:r>
              <w:rPr>
                <w:sz w:val="18"/>
              </w:rPr>
              <w:t xml:space="preserve">6.24</w:t>
            </w:r>
          </w:p>
        </w:tc>
        <w:tc>
          <w:tcPr>
            <w:tcW w:w="655" w:type="dxa"/>
          </w:tcPr>
          <w:p>
            <w:pPr>
              <w:pStyle w:val="Compact"/>
              <w:spacing w:before="0" w:after="0" w:lineRule="exact" w:line="220"/>
              <w:jc w:val="left"/>
            </w:pPr>
            <w:r>
              <w:rPr>
                <w:sz w:val="18"/>
              </w:rPr>
              <w:t xml:space="preserve">3.91</w:t>
            </w:r>
          </w:p>
        </w:tc>
        <w:tc>
          <w:tcPr>
            <w:tcW w:w="845" w:type="dxa"/>
          </w:tcPr>
          <w:p>
            <w:pPr>
              <w:pStyle w:val="Compact"/>
              <w:spacing w:before="0" w:after="0" w:lineRule="exact" w:line="220"/>
              <w:jc w:val="left"/>
            </w:pPr>
            <w:r>
              <w:rPr>
                <w:sz w:val="18"/>
              </w:rPr>
              <w:t xml:space="preserve">12.34</w:t>
            </w:r>
          </w:p>
        </w:tc>
      </w:tr>
    </w:tbl>
    <w:p>
      <w:pPr>
        <w:pStyle w:val="TableNote"/>
        <w:keepNext/>
      </w:pPr>
      <w:r>
        <w:rPr>
          <w:iCs/>
          <w:i/>
        </w:rPr>
        <w:t xml:space="preserve">Panel B. Pairwise correlations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778"/>
        <w:gridCol w:w="778"/>
        <w:gridCol w:w="778"/>
        <w:gridCol w:w="778"/>
        <w:gridCol w:w="778"/>
        <w:gridCol w:w="778"/>
        <w:gridCol w:w="778"/>
        <w:gridCol w:w="778"/>
        <w:gridCol w:w="778"/>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6"/>
              </w:rPr>
              <w:t xml:space="preserve">Variables</w:t>
            </w:r>
          </w:p>
        </w:tc>
        <w:tc>
          <w:tcPr>
            <w:tcW w:w="778" w:type="dxa"/>
            <w:tcBorders>
              <w:bottom w:val="single" w:sz="5" w:space="0" w:color="000000"/>
            </w:tcBorders>
          </w:tcPr>
          <w:p>
            <w:pPr>
              <w:pStyle w:val="Compact"/>
              <w:keepNext/>
              <w:spacing w:before="0" w:after="0" w:lineRule="exact" w:line="220"/>
              <w:jc w:val="left"/>
            </w:pPr>
            <w:r>
              <w:rPr>
                <w:b/>
                <w:sz w:val="16"/>
              </w:rPr>
              <w:t xml:space="preserve">(1)</w:t>
            </w:r>
          </w:p>
        </w:tc>
        <w:tc>
          <w:tcPr>
            <w:tcW w:w="778" w:type="dxa"/>
            <w:tcBorders>
              <w:bottom w:val="single" w:sz="5" w:space="0" w:color="000000"/>
            </w:tcBorders>
          </w:tcPr>
          <w:p>
            <w:pPr>
              <w:pStyle w:val="Compact"/>
              <w:keepNext/>
              <w:spacing w:before="0" w:after="0" w:lineRule="exact" w:line="220"/>
              <w:jc w:val="left"/>
            </w:pPr>
            <w:r>
              <w:rPr>
                <w:b/>
                <w:sz w:val="16"/>
              </w:rPr>
              <w:t xml:space="preserve">(2)</w:t>
            </w:r>
          </w:p>
        </w:tc>
        <w:tc>
          <w:tcPr>
            <w:tcW w:w="778" w:type="dxa"/>
            <w:tcBorders>
              <w:bottom w:val="single" w:sz="5" w:space="0" w:color="000000"/>
            </w:tcBorders>
          </w:tcPr>
          <w:p>
            <w:pPr>
              <w:pStyle w:val="Compact"/>
              <w:keepNext/>
              <w:spacing w:before="0" w:after="0" w:lineRule="exact" w:line="220"/>
              <w:jc w:val="left"/>
            </w:pPr>
            <w:r>
              <w:rPr>
                <w:b/>
                <w:sz w:val="16"/>
              </w:rPr>
              <w:t xml:space="preserve">(3)</w:t>
            </w:r>
          </w:p>
        </w:tc>
        <w:tc>
          <w:tcPr>
            <w:tcW w:w="778" w:type="dxa"/>
            <w:tcBorders>
              <w:bottom w:val="single" w:sz="5" w:space="0" w:color="000000"/>
            </w:tcBorders>
          </w:tcPr>
          <w:p>
            <w:pPr>
              <w:pStyle w:val="Compact"/>
              <w:keepNext/>
              <w:spacing w:before="0" w:after="0" w:lineRule="exact" w:line="220"/>
              <w:jc w:val="left"/>
            </w:pPr>
            <w:r>
              <w:rPr>
                <w:b/>
                <w:sz w:val="16"/>
              </w:rPr>
              <w:t xml:space="preserve">(4)</w:t>
            </w:r>
          </w:p>
        </w:tc>
        <w:tc>
          <w:tcPr>
            <w:tcW w:w="778" w:type="dxa"/>
            <w:tcBorders>
              <w:bottom w:val="single" w:sz="5" w:space="0" w:color="000000"/>
            </w:tcBorders>
          </w:tcPr>
          <w:p>
            <w:pPr>
              <w:pStyle w:val="Compact"/>
              <w:keepNext/>
              <w:spacing w:before="0" w:after="0" w:lineRule="exact" w:line="220"/>
              <w:jc w:val="left"/>
            </w:pPr>
            <w:r>
              <w:rPr>
                <w:b/>
                <w:sz w:val="16"/>
              </w:rPr>
              <w:t xml:space="preserve">(5)</w:t>
            </w:r>
          </w:p>
        </w:tc>
        <w:tc>
          <w:tcPr>
            <w:tcW w:w="778" w:type="dxa"/>
            <w:tcBorders>
              <w:bottom w:val="single" w:sz="5" w:space="0" w:color="000000"/>
            </w:tcBorders>
          </w:tcPr>
          <w:p>
            <w:pPr>
              <w:pStyle w:val="Compact"/>
              <w:keepNext/>
              <w:spacing w:before="0" w:after="0" w:lineRule="exact" w:line="220"/>
              <w:jc w:val="left"/>
            </w:pPr>
            <w:r>
              <w:rPr>
                <w:b/>
                <w:sz w:val="16"/>
              </w:rPr>
              <w:t xml:space="preserve">(6)</w:t>
            </w:r>
          </w:p>
        </w:tc>
        <w:tc>
          <w:tcPr>
            <w:tcW w:w="778" w:type="dxa"/>
            <w:tcBorders>
              <w:bottom w:val="single" w:sz="5" w:space="0" w:color="000000"/>
            </w:tcBorders>
          </w:tcPr>
          <w:p>
            <w:pPr>
              <w:pStyle w:val="Compact"/>
              <w:keepNext/>
              <w:spacing w:before="0" w:after="0" w:lineRule="exact" w:line="220"/>
              <w:jc w:val="left"/>
            </w:pPr>
            <w:r>
              <w:rPr>
                <w:b/>
                <w:sz w:val="16"/>
              </w:rPr>
              <w:t xml:space="preserve">(7)</w:t>
            </w:r>
          </w:p>
        </w:tc>
        <w:tc>
          <w:tcPr>
            <w:tcW w:w="778" w:type="dxa"/>
            <w:tcBorders>
              <w:bottom w:val="single" w:sz="5" w:space="0" w:color="000000"/>
            </w:tcBorders>
          </w:tcPr>
          <w:p>
            <w:pPr>
              <w:pStyle w:val="Compact"/>
              <w:keepNext/>
              <w:spacing w:before="0" w:after="0" w:lineRule="exact" w:line="220"/>
              <w:jc w:val="left"/>
            </w:pPr>
            <w:r>
              <w:rPr>
                <w:b/>
                <w:sz w:val="16"/>
              </w:rPr>
              <w:t xml:space="preserve">(8)</w:t>
            </w:r>
          </w:p>
        </w:tc>
        <w:tc>
          <w:tcPr>
            <w:tcW w:w="778" w:type="dxa"/>
            <w:tcBorders>
              <w:bottom w:val="single" w:sz="5" w:space="0" w:color="000000"/>
            </w:tcBorders>
          </w:tcPr>
          <w:p>
            <w:pPr>
              <w:pStyle w:val="Compact"/>
              <w:keepNext/>
              <w:spacing w:before="0" w:after="0" w:lineRule="exact" w:line="220"/>
              <w:jc w:val="left"/>
            </w:pPr>
            <w:r>
              <w:rPr>
                <w:b/>
                <w:sz w:val="16"/>
              </w:rPr>
              <w:t xml:space="preserve">(9)</w:t>
            </w:r>
          </w:p>
        </w:tc>
      </w:tr>
      <w:tr>
        <w:trPr>
          <w:cantSplit/>
        </w:trPr>
        <w:tc>
          <w:tcPr>
            <w:tcW w:w="1500" w:type="dxa"/>
          </w:tcPr>
          <w:p>
            <w:pPr>
              <w:pStyle w:val="Compact"/>
              <w:keepNext/>
              <w:spacing w:before="0" w:after="0" w:lineRule="exact" w:line="220"/>
              <w:jc w:val="left"/>
            </w:pPr>
            <w:r>
              <w:rPr>
                <w:sz w:val="16"/>
              </w:rPr>
              <w:t xml:space="preserve">(1) ln(Wedge)</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(2) Ecosystem ratio</w:t>
            </w:r>
          </w:p>
        </w:tc>
        <w:tc>
          <w:tcPr>
            <w:tcW w:w="778" w:type="dxa"/>
          </w:tcPr>
          <w:p>
            <w:pPr>
              <w:pStyle w:val="Compact"/>
              <w:keepNext/>
              <w:spacing w:before="0" w:after="0" w:lineRule="exact" w:line="220"/>
              <w:jc w:val="left"/>
            </w:pPr>
            <w:r>
              <w:rPr>
                <w:sz w:val="16"/>
              </w:rPr>
              <w:t xml:space="preserve">0.37∗∗∗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(3) g(R)</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0.18∗∗</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(4) g(V)</w:t>
            </w:r>
          </w:p>
        </w:tc>
        <w:tc>
          <w:tcPr>
            <w:tcW w:w="778" w:type="dxa"/>
          </w:tcPr>
          <w:p>
            <w:pPr>
              <w:pStyle w:val="Compact"/>
              <w:keepNext/>
              <w:spacing w:before="0" w:after="0" w:lineRule="exact" w:line="220"/>
              <w:jc w:val="left"/>
            </w:pPr>
            <w:r>
              <w:rPr>
                <w:sz w:val="16"/>
              </w:rPr>
              <w:t xml:space="preserve">0.05</w:t>
            </w:r>
          </w:p>
        </w:tc>
        <w:tc>
          <w:tcPr>
            <w:tcW w:w="778" w:type="dxa"/>
          </w:tcPr>
          <w:p>
            <w:pPr>
              <w:pStyle w:val="Compact"/>
              <w:keepNext/>
              <w:spacing w:before="0" w:after="0" w:lineRule="exact" w:line="220"/>
              <w:jc w:val="left"/>
            </w:pPr>
            <w:r>
              <w:rPr>
                <w:sz w:val="16"/>
              </w:rPr>
              <w:t xml:space="preserve">0.15∗</w:t>
            </w:r>
          </w:p>
        </w:tc>
        <w:tc>
          <w:tcPr>
            <w:tcW w:w="778" w:type="dxa"/>
          </w:tcPr>
          <w:p>
            <w:pPr>
              <w:pStyle w:val="Compact"/>
              <w:keepNext/>
              <w:spacing w:before="0" w:after="0" w:lineRule="exact" w:line="220"/>
              <w:jc w:val="left"/>
            </w:pPr>
            <w:r>
              <w:rPr>
                <w:sz w:val="16"/>
              </w:rPr>
              <w:t xml:space="preserve">0.84∗∗∗</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(5) ln(Assets)</w:t>
            </w:r>
          </w:p>
        </w:tc>
        <w:tc>
          <w:tcPr>
            <w:tcW w:w="778" w:type="dxa"/>
          </w:tcPr>
          <w:p>
            <w:pPr>
              <w:pStyle w:val="Compact"/>
              <w:keepNext/>
              <w:spacing w:before="0" w:after="0" w:lineRule="exact" w:line="220"/>
              <w:jc w:val="left"/>
            </w:pPr>
            <w:r>
              <w:rPr>
                <w:sz w:val="16"/>
              </w:rPr>
              <w:t xml:space="preserve">0.88∗∗∗</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0.01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(6) ln(1+YearsListed)</w:t>
            </w:r>
          </w:p>
        </w:tc>
        <w:tc>
          <w:tcPr>
            <w:tcW w:w="778" w:type="dxa"/>
          </w:tcPr>
          <w:p>
            <w:pPr>
              <w:pStyle w:val="Compact"/>
              <w:keepNext/>
              <w:spacing w:before="0" w:after="0" w:lineRule="exact" w:line="220"/>
              <w:jc w:val="left"/>
            </w:pPr>
            <w:r>
              <w:rPr>
                <w:sz w:val="16"/>
              </w:rPr>
              <w:t xml:space="preserve">0.44∗∗∗</w:t>
            </w:r>
          </w:p>
        </w:tc>
        <w:tc>
          <w:tcPr>
            <w:tcW w:w="778" w:type="dxa"/>
          </w:tcPr>
          <w:p>
            <w:pPr>
              <w:pStyle w:val="Compact"/>
              <w:keepNext/>
              <w:spacing w:before="0" w:after="0" w:lineRule="exact" w:line="220"/>
              <w:jc w:val="left"/>
            </w:pPr>
            <w:r>
              <w:rPr>
                <w:sz w:val="16"/>
              </w:rPr>
              <w:t xml:space="preserve">-0.20∗∗∗</w:t>
            </w:r>
          </w:p>
        </w:tc>
        <w:tc>
          <w:tcPr>
            <w:tcW w:w="778" w:type="dxa"/>
          </w:tcPr>
          <w:p>
            <w:pPr>
              <w:pStyle w:val="Compact"/>
              <w:keepNext/>
              <w:spacing w:before="0" w:after="0" w:lineRule="exact" w:line="220"/>
              <w:jc w:val="left"/>
            </w:pPr>
            <w:r>
              <w:rPr>
                <w:sz w:val="16"/>
              </w:rPr>
              <w:t xml:space="preserve">-0.30∗∗∗</w:t>
            </w:r>
          </w:p>
        </w:tc>
        <w:tc>
          <w:tcPr>
            <w:tcW w:w="778" w:type="dxa"/>
          </w:tcPr>
          <w:p>
            <w:pPr>
              <w:pStyle w:val="Compact"/>
              <w:keepNext/>
              <w:spacing w:before="0" w:after="0" w:lineRule="exact" w:line="220"/>
              <w:jc w:val="left"/>
            </w:pPr>
            <w:r>
              <w:rPr>
                <w:sz w:val="16"/>
              </w:rPr>
              <w:t xml:space="preserve">-0.35∗∗∗</w:t>
            </w:r>
          </w:p>
        </w:tc>
        <w:tc>
          <w:tcPr>
            <w:tcW w:w="778" w:type="dxa"/>
          </w:tcPr>
          <w:p>
            <w:pPr>
              <w:pStyle w:val="Compact"/>
              <w:keepNext/>
              <w:spacing w:before="0" w:after="0" w:lineRule="exact" w:line="220"/>
              <w:jc w:val="left"/>
            </w:pPr>
            <w:r>
              <w:rPr>
                <w:sz w:val="16"/>
              </w:rPr>
              <w:t xml:space="preserve">0.46∗∗∗</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(7) IndonesiaRegion</w:t>
            </w:r>
          </w:p>
        </w:tc>
        <w:tc>
          <w:tcPr>
            <w:tcW w:w="778" w:type="dxa"/>
          </w:tcPr>
          <w:p>
            <w:pPr>
              <w:pStyle w:val="Compact"/>
              <w:keepNext/>
              <w:spacing w:before="0" w:after="0" w:lineRule="exact" w:line="220"/>
              <w:jc w:val="left"/>
            </w:pPr>
            <w:r>
              <w:rPr>
                <w:sz w:val="16"/>
              </w:rPr>
              <w:t xml:space="preserve">0.02</w:t>
            </w:r>
          </w:p>
        </w:tc>
        <w:tc>
          <w:tcPr>
            <w:tcW w:w="778" w:type="dxa"/>
          </w:tcPr>
          <w:p>
            <w:pPr>
              <w:pStyle w:val="Compact"/>
              <w:keepNext/>
              <w:spacing w:before="0" w:after="0" w:lineRule="exact" w:line="220"/>
              <w:jc w:val="left"/>
            </w:pPr>
            <w:r>
              <w:rPr>
                <w:sz w:val="16"/>
              </w:rPr>
              <w:t xml:space="preserve">0.42∗∗∗</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-0.03</w:t>
            </w:r>
          </w:p>
        </w:tc>
        <w:tc>
          <w:tcPr>
            <w:tcW w:w="778" w:type="dxa"/>
          </w:tcPr>
          <w:p>
            <w:pPr>
              <w:pStyle w:val="Compact"/>
              <w:keepNext/>
              <w:spacing w:before="0" w:after="0" w:lineRule="exact" w:line="220"/>
              <w:jc w:val="left"/>
            </w:pPr>
            <w:r>
              <w:rPr>
                <w:sz w:val="16"/>
              </w:rPr>
              <w:t xml:space="preserve">0.04</w:t>
            </w:r>
          </w:p>
        </w:tc>
        <w:tc>
          <w:tcPr>
            <w:tcW w:w="778" w:type="dxa"/>
          </w:tcPr>
          <w:p>
            <w:pPr>
              <w:pStyle w:val="Compact"/>
              <w:keepNext/>
              <w:spacing w:before="0" w:after="0" w:lineRule="exact" w:line="220"/>
              <w:jc w:val="left"/>
            </w:pPr>
            <w:r>
              <w:rPr>
                <w:sz w:val="16"/>
              </w:rPr>
              <w:t xml:space="preserve">-0.27∗∗∗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(8) GDPGrowth</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0.21∗∗∗</w:t>
            </w:r>
          </w:p>
        </w:tc>
        <w:tc>
          <w:tcPr>
            <w:tcW w:w="778" w:type="dxa"/>
          </w:tcPr>
          <w:p>
            <w:pPr>
              <w:pStyle w:val="Compact"/>
              <w:keepNext/>
              <w:spacing w:before="0" w:after="0" w:lineRule="exact" w:line="220"/>
              <w:jc w:val="left"/>
            </w:pPr>
            <w:r>
              <w:rPr>
                <w:sz w:val="16"/>
              </w:rPr>
              <w:t xml:space="preserve">0.06</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r>
      <w:tr>
        <w:trPr>
          <w:cantSplit/>
        </w:trPr>
        <w:tc>
          <w:tcPr>
            <w:tcW w:w="1500" w:type="dxa"/>
          </w:tcPr>
          <w:p>
            <w:pPr>
              <w:pStyle w:val="Compact"/>
              <w:spacing w:before="0" w:after="0" w:lineRule="exact" w:line="220"/>
              <w:jc w:val="left"/>
            </w:pPr>
            <w:r>
              <w:rPr>
                <w:sz w:val="16"/>
              </w:rPr>
              <w:t xml:space="preserve">(9) PolicyRate</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-0.06</w:t>
            </w:r>
          </w:p>
        </w:tc>
        <w:tc>
          <w:tcPr>
            <w:tcW w:w="778" w:type="dxa"/>
          </w:tcPr>
          <w:p>
            <w:pPr>
              <w:pStyle w:val="Compact"/>
              <w:spacing w:before="0" w:after="0" w:lineRule="exact" w:line="220"/>
              <w:jc w:val="left"/>
            </w:pPr>
            <w:r>
              <w:rPr>
                <w:sz w:val="16"/>
              </w:rPr>
              <w:t xml:space="preserve">0.01</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-0.09</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-0.14∗∗</w:t>
            </w:r>
          </w:p>
        </w:tc>
        <w:tc>
          <w:tcPr>
            <w:tcW w:w="778" w:type="dxa"/>
          </w:tcPr>
          <w:p>
            <w:pPr>
              <w:pStyle w:val="Compact"/>
              <w:spacing w:before="0" w:after="0" w:lineRule="exact" w:line="220"/>
              <w:jc w:val="left"/>
            </w:pPr>
            <w:r>
              <w:rPr>
                <w:sz w:val="16"/>
              </w:rPr>
              <w:t xml:space="preserve">1</w:t>
            </w:r>
          </w:p>
        </w:tc>
      </w:tr>
    </w:tbl>
    <w:p>
      <w:pPr>
        <w:pStyle w:val="TableNote"/>
      </w:pPr>
      <w:r>
        <w:rPr>
          <w:iCs/>
          <w:i/>
        </w:rPr>
        <w:t xml:space="preserve">Note:</w:t>
      </w:r>
      <w:r>
        <w:t xml:space="preserve"> </w:t>
      </w:r>
      <w: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TableCaption"/>
        <w:keepNext/>
        <w:pageBreakBefore/>
      </w:pPr>
      <w:r>
        <w:rPr>
          <w:b/>
        </w:rPr>
        <w:t>Table 3.</w:t>
      </w:r>
      <w:r>
        <w:rPr>
          <w:b w:val="0"/>
        </w:rPr>
        <w:t xml:space="preserve"> Revenue growth and transaction value growth</w:t>
      </w:r>
    </w:p>
    <w:p>
      <w:pPr>
        <w:pStyle w:val="TableNote"/>
        <w:keepNext/>
      </w:pPr>
      <w: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97"/>
        <w:gridCol w:w="1475"/>
        <w:gridCol w:w="1388"/>
        <w:gridCol w:w="2343"/>
      </w:tblGrid>
      <w:tr>
        <w:trPr>
          <w:tblHeader w:val="true"/>
          <w:cantSplit/>
          <w:tblHeader/>
        </w:trPr>
        <w:tc>
          <w:tcPr>
            <w:tcW w:w="3297"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475" w:type="dxa"/>
            <w:tcBorders>
              <w:bottom w:val="single" w:sz="5" w:space="0" w:color="000000"/>
            </w:tcBorders>
          </w:tcPr>
          <w:p>
            <w:pPr>
              <w:pStyle w:val="Compact"/>
              <w:keepNext/>
              <w:spacing w:before="0" w:after="0" w:lineRule="exact" w:line="220"/>
              <w:jc w:val="left"/>
            </w:pPr>
            <w:r>
              <w:rPr>
                <w:b/>
                <w:sz w:val="18"/>
              </w:rPr>
              <w:t xml:space="preserve">g(R)</w:t>
            </w:r>
          </w:p>
        </w:tc>
        <w:tc>
          <w:tcPr>
            <w:tcW w:w="1388" w:type="dxa"/>
            <w:tcBorders>
              <w:bottom w:val="single" w:sz="5" w:space="0" w:color="000000"/>
            </w:tcBorders>
          </w:tcPr>
          <w:p>
            <w:pPr>
              <w:pStyle w:val="Compact"/>
              <w:keepNext/>
              <w:spacing w:before="0" w:after="0" w:lineRule="exact" w:line="220"/>
              <w:jc w:val="left"/>
            </w:pPr>
            <w:r>
              <w:rPr>
                <w:b/>
                <w:sz w:val="18"/>
              </w:rPr>
              <w:t xml:space="preserve">g(R)</w:t>
            </w:r>
          </w:p>
        </w:tc>
        <w:tc>
          <w:tcPr>
            <w:tcW w:w="2343" w:type="dxa"/>
            <w:tcBorders>
              <w:bottom w:val="single" w:sz="5" w:space="0" w:color="000000"/>
            </w:tcBorders>
          </w:tcPr>
          <w:p>
            <w:pPr>
              <w:pStyle w:val="Compact"/>
              <w:keepNext/>
              <w:spacing w:before="0" w:after="0" w:lineRule="exact" w:line="220"/>
              <w:jc w:val="left"/>
            </w:pPr>
            <w:r>
              <w:rPr>
                <w:b/>
                <w:sz w:val="18"/>
              </w:rPr>
              <w:t xml:space="preserve">g(R)</w:t>
            </w:r>
          </w:p>
        </w:tc>
      </w:tr>
      <w:tr>
        <w:trPr>
          <w:cantSplit/>
        </w:trPr>
        <w:tc>
          <w:tcPr>
            <w:tcW w:w="3297" w:type="dxa"/>
          </w:tcPr>
          <w:p>
            <w:pPr>
              <w:pStyle w:val="Compact"/>
              <w:keepNext/>
              <w:spacing w:before="0" w:after="0" w:lineRule="exact" w:line="220"/>
              <w:jc w:val="left"/>
            </w:pPr>
            <w:r>
              <w:rPr>
                <w:sz w:val="18"/>
              </w:rPr>
              <w:t xml:space="preserve">Sample</w:t>
            </w:r>
          </w:p>
        </w:tc>
        <w:tc>
          <w:tcPr>
            <w:tcW w:w="1475" w:type="dxa"/>
          </w:tcPr>
          <w:p>
            <w:pPr>
              <w:pStyle w:val="Compact"/>
              <w:keepNext/>
              <w:spacing w:before="0" w:after="0" w:lineRule="exact" w:line="220"/>
              <w:jc w:val="left"/>
            </w:pPr>
            <w:r>
              <w:rPr>
                <w:sz w:val="18"/>
              </w:rPr>
              <w:t xml:space="preserve">All platforms</w:t>
            </w:r>
          </w:p>
        </w:tc>
        <w:tc>
          <w:tcPr>
            <w:tcW w:w="1388" w:type="dxa"/>
          </w:tcPr>
          <w:p>
            <w:pPr>
              <w:pStyle w:val="Compact"/>
              <w:keepNext/>
              <w:spacing w:before="0" w:after="0" w:lineRule="exact" w:line="220"/>
              <w:jc w:val="left"/>
            </w:pPr>
            <w:r>
              <w:rPr>
                <w:sz w:val="18"/>
              </w:rPr>
              <w:t xml:space="preserve">Foreign</w:t>
            </w:r>
          </w:p>
        </w:tc>
        <w:tc>
          <w:tcPr>
            <w:tcW w:w="2343" w:type="dxa"/>
          </w:tcPr>
          <w:p>
            <w:pPr>
              <w:pStyle w:val="Compact"/>
              <w:keepNext/>
              <w:spacing w:before="0" w:after="0" w:lineRule="exact" w:line="220"/>
              <w:jc w:val="left"/>
            </w:pPr>
            <w:r>
              <w:rPr>
                <w:sz w:val="18"/>
              </w:rPr>
              <w:t xml:space="preserve">Indonesian and regional</w:t>
            </w:r>
          </w:p>
        </w:tc>
      </w:tr>
      <w:tr>
        <w:trPr>
          <w:cantSplit/>
        </w:trPr>
        <w:tc>
          <w:tcPr>
            <w:tcW w:w="3297" w:type="dxa"/>
          </w:tcPr>
          <w:p>
            <w:pPr>
              <w:pStyle w:val="Compact"/>
              <w:keepNext/>
              <w:spacing w:before="0" w:after="0" w:lineRule="exact" w:line="220"/>
              <w:jc w:val="left"/>
            </w:pPr>
          </w:p>
        </w:tc>
        <w:tc>
          <w:tcPr>
            <w:tcW w:w="1475" w:type="dxa"/>
          </w:tcPr>
          <w:p>
            <w:pPr>
              <w:pStyle w:val="Compact"/>
              <w:keepNext/>
              <w:spacing w:before="0" w:after="0" w:lineRule="exact" w:line="220"/>
              <w:jc w:val="left"/>
            </w:pPr>
            <w:r>
              <w:rPr>
                <w:sz w:val="18"/>
              </w:rPr>
              <w:t xml:space="preserve">(1)</w:t>
            </w:r>
          </w:p>
        </w:tc>
        <w:tc>
          <w:tcPr>
            <w:tcW w:w="1388" w:type="dxa"/>
          </w:tcPr>
          <w:p>
            <w:pPr>
              <w:pStyle w:val="Compact"/>
              <w:keepNext/>
              <w:spacing w:before="0" w:after="0" w:lineRule="exact" w:line="220"/>
              <w:jc w:val="left"/>
            </w:pPr>
            <w:r>
              <w:rPr>
                <w:sz w:val="18"/>
              </w:rPr>
              <w:t xml:space="preserve">(2)</w:t>
            </w:r>
          </w:p>
        </w:tc>
        <w:tc>
          <w:tcPr>
            <w:tcW w:w="2343" w:type="dxa"/>
          </w:tcPr>
          <w:p>
            <w:pPr>
              <w:pStyle w:val="Compact"/>
              <w:keepNext/>
              <w:spacing w:before="0" w:after="0" w:lineRule="exact" w:line="220"/>
              <w:jc w:val="left"/>
            </w:pPr>
            <w:r>
              <w:rPr>
                <w:sz w:val="18"/>
              </w:rPr>
              <w:t xml:space="preserve">(3)</w:t>
            </w:r>
          </w:p>
        </w:tc>
      </w:tr>
      <w:tr>
        <w:trPr>
          <w:cantSplit/>
        </w:trPr>
        <w:tc>
          <w:tcPr>
            <w:tcW w:w="3297" w:type="dxa"/>
          </w:tcPr>
          <w:p>
            <w:pPr>
              <w:pStyle w:val="Compact"/>
              <w:spacing w:before="0" w:after="0" w:lineRule="exact" w:line="220"/>
              <w:jc w:val="left"/>
            </w:pPr>
            <w:r>
              <w:rPr>
                <w:sz w:val="18"/>
              </w:rPr>
              <w:t xml:space="preserve">g(V)</w:t>
            </w:r>
          </w:p>
        </w:tc>
        <w:tc>
          <w:tcPr>
            <w:tcW w:w="1475" w:type="dxa"/>
          </w:tcPr>
          <w:p>
            <w:pPr>
              <w:pStyle w:val="Compact"/>
              <w:spacing w:before="0" w:after="0" w:lineRule="exact" w:line="220"/>
              <w:jc w:val="left"/>
            </w:pPr>
            <w:r>
              <w:rPr>
                <w:sz w:val="18"/>
              </w:rPr>
              <w:t xml:space="preserve">0.986∗∗∗</w:t>
            </w:r>
          </w:p>
        </w:tc>
        <w:tc>
          <w:tcPr>
            <w:tcW w:w="1388" w:type="dxa"/>
          </w:tcPr>
          <w:p>
            <w:pPr>
              <w:pStyle w:val="Compact"/>
              <w:spacing w:before="0" w:after="0" w:lineRule="exact" w:line="220"/>
              <w:jc w:val="left"/>
            </w:pPr>
            <w:r>
              <w:rPr>
                <w:sz w:val="18"/>
              </w:rPr>
              <w:t xml:space="preserve">0.986∗∗∗</w:t>
            </w:r>
          </w:p>
        </w:tc>
        <w:tc>
          <w:tcPr>
            <w:tcW w:w="2343" w:type="dxa"/>
          </w:tcPr>
          <w:p>
            <w:pPr>
              <w:pStyle w:val="Compact"/>
              <w:spacing w:before="0" w:after="0" w:lineRule="exact" w:line="220"/>
              <w:jc w:val="left"/>
            </w:pPr>
            <w:r>
              <w:rPr>
                <w:sz w:val="18"/>
              </w:rPr>
              <w:t xml:space="preserve">0.399∗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(0.072)</w:t>
            </w:r>
          </w:p>
        </w:tc>
        <w:tc>
          <w:tcPr>
            <w:tcW w:w="1388" w:type="dxa"/>
          </w:tcPr>
          <w:p>
            <w:pPr>
              <w:pStyle w:val="Compact"/>
              <w:spacing w:before="0" w:after="0" w:lineRule="exact" w:line="220"/>
              <w:jc w:val="left"/>
            </w:pPr>
            <w:r>
              <w:rPr>
                <w:sz w:val="18"/>
              </w:rPr>
              <w:t xml:space="preserve">(0.072)</w:t>
            </w:r>
          </w:p>
        </w:tc>
        <w:tc>
          <w:tcPr>
            <w:tcW w:w="2343" w:type="dxa"/>
          </w:tcPr>
          <w:p>
            <w:pPr>
              <w:pStyle w:val="Compact"/>
              <w:spacing w:before="0" w:after="0" w:lineRule="exact" w:line="220"/>
              <w:jc w:val="left"/>
            </w:pPr>
            <w:r>
              <w:rPr>
                <w:sz w:val="18"/>
              </w:rPr>
              <w:t xml:space="preserve">(0.159)</w:t>
            </w:r>
          </w:p>
        </w:tc>
      </w:tr>
      <w:tr>
        <w:trPr>
          <w:cantSplit/>
        </w:trPr>
        <w:tc>
          <w:tcPr>
            <w:tcW w:w="3297" w:type="dxa"/>
          </w:tcPr>
          <w:p>
            <w:pPr>
              <w:pStyle w:val="Compact"/>
              <w:spacing w:before="0" w:after="0" w:lineRule="exact" w:line="220"/>
              <w:jc w:val="left"/>
            </w:pPr>
            <w:r>
              <w:rPr>
                <w:sz w:val="18"/>
              </w:rPr>
              <w:t xml:space="preserve">IndonesiaRegion</w:t>
            </w:r>
          </w:p>
        </w:tc>
        <w:tc>
          <w:tcPr>
            <w:tcW w:w="1475" w:type="dxa"/>
          </w:tcPr>
          <w:p>
            <w:pPr>
              <w:pStyle w:val="Compact"/>
              <w:spacing w:before="0" w:after="0" w:lineRule="exact" w:line="220"/>
              <w:jc w:val="left"/>
            </w:pPr>
            <w:r>
              <w:rPr>
                <w:sz w:val="18"/>
              </w:rPr>
              <w:t xml:space="preserve">0.379∗∗∗</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(0.060)</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IndonesiaRegion × g(V)</w:t>
            </w:r>
          </w:p>
        </w:tc>
        <w:tc>
          <w:tcPr>
            <w:tcW w:w="1475" w:type="dxa"/>
          </w:tcPr>
          <w:p>
            <w:pPr>
              <w:pStyle w:val="Compact"/>
              <w:spacing w:before="0" w:after="0" w:lineRule="exact" w:line="220"/>
              <w:jc w:val="left"/>
            </w:pPr>
            <w:r>
              <w:rPr>
                <w:sz w:val="18"/>
              </w:rPr>
              <w:t xml:space="preserve">-0.587∗∗∗</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(0.158)</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Constant</w:t>
            </w:r>
          </w:p>
        </w:tc>
        <w:tc>
          <w:tcPr>
            <w:tcW w:w="1475" w:type="dxa"/>
          </w:tcPr>
          <w:p>
            <w:pPr>
              <w:pStyle w:val="Compact"/>
              <w:spacing w:before="0" w:after="0" w:lineRule="exact" w:line="220"/>
              <w:jc w:val="left"/>
            </w:pPr>
            <w:r>
              <w:rPr>
                <w:sz w:val="18"/>
              </w:rPr>
              <w:t xml:space="preserve">0.059∗∗∗</w:t>
            </w:r>
          </w:p>
        </w:tc>
        <w:tc>
          <w:tcPr>
            <w:tcW w:w="1388" w:type="dxa"/>
          </w:tcPr>
          <w:p>
            <w:pPr>
              <w:pStyle w:val="Compact"/>
              <w:spacing w:before="0" w:after="0" w:lineRule="exact" w:line="220"/>
              <w:jc w:val="left"/>
            </w:pPr>
            <w:r>
              <w:rPr>
                <w:sz w:val="18"/>
              </w:rPr>
              <w:t xml:space="preserve">0.059∗∗∗</w:t>
            </w:r>
          </w:p>
        </w:tc>
        <w:tc>
          <w:tcPr>
            <w:tcW w:w="2343" w:type="dxa"/>
          </w:tcPr>
          <w:p>
            <w:pPr>
              <w:pStyle w:val="Compact"/>
              <w:spacing w:before="0" w:after="0" w:lineRule="exact" w:line="220"/>
              <w:jc w:val="left"/>
            </w:pPr>
            <w:r>
              <w:rPr>
                <w:sz w:val="18"/>
              </w:rPr>
              <w:t xml:space="preserve">0.439∗∗∗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(0.019)</w:t>
            </w:r>
          </w:p>
        </w:tc>
        <w:tc>
          <w:tcPr>
            <w:tcW w:w="1388" w:type="dxa"/>
          </w:tcPr>
          <w:p>
            <w:pPr>
              <w:pStyle w:val="Compact"/>
              <w:spacing w:before="0" w:after="0" w:lineRule="exact" w:line="220"/>
              <w:jc w:val="left"/>
            </w:pPr>
            <w:r>
              <w:rPr>
                <w:sz w:val="18"/>
              </w:rPr>
              <w:t xml:space="preserve">(0.019)</w:t>
            </w:r>
          </w:p>
        </w:tc>
        <w:tc>
          <w:tcPr>
            <w:tcW w:w="2343" w:type="dxa"/>
          </w:tcPr>
          <w:p>
            <w:pPr>
              <w:pStyle w:val="Compact"/>
              <w:spacing w:before="0" w:after="0" w:lineRule="exact" w:line="220"/>
              <w:jc w:val="left"/>
            </w:pPr>
            <w:r>
              <w:rPr>
                <w:sz w:val="18"/>
              </w:rPr>
              <w:t xml:space="preserve">(0.065)</w:t>
            </w:r>
          </w:p>
        </w:tc>
      </w:tr>
      <w:tr>
        <w:trPr>
          <w:cantSplit/>
        </w:trPr>
        <w:tc>
          <w:tcPr>
            <w:tcW w:w="3297" w:type="dxa"/>
          </w:tcPr>
          <w:p>
            <w:pPr>
              <w:pStyle w:val="Compact"/>
              <w:spacing w:before="0" w:after="0" w:lineRule="exact" w:line="220"/>
              <w:jc w:val="left"/>
            </w:pPr>
            <w:r>
              <w:rPr>
                <w:sz w:val="18"/>
              </w:rPr>
              <w:t xml:space="preserve">Observations</w:t>
            </w:r>
          </w:p>
        </w:tc>
        <w:tc>
          <w:tcPr>
            <w:tcW w:w="1475" w:type="dxa"/>
          </w:tcPr>
          <w:p>
            <w:pPr>
              <w:pStyle w:val="Compact"/>
              <w:spacing w:before="0" w:after="0" w:lineRule="exact" w:line="220"/>
              <w:jc w:val="left"/>
            </w:pPr>
            <w:r>
              <w:rPr>
                <w:sz w:val="18"/>
              </w:rPr>
              <w:t xml:space="preserve">181</w:t>
            </w:r>
          </w:p>
        </w:tc>
        <w:tc>
          <w:tcPr>
            <w:tcW w:w="1388" w:type="dxa"/>
          </w:tcPr>
          <w:p>
            <w:pPr>
              <w:pStyle w:val="Compact"/>
              <w:spacing w:before="0" w:after="0" w:lineRule="exact" w:line="220"/>
              <w:jc w:val="left"/>
            </w:pPr>
            <w:r>
              <w:rPr>
                <w:sz w:val="18"/>
              </w:rPr>
              <w:t xml:space="preserve">166</w:t>
            </w:r>
          </w:p>
        </w:tc>
        <w:tc>
          <w:tcPr>
            <w:tcW w:w="2343" w:type="dxa"/>
          </w:tcPr>
          <w:p>
            <w:pPr>
              <w:pStyle w:val="Compact"/>
              <w:spacing w:before="0" w:after="0" w:lineRule="exact" w:line="220"/>
              <w:jc w:val="left"/>
            </w:pPr>
            <w:r>
              <w:rPr>
                <w:sz w:val="18"/>
              </w:rPr>
              <w:t xml:space="preserve">15</w:t>
            </w:r>
          </w:p>
        </w:tc>
      </w:tr>
      <w:tr>
        <w:trPr>
          <w:cantSplit/>
        </w:trPr>
        <w:tc>
          <w:tcPr>
            <w:tcW w:w="3297" w:type="dxa"/>
          </w:tcPr>
          <w:p>
            <w:pPr>
              <w:pStyle w:val="Compact"/>
              <w:spacing w:before="0" w:after="0" w:lineRule="exact" w:line="220"/>
              <w:jc w:val="left"/>
            </w:pPr>
            <w:r>
              <w:rPr>
                <w:sz w:val="18"/>
              </w:rPr>
              <w:t xml:space="preserve">Platforms (clusters)</w:t>
            </w:r>
          </w:p>
        </w:tc>
        <w:tc>
          <w:tcPr>
            <w:tcW w:w="1475" w:type="dxa"/>
          </w:tcPr>
          <w:p>
            <w:pPr>
              <w:pStyle w:val="Compact"/>
              <w:spacing w:before="0" w:after="0" w:lineRule="exact" w:line="220"/>
              <w:jc w:val="left"/>
            </w:pPr>
            <w:r>
              <w:rPr>
                <w:sz w:val="18"/>
              </w:rPr>
              <w:t xml:space="preserve">31</w:t>
            </w:r>
          </w:p>
        </w:tc>
        <w:tc>
          <w:tcPr>
            <w:tcW w:w="1388" w:type="dxa"/>
          </w:tcPr>
          <w:p>
            <w:pPr>
              <w:pStyle w:val="Compact"/>
              <w:spacing w:before="0" w:after="0" w:lineRule="exact" w:line="220"/>
              <w:jc w:val="left"/>
            </w:pPr>
            <w:r>
              <w:rPr>
                <w:sz w:val="18"/>
              </w:rPr>
              <w:t xml:space="preserve">26</w:t>
            </w:r>
          </w:p>
        </w:tc>
        <w:tc>
          <w:tcPr>
            <w:tcW w:w="2343" w:type="dxa"/>
          </w:tcPr>
          <w:p>
            <w:pPr>
              <w:pStyle w:val="Compact"/>
              <w:spacing w:before="0" w:after="0" w:lineRule="exact" w:line="220"/>
              <w:jc w:val="left"/>
            </w:pPr>
            <w:r>
              <w:rPr>
                <w:sz w:val="18"/>
              </w:rPr>
              <w:t xml:space="preserve">5</w:t>
            </w:r>
          </w:p>
        </w:tc>
      </w:tr>
      <w:tr>
        <w:trPr>
          <w:cantSplit/>
        </w:trPr>
        <w:tc>
          <w:tcPr>
            <w:tcW w:w="3297" w:type="dxa"/>
          </w:tcPr>
          <w:p>
            <w:pPr>
              <w:pStyle w:val="Compact"/>
              <w:spacing w:before="0" w:after="0" w:lineRule="exact" w:line="220"/>
              <w:jc w:val="left"/>
            </w:pPr>
            <w:r>
              <w:rPr>
                <w:iCs/>
                <w:i/>
                <w:sz w:val="18"/>
              </w:rPr>
              <w:t xml:space="preserve">R</w:t>
            </w:r>
            <w:r>
              <w:rPr>
                <w:sz w:val="18"/>
                <w:vertAlign w:val="superscript"/>
              </w:rPr>
              <w:t xml:space="preserve">2</w:t>
            </w:r>
          </w:p>
        </w:tc>
        <w:tc>
          <w:tcPr>
            <w:tcW w:w="1475" w:type="dxa"/>
          </w:tcPr>
          <w:p>
            <w:pPr>
              <w:pStyle w:val="Compact"/>
              <w:spacing w:before="0" w:after="0" w:lineRule="exact" w:line="220"/>
              <w:jc w:val="left"/>
            </w:pPr>
            <w:r>
              <w:rPr>
                <w:sz w:val="18"/>
              </w:rPr>
              <w:t xml:space="preserve">0.750</w:t>
            </w:r>
          </w:p>
        </w:tc>
        <w:tc>
          <w:tcPr>
            <w:tcW w:w="1388" w:type="dxa"/>
          </w:tcPr>
          <w:p>
            <w:pPr>
              <w:pStyle w:val="Compact"/>
              <w:spacing w:before="0" w:after="0" w:lineRule="exact" w:line="220"/>
              <w:jc w:val="left"/>
            </w:pPr>
            <w:r>
              <w:rPr>
                <w:sz w:val="18"/>
              </w:rPr>
              <w:t xml:space="preserve">0.802</w:t>
            </w:r>
          </w:p>
        </w:tc>
        <w:tc>
          <w:tcPr>
            <w:tcW w:w="2343" w:type="dxa"/>
          </w:tcPr>
          <w:p>
            <w:pPr>
              <w:pStyle w:val="Compact"/>
              <w:spacing w:before="0" w:after="0" w:lineRule="exact" w:line="220"/>
              <w:jc w:val="left"/>
            </w:pPr>
            <w:r>
              <w:rPr>
                <w:sz w:val="18"/>
              </w:rPr>
              <w:t xml:space="preserve">0.094</w:t>
            </w:r>
          </w:p>
        </w:tc>
      </w:tr>
      <w:tr>
        <w:trPr>
          <w:cantSplit/>
        </w:trPr>
        <w:tc>
          <w:tcPr>
            <w:tcW w:w="3297" w:type="dxa"/>
          </w:tcPr>
          <w:p>
            <w:pPr>
              <w:pStyle w:val="Compact"/>
              <w:keepNext/>
              <w:spacing w:before="0" w:after="0" w:lineRule="exact" w:line="220"/>
              <w:jc w:val="left"/>
            </w:pPr>
            <w:r>
              <w:rPr>
                <w:iCs/>
                <w:i/>
                <w:sz w:val="18"/>
              </w:rPr>
              <w:t xml:space="preserve">p</w:t>
            </w:r>
            <w:r>
              <w:rPr>
                <w:sz w:val="18"/>
              </w:rPr>
              <w:t xml:space="preserve">-value, slope on g(V) equal to 1</w:t>
            </w:r>
          </w:p>
        </w:tc>
        <w:tc>
          <w:tcPr>
            <w:tcW w:w="1475" w:type="dxa"/>
          </w:tcPr>
          <w:p>
            <w:pPr>
              <w:pStyle w:val="Compact"/>
              <w:keepNext/>
              <w:spacing w:before="0" w:after="0" w:lineRule="exact" w:line="220"/>
              <w:jc w:val="left"/>
            </w:pPr>
            <w:r>
              <w:rPr>
                <w:sz w:val="18"/>
              </w:rPr>
              <w:t xml:space="preserve">0.845</w:t>
            </w:r>
          </w:p>
        </w:tc>
        <w:tc>
          <w:tcPr>
            <w:tcW w:w="1388" w:type="dxa"/>
          </w:tcPr>
          <w:p>
            <w:pPr>
              <w:pStyle w:val="Compact"/>
              <w:keepNext/>
              <w:spacing w:before="0" w:after="0" w:lineRule="exact" w:line="220"/>
              <w:jc w:val="left"/>
            </w:pPr>
            <w:r>
              <w:rPr>
                <w:sz w:val="18"/>
              </w:rPr>
              <w:t xml:space="preserve">0.845</w:t>
            </w:r>
          </w:p>
        </w:tc>
        <w:tc>
          <w:tcPr>
            <w:tcW w:w="2343" w:type="dxa"/>
          </w:tcPr>
          <w:p>
            <w:pPr>
              <w:pStyle w:val="Compact"/>
              <w:keepNext/>
              <w:spacing w:before="0" w:after="0" w:lineRule="exact" w:line="220"/>
              <w:jc w:val="left"/>
            </w:pPr>
            <w:r>
              <w:rPr>
                <w:sz w:val="18"/>
              </w:rPr>
              <w:t xml:space="preserve">0.019</w:t>
            </w:r>
          </w:p>
        </w:tc>
      </w:tr>
      <w:tr>
        <w:trPr>
          <w:cantSplit/>
        </w:trPr>
        <w:tc>
          <w:tcPr>
            <w:tcW w:w="3297" w:type="dxa"/>
          </w:tcPr>
          <w:p>
            <w:pPr>
              <w:pStyle w:val="Compact"/>
              <w:spacing w:before="0" w:after="0" w:lineRule="exact" w:line="220"/>
              <w:jc w:val="left"/>
            </w:pPr>
            <w:r>
              <w:rPr>
                <w:sz w:val="18"/>
              </w:rPr>
              <w:t xml:space="preserve">Pearson correlation, g(R) and g(V)</w:t>
            </w:r>
          </w:p>
        </w:tc>
        <w:tc>
          <w:tcPr>
            <w:tcW w:w="1475" w:type="dxa"/>
          </w:tcPr>
          <w:p>
            <w:pPr>
              <w:pStyle w:val="Compact"/>
              <w:spacing w:before="0" w:after="0" w:lineRule="exact" w:line="220"/>
              <w:jc w:val="left"/>
            </w:pPr>
            <w:r>
              <w:rPr>
                <w:sz w:val="18"/>
              </w:rPr>
              <w:t xml:space="preserve">0.843</w:t>
            </w:r>
          </w:p>
        </w:tc>
        <w:tc>
          <w:tcPr>
            <w:tcW w:w="1388" w:type="dxa"/>
          </w:tcPr>
          <w:p>
            <w:pPr>
              <w:pStyle w:val="Compact"/>
              <w:spacing w:before="0" w:after="0" w:lineRule="exact" w:line="220"/>
              <w:jc w:val="left"/>
            </w:pPr>
            <w:r>
              <w:rPr>
                <w:sz w:val="18"/>
              </w:rPr>
              <w:t xml:space="preserve">0.896</w:t>
            </w:r>
          </w:p>
        </w:tc>
        <w:tc>
          <w:tcPr>
            <w:tcW w:w="2343" w:type="dxa"/>
          </w:tcPr>
          <w:p>
            <w:pPr>
              <w:pStyle w:val="Compact"/>
              <w:spacing w:before="0" w:after="0" w:lineRule="exact" w:line="220"/>
              <w:jc w:val="left"/>
            </w:pPr>
            <w:r>
              <w:rPr>
                <w:sz w:val="18"/>
              </w:rPr>
              <w:t xml:space="preserve">0.307</w:t>
            </w:r>
          </w:p>
        </w:tc>
      </w:tr>
    </w:tbl>
    <w:p>
      <w:pPr>
        <w:pStyle w:val="TableNote"/>
      </w:pPr>
      <w:r>
        <w:rPr>
          <w:iCs/>
          <w:i/>
        </w:rPr>
        <w:t xml:space="preserve">Note:</w:t>
      </w:r>
      <w:r>
        <w:t xml:space="preserve"> </w:t>
      </w:r>
      <w:r>
        <w:t xml:space="preserve">The slope on g(V) is 1 if revenue grows in proportion to transaction value. Source: company filings; author’s calculations. Exploratory.</w:t>
      </w:r>
    </w:p>
    <w:p>
      <w:pPr>
        <w:pStyle w:val="TableCaption"/>
        <w:keepNext/>
        <w:pageBreakBefore/>
      </w:pPr>
      <w:r>
        <w:rPr>
          <w:b/>
        </w:rPr>
        <w:t>Table 4.</w:t>
      </w:r>
      <w:r>
        <w:rPr>
          <w:b w:val="0"/>
        </w:rPr>
        <w:t xml:space="preserve"> What explains the wedge and the ecosystem ratio</w:t>
      </w:r>
    </w:p>
    <w:p>
      <w:pPr>
        <w:pStyle w:val="TableNote"/>
        <w:keepNext/>
      </w:pPr>
      <w: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008"/>
        <w:gridCol w:w="1035"/>
        <w:gridCol w:w="1035"/>
        <w:gridCol w:w="1035"/>
        <w:gridCol w:w="1130"/>
        <w:gridCol w:w="1130"/>
        <w:gridCol w:w="1130"/>
      </w:tblGrid>
      <w:tr>
        <w:trPr>
          <w:tblHeader w:val="true"/>
          <w:cantSplit/>
          <w:tblHeader/>
        </w:trPr>
        <w:tc>
          <w:tcPr>
            <w:tcW w:w="2008"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r>
      <w:tr>
        <w:trPr>
          <w:cantSplit/>
        </w:trPr>
        <w:tc>
          <w:tcPr>
            <w:tcW w:w="2008" w:type="dxa"/>
          </w:tcPr>
          <w:p>
            <w:pPr>
              <w:pStyle w:val="Compact"/>
              <w:keepNext/>
              <w:spacing w:before="0" w:after="0" w:lineRule="exact" w:line="220"/>
              <w:jc w:val="left"/>
            </w:pPr>
          </w:p>
        </w:tc>
        <w:tc>
          <w:tcPr>
            <w:tcW w:w="1035" w:type="dxa"/>
          </w:tcPr>
          <w:p>
            <w:pPr>
              <w:pStyle w:val="Compact"/>
              <w:keepNext/>
              <w:spacing w:before="0" w:after="0" w:lineRule="exact" w:line="220"/>
              <w:jc w:val="left"/>
            </w:pPr>
            <w:r>
              <w:rPr>
                <w:sz w:val="18"/>
              </w:rPr>
              <w:t xml:space="preserve">(1)</w:t>
            </w:r>
          </w:p>
        </w:tc>
        <w:tc>
          <w:tcPr>
            <w:tcW w:w="1035" w:type="dxa"/>
          </w:tcPr>
          <w:p>
            <w:pPr>
              <w:pStyle w:val="Compact"/>
              <w:keepNext/>
              <w:spacing w:before="0" w:after="0" w:lineRule="exact" w:line="220"/>
              <w:jc w:val="left"/>
            </w:pPr>
            <w:r>
              <w:rPr>
                <w:sz w:val="18"/>
              </w:rPr>
              <w:t xml:space="preserve">(2)</w:t>
            </w:r>
          </w:p>
        </w:tc>
        <w:tc>
          <w:tcPr>
            <w:tcW w:w="1035" w:type="dxa"/>
          </w:tcPr>
          <w:p>
            <w:pPr>
              <w:pStyle w:val="Compact"/>
              <w:keepNext/>
              <w:spacing w:before="0" w:after="0" w:lineRule="exact" w:line="220"/>
              <w:jc w:val="left"/>
            </w:pPr>
            <w:r>
              <w:rPr>
                <w:sz w:val="18"/>
              </w:rPr>
              <w:t xml:space="preserve">(3)</w:t>
            </w:r>
          </w:p>
        </w:tc>
        <w:tc>
          <w:tcPr>
            <w:tcW w:w="1130" w:type="dxa"/>
          </w:tcPr>
          <w:p>
            <w:pPr>
              <w:pStyle w:val="Compact"/>
              <w:keepNext/>
              <w:spacing w:before="0" w:after="0" w:lineRule="exact" w:line="220"/>
              <w:jc w:val="left"/>
            </w:pPr>
            <w:r>
              <w:rPr>
                <w:sz w:val="18"/>
              </w:rPr>
              <w:t xml:space="preserve">(4)</w:t>
            </w:r>
          </w:p>
        </w:tc>
        <w:tc>
          <w:tcPr>
            <w:tcW w:w="1130" w:type="dxa"/>
          </w:tcPr>
          <w:p>
            <w:pPr>
              <w:pStyle w:val="Compact"/>
              <w:keepNext/>
              <w:spacing w:before="0" w:after="0" w:lineRule="exact" w:line="220"/>
              <w:jc w:val="left"/>
            </w:pPr>
            <w:r>
              <w:rPr>
                <w:sz w:val="18"/>
              </w:rPr>
              <w:t xml:space="preserve">(5)</w:t>
            </w:r>
          </w:p>
        </w:tc>
        <w:tc>
          <w:tcPr>
            <w:tcW w:w="1130" w:type="dxa"/>
          </w:tcPr>
          <w:p>
            <w:pPr>
              <w:pStyle w:val="Compact"/>
              <w:keepNext/>
              <w:spacing w:before="0" w:after="0" w:lineRule="exact" w:line="220"/>
              <w:jc w:val="left"/>
            </w:pPr>
            <w:r>
              <w:rPr>
                <w:sz w:val="18"/>
              </w:rPr>
              <w:t xml:space="preserve">(6)</w:t>
            </w:r>
          </w:p>
        </w:tc>
      </w:tr>
      <w:tr>
        <w:trPr>
          <w:cantSplit/>
        </w:trPr>
        <w:tc>
          <w:tcPr>
            <w:tcW w:w="2008" w:type="dxa"/>
          </w:tcPr>
          <w:p>
            <w:pPr>
              <w:pStyle w:val="Compact"/>
              <w:keepNext/>
              <w:spacing w:before="0" w:after="0" w:lineRule="exact" w:line="220"/>
              <w:jc w:val="left"/>
            </w:pPr>
            <w:r>
              <w:rPr>
                <w:sz w:val="18"/>
              </w:rPr>
              <w:t xml:space="preserve">IndonesiaRegion</w:t>
            </w:r>
          </w:p>
        </w:tc>
        <w:tc>
          <w:tcPr>
            <w:tcW w:w="1035" w:type="dxa"/>
          </w:tcPr>
          <w:p>
            <w:pPr>
              <w:pStyle w:val="Compact"/>
              <w:keepNext/>
              <w:spacing w:before="0" w:after="0" w:lineRule="exact" w:line="220"/>
              <w:jc w:val="left"/>
            </w:pPr>
            <w:r>
              <w:rPr>
                <w:sz w:val="18"/>
              </w:rPr>
              <w:t xml:space="preserve">-0.075</w:t>
            </w:r>
          </w:p>
        </w:tc>
        <w:tc>
          <w:tcPr>
            <w:tcW w:w="1035" w:type="dxa"/>
          </w:tcPr>
          <w:p>
            <w:pPr>
              <w:pStyle w:val="Compact"/>
              <w:keepNext/>
              <w:spacing w:before="0" w:after="0" w:lineRule="exact" w:line="220"/>
              <w:jc w:val="left"/>
            </w:pPr>
            <w:r>
              <w:rPr>
                <w:sz w:val="18"/>
              </w:rPr>
              <w:t xml:space="preserve">-0.302</w:t>
            </w:r>
          </w:p>
        </w:tc>
        <w:tc>
          <w:tcPr>
            <w:tcW w:w="1035" w:type="dxa"/>
          </w:tcPr>
          <w:p>
            <w:pPr>
              <w:pStyle w:val="Compact"/>
              <w:keepNext/>
              <w:spacing w:before="0" w:after="0" w:lineRule="exact" w:line="220"/>
              <w:jc w:val="left"/>
            </w:pPr>
            <w:r>
              <w:rPr>
                <w:sz w:val="18"/>
              </w:rPr>
              <w:t xml:space="preserve">0.080</w:t>
            </w:r>
          </w:p>
        </w:tc>
        <w:tc>
          <w:tcPr>
            <w:tcW w:w="1130" w:type="dxa"/>
          </w:tcPr>
          <w:p>
            <w:pPr>
              <w:pStyle w:val="Compact"/>
              <w:keepNext/>
              <w:spacing w:before="0" w:after="0" w:lineRule="exact" w:line="220"/>
              <w:jc w:val="left"/>
            </w:pPr>
            <w:r>
              <w:rPr>
                <w:sz w:val="18"/>
              </w:rPr>
              <w:t xml:space="preserve">15.214∗∗∗</w:t>
            </w:r>
          </w:p>
        </w:tc>
        <w:tc>
          <w:tcPr>
            <w:tcW w:w="1130" w:type="dxa"/>
          </w:tcPr>
          <w:p>
            <w:pPr>
              <w:pStyle w:val="Compact"/>
              <w:keepNext/>
              <w:spacing w:before="0" w:after="0" w:lineRule="exact" w:line="220"/>
              <w:jc w:val="left"/>
            </w:pPr>
            <w:r>
              <w:rPr>
                <w:sz w:val="18"/>
              </w:rPr>
              <w:t xml:space="preserve">12.939∗∗∗</w:t>
            </w:r>
          </w:p>
        </w:tc>
        <w:tc>
          <w:tcPr>
            <w:tcW w:w="1130" w:type="dxa"/>
          </w:tcPr>
          <w:p>
            <w:pPr>
              <w:pStyle w:val="Compact"/>
              <w:keepNext/>
              <w:spacing w:before="0" w:after="0" w:lineRule="exact" w:line="220"/>
              <w:jc w:val="left"/>
            </w:pPr>
            <w:r>
              <w:rPr>
                <w:sz w:val="18"/>
              </w:rPr>
              <w:t xml:space="preserve">17.092∗∗∗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(0.361)</w:t>
            </w:r>
          </w:p>
        </w:tc>
        <w:tc>
          <w:tcPr>
            <w:tcW w:w="1035" w:type="dxa"/>
          </w:tcPr>
          <w:p>
            <w:pPr>
              <w:pStyle w:val="Compact"/>
              <w:spacing w:before="0" w:after="0" w:lineRule="exact" w:line="220"/>
              <w:jc w:val="left"/>
            </w:pPr>
            <w:r>
              <w:rPr>
                <w:sz w:val="18"/>
              </w:rPr>
              <w:t xml:space="preserve">(0.349)</w:t>
            </w:r>
          </w:p>
        </w:tc>
        <w:tc>
          <w:tcPr>
            <w:tcW w:w="1035" w:type="dxa"/>
          </w:tcPr>
          <w:p>
            <w:pPr>
              <w:pStyle w:val="Compact"/>
              <w:spacing w:before="0" w:after="0" w:lineRule="exact" w:line="220"/>
              <w:jc w:val="left"/>
            </w:pPr>
            <w:r>
              <w:rPr>
                <w:sz w:val="18"/>
              </w:rPr>
              <w:t xml:space="preserve">(0.396)</w:t>
            </w:r>
          </w:p>
        </w:tc>
        <w:tc>
          <w:tcPr>
            <w:tcW w:w="1130" w:type="dxa"/>
          </w:tcPr>
          <w:p>
            <w:pPr>
              <w:pStyle w:val="Compact"/>
              <w:spacing w:before="0" w:after="0" w:lineRule="exact" w:line="220"/>
              <w:jc w:val="left"/>
            </w:pPr>
            <w:r>
              <w:rPr>
                <w:sz w:val="18"/>
              </w:rPr>
              <w:t xml:space="preserve">(3.857)</w:t>
            </w:r>
          </w:p>
        </w:tc>
        <w:tc>
          <w:tcPr>
            <w:tcW w:w="1130" w:type="dxa"/>
          </w:tcPr>
          <w:p>
            <w:pPr>
              <w:pStyle w:val="Compact"/>
              <w:spacing w:before="0" w:after="0" w:lineRule="exact" w:line="220"/>
              <w:jc w:val="left"/>
            </w:pPr>
            <w:r>
              <w:rPr>
                <w:sz w:val="18"/>
              </w:rPr>
              <w:t xml:space="preserve">(3.290)</w:t>
            </w:r>
          </w:p>
        </w:tc>
        <w:tc>
          <w:tcPr>
            <w:tcW w:w="1130" w:type="dxa"/>
          </w:tcPr>
          <w:p>
            <w:pPr>
              <w:pStyle w:val="Compact"/>
              <w:spacing w:before="0" w:after="0" w:lineRule="exact" w:line="220"/>
              <w:jc w:val="left"/>
            </w:pPr>
            <w:r>
              <w:rPr>
                <w:sz w:val="18"/>
              </w:rPr>
              <w:t xml:space="preserve">(3.168)</w:t>
            </w:r>
          </w:p>
        </w:tc>
      </w:tr>
      <w:tr>
        <w:trPr>
          <w:cantSplit/>
        </w:trPr>
        <w:tc>
          <w:tcPr>
            <w:tcW w:w="2008" w:type="dxa"/>
          </w:tcPr>
          <w:p>
            <w:pPr>
              <w:pStyle w:val="Compact"/>
              <w:spacing w:before="0" w:after="0" w:lineRule="exact" w:line="220"/>
              <w:jc w:val="left"/>
            </w:pPr>
            <w:r>
              <w:rPr>
                <w:sz w:val="18"/>
              </w:rPr>
              <w:t xml:space="preserve">ln(1+YearsListed)</w:t>
            </w:r>
          </w:p>
        </w:tc>
        <w:tc>
          <w:tcPr>
            <w:tcW w:w="1035" w:type="dxa"/>
          </w:tcPr>
          <w:p>
            <w:pPr>
              <w:pStyle w:val="Compact"/>
              <w:spacing w:before="0" w:after="0" w:lineRule="exact" w:line="220"/>
              <w:jc w:val="left"/>
            </w:pPr>
            <w:r>
              <w:rPr>
                <w:sz w:val="18"/>
              </w:rPr>
              <w:t xml:space="preserve">-0.066</w:t>
            </w:r>
          </w:p>
        </w:tc>
        <w:tc>
          <w:tcPr>
            <w:tcW w:w="1035" w:type="dxa"/>
          </w:tcPr>
          <w:p>
            <w:pPr>
              <w:pStyle w:val="Compact"/>
              <w:spacing w:before="0" w:after="0" w:lineRule="exact" w:line="220"/>
              <w:jc w:val="left"/>
            </w:pPr>
            <w:r>
              <w:rPr>
                <w:sz w:val="18"/>
              </w:rPr>
              <w:t xml:space="preserve">-0.068</w:t>
            </w:r>
          </w:p>
        </w:tc>
        <w:tc>
          <w:tcPr>
            <w:tcW w:w="1035" w:type="dxa"/>
          </w:tcPr>
          <w:p>
            <w:pPr>
              <w:pStyle w:val="Compact"/>
              <w:spacing w:before="0" w:after="0" w:lineRule="exact" w:line="220"/>
              <w:jc w:val="left"/>
            </w:pPr>
            <w:r>
              <w:rPr>
                <w:sz w:val="18"/>
              </w:rPr>
              <w:t xml:space="preserve">0.093</w:t>
            </w:r>
          </w:p>
        </w:tc>
        <w:tc>
          <w:tcPr>
            <w:tcW w:w="1130" w:type="dxa"/>
          </w:tcPr>
          <w:p>
            <w:pPr>
              <w:pStyle w:val="Compact"/>
              <w:spacing w:before="0" w:after="0" w:lineRule="exact" w:line="220"/>
              <w:jc w:val="left"/>
            </w:pPr>
            <w:r>
              <w:rPr>
                <w:sz w:val="18"/>
              </w:rPr>
              <w:t xml:space="preserve">-2.722</w:t>
            </w:r>
          </w:p>
        </w:tc>
        <w:tc>
          <w:tcPr>
            <w:tcW w:w="1130" w:type="dxa"/>
          </w:tcPr>
          <w:p>
            <w:pPr>
              <w:pStyle w:val="Compact"/>
              <w:spacing w:before="0" w:after="0" w:lineRule="exact" w:line="220"/>
              <w:jc w:val="left"/>
            </w:pPr>
            <w:r>
              <w:rPr>
                <w:sz w:val="18"/>
              </w:rPr>
              <w:t xml:space="preserve">-2.719∗</w:t>
            </w:r>
          </w:p>
        </w:tc>
        <w:tc>
          <w:tcPr>
            <w:tcW w:w="1130" w:type="dxa"/>
          </w:tcPr>
          <w:p>
            <w:pPr>
              <w:pStyle w:val="Compact"/>
              <w:spacing w:before="0" w:after="0" w:lineRule="exact" w:line="220"/>
              <w:jc w:val="left"/>
            </w:pPr>
            <w:r>
              <w:rPr>
                <w:sz w:val="18"/>
              </w:rPr>
              <w:t xml:space="preserve">-1.274</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(0.156)</w:t>
            </w:r>
          </w:p>
        </w:tc>
        <w:tc>
          <w:tcPr>
            <w:tcW w:w="1035" w:type="dxa"/>
          </w:tcPr>
          <w:p>
            <w:pPr>
              <w:pStyle w:val="Compact"/>
              <w:spacing w:before="0" w:after="0" w:lineRule="exact" w:line="220"/>
              <w:jc w:val="left"/>
            </w:pPr>
            <w:r>
              <w:rPr>
                <w:sz w:val="18"/>
              </w:rPr>
              <w:t xml:space="preserve">(0.141)</w:t>
            </w:r>
          </w:p>
        </w:tc>
        <w:tc>
          <w:tcPr>
            <w:tcW w:w="1035" w:type="dxa"/>
          </w:tcPr>
          <w:p>
            <w:pPr>
              <w:pStyle w:val="Compact"/>
              <w:spacing w:before="0" w:after="0" w:lineRule="exact" w:line="220"/>
              <w:jc w:val="left"/>
            </w:pPr>
            <w:r>
              <w:rPr>
                <w:sz w:val="18"/>
              </w:rPr>
              <w:t xml:space="preserve">(0.169)</w:t>
            </w:r>
          </w:p>
        </w:tc>
        <w:tc>
          <w:tcPr>
            <w:tcW w:w="1130" w:type="dxa"/>
          </w:tcPr>
          <w:p>
            <w:pPr>
              <w:pStyle w:val="Compact"/>
              <w:spacing w:before="0" w:after="0" w:lineRule="exact" w:line="220"/>
              <w:jc w:val="left"/>
            </w:pPr>
            <w:r>
              <w:rPr>
                <w:sz w:val="18"/>
              </w:rPr>
              <w:t xml:space="preserve">(1.623)</w:t>
            </w:r>
          </w:p>
        </w:tc>
        <w:tc>
          <w:tcPr>
            <w:tcW w:w="1130" w:type="dxa"/>
          </w:tcPr>
          <w:p>
            <w:pPr>
              <w:pStyle w:val="Compact"/>
              <w:spacing w:before="0" w:after="0" w:lineRule="exact" w:line="220"/>
              <w:jc w:val="left"/>
            </w:pPr>
            <w:r>
              <w:rPr>
                <w:sz w:val="18"/>
              </w:rPr>
              <w:t xml:space="preserve">(1.531)</w:t>
            </w:r>
          </w:p>
        </w:tc>
        <w:tc>
          <w:tcPr>
            <w:tcW w:w="1130" w:type="dxa"/>
          </w:tcPr>
          <w:p>
            <w:pPr>
              <w:pStyle w:val="Compact"/>
              <w:spacing w:before="0" w:after="0" w:lineRule="exact" w:line="220"/>
              <w:jc w:val="left"/>
            </w:pPr>
            <w:r>
              <w:rPr>
                <w:sz w:val="18"/>
              </w:rPr>
              <w:t xml:space="preserve">(1.516)</w:t>
            </w:r>
          </w:p>
        </w:tc>
      </w:tr>
      <w:tr>
        <w:trPr>
          <w:cantSplit/>
        </w:trPr>
        <w:tc>
          <w:tcPr>
            <w:tcW w:w="2008" w:type="dxa"/>
          </w:tcPr>
          <w:p>
            <w:pPr>
              <w:pStyle w:val="Compact"/>
              <w:spacing w:before="0" w:after="0" w:lineRule="exact" w:line="220"/>
              <w:jc w:val="left"/>
            </w:pPr>
            <w:r>
              <w:rPr>
                <w:sz w:val="18"/>
              </w:rPr>
              <w:t xml:space="preserve">ln(Assets)</w:t>
            </w:r>
          </w:p>
        </w:tc>
        <w:tc>
          <w:tcPr>
            <w:tcW w:w="1035" w:type="dxa"/>
          </w:tcPr>
          <w:p>
            <w:pPr>
              <w:pStyle w:val="Compact"/>
              <w:spacing w:before="0" w:after="0" w:lineRule="exact" w:line="220"/>
              <w:jc w:val="left"/>
            </w:pPr>
            <w:r>
              <w:rPr>
                <w:sz w:val="18"/>
              </w:rPr>
              <w:t xml:space="preserve">0.898∗∗∗</w:t>
            </w:r>
          </w:p>
        </w:tc>
        <w:tc>
          <w:tcPr>
            <w:tcW w:w="1035" w:type="dxa"/>
          </w:tcPr>
          <w:p>
            <w:pPr>
              <w:pStyle w:val="Compact"/>
              <w:spacing w:before="0" w:after="0" w:lineRule="exact" w:line="220"/>
              <w:jc w:val="left"/>
            </w:pPr>
            <w:r>
              <w:rPr>
                <w:sz w:val="18"/>
              </w:rPr>
              <w:t xml:space="preserve">0.917∗∗∗</w:t>
            </w:r>
          </w:p>
        </w:tc>
        <w:tc>
          <w:tcPr>
            <w:tcW w:w="1035" w:type="dxa"/>
          </w:tcPr>
          <w:p>
            <w:pPr>
              <w:pStyle w:val="Compact"/>
              <w:spacing w:before="0" w:after="0" w:lineRule="exact" w:line="220"/>
              <w:jc w:val="left"/>
            </w:pPr>
            <w:r>
              <w:rPr>
                <w:sz w:val="18"/>
              </w:rPr>
              <w:t xml:space="preserve">0.900∗∗∗</w:t>
            </w:r>
          </w:p>
        </w:tc>
        <w:tc>
          <w:tcPr>
            <w:tcW w:w="1130" w:type="dxa"/>
          </w:tcPr>
          <w:p>
            <w:pPr>
              <w:pStyle w:val="Compact"/>
              <w:spacing w:before="0" w:after="0" w:lineRule="exact" w:line="220"/>
              <w:jc w:val="left"/>
            </w:pPr>
            <w:r>
              <w:rPr>
                <w:sz w:val="18"/>
              </w:rPr>
              <w:t xml:space="preserve">0.016</w:t>
            </w:r>
          </w:p>
        </w:tc>
        <w:tc>
          <w:tcPr>
            <w:tcW w:w="1130" w:type="dxa"/>
          </w:tcPr>
          <w:p>
            <w:pPr>
              <w:pStyle w:val="Compact"/>
              <w:spacing w:before="0" w:after="0" w:lineRule="exact" w:line="220"/>
              <w:jc w:val="left"/>
            </w:pPr>
            <w:r>
              <w:rPr>
                <w:sz w:val="18"/>
              </w:rPr>
              <w:t xml:space="preserve">-0.281</w:t>
            </w:r>
          </w:p>
        </w:tc>
        <w:tc>
          <w:tcPr>
            <w:tcW w:w="1130" w:type="dxa"/>
          </w:tcPr>
          <w:p>
            <w:pPr>
              <w:pStyle w:val="Compact"/>
              <w:spacing w:before="0" w:after="0" w:lineRule="exact" w:line="220"/>
              <w:jc w:val="left"/>
            </w:pPr>
            <w:r>
              <w:rPr>
                <w:sz w:val="18"/>
              </w:rPr>
              <w:t xml:space="preserve">-0.621</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(0.086)</w:t>
            </w:r>
          </w:p>
        </w:tc>
        <w:tc>
          <w:tcPr>
            <w:tcW w:w="1035" w:type="dxa"/>
          </w:tcPr>
          <w:p>
            <w:pPr>
              <w:pStyle w:val="Compact"/>
              <w:spacing w:before="0" w:after="0" w:lineRule="exact" w:line="220"/>
              <w:jc w:val="left"/>
            </w:pPr>
            <w:r>
              <w:rPr>
                <w:sz w:val="18"/>
              </w:rPr>
              <w:t xml:space="preserve">(0.073)</w:t>
            </w:r>
          </w:p>
        </w:tc>
        <w:tc>
          <w:tcPr>
            <w:tcW w:w="1035" w:type="dxa"/>
          </w:tcPr>
          <w:p>
            <w:pPr>
              <w:pStyle w:val="Compact"/>
              <w:spacing w:before="0" w:after="0" w:lineRule="exact" w:line="220"/>
              <w:jc w:val="left"/>
            </w:pPr>
            <w:r>
              <w:rPr>
                <w:sz w:val="18"/>
              </w:rPr>
              <w:t xml:space="preserve">(0.060)</w:t>
            </w:r>
          </w:p>
        </w:tc>
        <w:tc>
          <w:tcPr>
            <w:tcW w:w="1130" w:type="dxa"/>
          </w:tcPr>
          <w:p>
            <w:pPr>
              <w:pStyle w:val="Compact"/>
              <w:spacing w:before="0" w:after="0" w:lineRule="exact" w:line="220"/>
              <w:jc w:val="left"/>
            </w:pPr>
            <w:r>
              <w:rPr>
                <w:sz w:val="18"/>
              </w:rPr>
              <w:t xml:space="preserve">(0.897)</w:t>
            </w:r>
          </w:p>
        </w:tc>
        <w:tc>
          <w:tcPr>
            <w:tcW w:w="1130" w:type="dxa"/>
          </w:tcPr>
          <w:p>
            <w:pPr>
              <w:pStyle w:val="Compact"/>
              <w:spacing w:before="0" w:after="0" w:lineRule="exact" w:line="220"/>
              <w:jc w:val="left"/>
            </w:pPr>
            <w:r>
              <w:rPr>
                <w:sz w:val="18"/>
              </w:rPr>
              <w:t xml:space="preserve">(0.676)</w:t>
            </w:r>
          </w:p>
        </w:tc>
        <w:tc>
          <w:tcPr>
            <w:tcW w:w="1130" w:type="dxa"/>
          </w:tcPr>
          <w:p>
            <w:pPr>
              <w:pStyle w:val="Compact"/>
              <w:spacing w:before="0" w:after="0" w:lineRule="exact" w:line="220"/>
              <w:jc w:val="left"/>
            </w:pPr>
            <w:r>
              <w:rPr>
                <w:sz w:val="18"/>
              </w:rPr>
              <w:t xml:space="preserve">(0.662)</w:t>
            </w:r>
          </w:p>
        </w:tc>
      </w:tr>
      <w:tr>
        <w:trPr>
          <w:cantSplit/>
        </w:trPr>
        <w:tc>
          <w:tcPr>
            <w:tcW w:w="2008" w:type="dxa"/>
          </w:tcPr>
          <w:p>
            <w:pPr>
              <w:pStyle w:val="Compact"/>
              <w:spacing w:before="0" w:after="0" w:lineRule="exact" w:line="220"/>
              <w:jc w:val="left"/>
            </w:pPr>
            <w:r>
              <w:rPr>
                <w:sz w:val="18"/>
              </w:rPr>
              <w:t xml:space="preserve">OnDemand</w:t>
            </w:r>
          </w:p>
        </w:tc>
        <w:tc>
          <w:tcPr>
            <w:tcW w:w="1035" w:type="dxa"/>
          </w:tcPr>
          <w:p>
            <w:pPr>
              <w:pStyle w:val="Compact"/>
              <w:spacing w:before="0" w:after="0" w:lineRule="exact" w:line="220"/>
              <w:jc w:val="left"/>
            </w:pPr>
            <w:r>
              <w:rPr>
                <w:sz w:val="18"/>
              </w:rPr>
              <w:t xml:space="preserve">-0.950∗∗∗</w:t>
            </w:r>
          </w:p>
        </w:tc>
        <w:tc>
          <w:tcPr>
            <w:tcW w:w="1035" w:type="dxa"/>
          </w:tcPr>
          <w:p>
            <w:pPr>
              <w:pStyle w:val="Compact"/>
              <w:spacing w:before="0" w:after="0" w:lineRule="exact" w:line="220"/>
              <w:jc w:val="left"/>
            </w:pPr>
            <w:r>
              <w:rPr>
                <w:sz w:val="18"/>
              </w:rPr>
              <w:t xml:space="preserve">-0.975∗∗∗</w:t>
            </w:r>
          </w:p>
        </w:tc>
        <w:tc>
          <w:tcPr>
            <w:tcW w:w="1035" w:type="dxa"/>
          </w:tcPr>
          <w:p>
            <w:pPr>
              <w:pStyle w:val="Compact"/>
              <w:spacing w:before="0" w:after="0" w:lineRule="exact" w:line="220"/>
              <w:jc w:val="left"/>
            </w:pPr>
            <w:r>
              <w:rPr>
                <w:sz w:val="18"/>
              </w:rPr>
              <w:t xml:space="preserve">-1.011∗∗∗</w:t>
            </w:r>
          </w:p>
        </w:tc>
        <w:tc>
          <w:tcPr>
            <w:tcW w:w="1130" w:type="dxa"/>
          </w:tcPr>
          <w:p>
            <w:pPr>
              <w:pStyle w:val="Compact"/>
              <w:spacing w:before="0" w:after="0" w:lineRule="exact" w:line="220"/>
              <w:jc w:val="left"/>
            </w:pPr>
            <w:r>
              <w:rPr>
                <w:sz w:val="18"/>
              </w:rPr>
              <w:t xml:space="preserve">-16.597∗∗∗</w:t>
            </w:r>
          </w:p>
        </w:tc>
        <w:tc>
          <w:tcPr>
            <w:tcW w:w="1130" w:type="dxa"/>
          </w:tcPr>
          <w:p>
            <w:pPr>
              <w:pStyle w:val="Compact"/>
              <w:spacing w:before="0" w:after="0" w:lineRule="exact" w:line="220"/>
              <w:jc w:val="left"/>
            </w:pPr>
            <w:r>
              <w:rPr>
                <w:sz w:val="18"/>
              </w:rPr>
              <w:t xml:space="preserve">-17.876∗∗∗</w:t>
            </w:r>
          </w:p>
        </w:tc>
        <w:tc>
          <w:tcPr>
            <w:tcW w:w="1130" w:type="dxa"/>
          </w:tcPr>
          <w:p>
            <w:pPr>
              <w:pStyle w:val="Compact"/>
              <w:spacing w:before="0" w:after="0" w:lineRule="exact" w:line="220"/>
              <w:jc w:val="left"/>
            </w:pPr>
            <w:r>
              <w:rPr>
                <w:sz w:val="18"/>
              </w:rPr>
              <w:t xml:space="preserve">-19.787∗∗∗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(0.267)</w:t>
            </w:r>
          </w:p>
        </w:tc>
        <w:tc>
          <w:tcPr>
            <w:tcW w:w="1035" w:type="dxa"/>
          </w:tcPr>
          <w:p>
            <w:pPr>
              <w:pStyle w:val="Compact"/>
              <w:spacing w:before="0" w:after="0" w:lineRule="exact" w:line="220"/>
              <w:jc w:val="left"/>
            </w:pPr>
            <w:r>
              <w:rPr>
                <w:sz w:val="18"/>
              </w:rPr>
              <w:t xml:space="preserve">(0.305)</w:t>
            </w:r>
          </w:p>
        </w:tc>
        <w:tc>
          <w:tcPr>
            <w:tcW w:w="1035" w:type="dxa"/>
          </w:tcPr>
          <w:p>
            <w:pPr>
              <w:pStyle w:val="Compact"/>
              <w:spacing w:before="0" w:after="0" w:lineRule="exact" w:line="220"/>
              <w:jc w:val="left"/>
            </w:pPr>
            <w:r>
              <w:rPr>
                <w:sz w:val="18"/>
              </w:rPr>
              <w:t xml:space="preserve">(0.273)</w:t>
            </w:r>
          </w:p>
        </w:tc>
        <w:tc>
          <w:tcPr>
            <w:tcW w:w="1130" w:type="dxa"/>
          </w:tcPr>
          <w:p>
            <w:pPr>
              <w:pStyle w:val="Compact"/>
              <w:spacing w:before="0" w:after="0" w:lineRule="exact" w:line="220"/>
              <w:jc w:val="left"/>
            </w:pPr>
            <w:r>
              <w:rPr>
                <w:sz w:val="18"/>
              </w:rPr>
              <w:t xml:space="preserve">(3.837)</w:t>
            </w:r>
          </w:p>
        </w:tc>
        <w:tc>
          <w:tcPr>
            <w:tcW w:w="1130" w:type="dxa"/>
          </w:tcPr>
          <w:p>
            <w:pPr>
              <w:pStyle w:val="Compact"/>
              <w:spacing w:before="0" w:after="0" w:lineRule="exact" w:line="220"/>
              <w:jc w:val="left"/>
            </w:pPr>
            <w:r>
              <w:rPr>
                <w:sz w:val="18"/>
              </w:rPr>
              <w:t xml:space="preserve">(3.640)</w:t>
            </w:r>
          </w:p>
        </w:tc>
        <w:tc>
          <w:tcPr>
            <w:tcW w:w="1130" w:type="dxa"/>
          </w:tcPr>
          <w:p>
            <w:pPr>
              <w:pStyle w:val="Compact"/>
              <w:spacing w:before="0" w:after="0" w:lineRule="exact" w:line="220"/>
              <w:jc w:val="left"/>
            </w:pPr>
            <w:r>
              <w:rPr>
                <w:sz w:val="18"/>
              </w:rPr>
              <w:t xml:space="preserve">(3.251)</w:t>
            </w:r>
          </w:p>
        </w:tc>
      </w:tr>
      <w:tr>
        <w:trPr>
          <w:cantSplit/>
        </w:trPr>
        <w:tc>
          <w:tcPr>
            <w:tcW w:w="2008" w:type="dxa"/>
          </w:tcPr>
          <w:p>
            <w:pPr>
              <w:pStyle w:val="Compact"/>
              <w:spacing w:before="0" w:after="0" w:lineRule="exact" w:line="220"/>
              <w:jc w:val="left"/>
            </w:pPr>
            <w:r>
              <w:rPr>
                <w:sz w:val="18"/>
              </w:rPr>
              <w:t xml:space="preserve">Travel</w:t>
            </w: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-0.261</w:t>
            </w:r>
          </w:p>
        </w:tc>
        <w:tc>
          <w:tcPr>
            <w:tcW w:w="1035" w:type="dxa"/>
          </w:tcPr>
          <w:p>
            <w:pPr>
              <w:pStyle w:val="Compact"/>
              <w:spacing w:before="0" w:after="0" w:lineRule="exact" w:line="220"/>
              <w:jc w:val="left"/>
            </w:pPr>
            <w:r>
              <w:rPr>
                <w:sz w:val="18"/>
              </w:rPr>
              <w:t xml:space="preserve">-0.266</w:t>
            </w:r>
          </w:p>
        </w:tc>
        <w:tc>
          <w:tcPr>
            <w:tcW w:w="1130" w:type="dxa"/>
          </w:tcPr>
          <w:p>
            <w:pPr>
              <w:pStyle w:val="Compact"/>
              <w:spacing w:before="0" w:after="0" w:lineRule="exact" w:line="220"/>
              <w:jc w:val="left"/>
            </w:pPr>
            <w:r>
              <w:rPr>
                <w:sz w:val="18"/>
              </w:rPr>
              <w:t xml:space="preserve">-7.313∗</w:t>
            </w:r>
          </w:p>
        </w:tc>
        <w:tc>
          <w:tcPr>
            <w:tcW w:w="1130" w:type="dxa"/>
          </w:tcPr>
          <w:p>
            <w:pPr>
              <w:pStyle w:val="Compact"/>
              <w:spacing w:before="0" w:after="0" w:lineRule="exact" w:line="220"/>
              <w:jc w:val="left"/>
            </w:pPr>
            <w:r>
              <w:rPr>
                <w:sz w:val="18"/>
              </w:rPr>
              <w:t xml:space="preserve">-8.346∗∗</w:t>
            </w:r>
          </w:p>
        </w:tc>
        <w:tc>
          <w:tcPr>
            <w:tcW w:w="1130" w:type="dxa"/>
          </w:tcPr>
          <w:p>
            <w:pPr>
              <w:pStyle w:val="Compact"/>
              <w:spacing w:before="0" w:after="0" w:lineRule="exact" w:line="220"/>
              <w:jc w:val="left"/>
            </w:pPr>
            <w:r>
              <w:rPr>
                <w:sz w:val="18"/>
              </w:rPr>
              <w:t xml:space="preserve">-9.250∗∗</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(0.346)</w:t>
            </w:r>
          </w:p>
        </w:tc>
        <w:tc>
          <w:tcPr>
            <w:tcW w:w="1035" w:type="dxa"/>
          </w:tcPr>
          <w:p>
            <w:pPr>
              <w:pStyle w:val="Compact"/>
              <w:spacing w:before="0" w:after="0" w:lineRule="exact" w:line="220"/>
              <w:jc w:val="left"/>
            </w:pPr>
            <w:r>
              <w:rPr>
                <w:sz w:val="18"/>
              </w:rPr>
              <w:t xml:space="preserve">(0.397)</w:t>
            </w:r>
          </w:p>
        </w:tc>
        <w:tc>
          <w:tcPr>
            <w:tcW w:w="1035" w:type="dxa"/>
          </w:tcPr>
          <w:p>
            <w:pPr>
              <w:pStyle w:val="Compact"/>
              <w:spacing w:before="0" w:after="0" w:lineRule="exact" w:line="220"/>
              <w:jc w:val="left"/>
            </w:pPr>
            <w:r>
              <w:rPr>
                <w:sz w:val="18"/>
              </w:rPr>
              <w:t xml:space="preserve">(0.317)</w:t>
            </w:r>
          </w:p>
        </w:tc>
        <w:tc>
          <w:tcPr>
            <w:tcW w:w="1130" w:type="dxa"/>
          </w:tcPr>
          <w:p>
            <w:pPr>
              <w:pStyle w:val="Compact"/>
              <w:spacing w:before="0" w:after="0" w:lineRule="exact" w:line="220"/>
              <w:jc w:val="left"/>
            </w:pPr>
            <w:r>
              <w:rPr>
                <w:sz w:val="18"/>
              </w:rPr>
              <w:t xml:space="preserve">(3.795)</w:t>
            </w:r>
          </w:p>
        </w:tc>
        <w:tc>
          <w:tcPr>
            <w:tcW w:w="1130" w:type="dxa"/>
          </w:tcPr>
          <w:p>
            <w:pPr>
              <w:pStyle w:val="Compact"/>
              <w:spacing w:before="0" w:after="0" w:lineRule="exact" w:line="220"/>
              <w:jc w:val="left"/>
            </w:pPr>
            <w:r>
              <w:rPr>
                <w:sz w:val="18"/>
              </w:rPr>
              <w:t xml:space="preserve">(3.937)</w:t>
            </w:r>
          </w:p>
        </w:tc>
        <w:tc>
          <w:tcPr>
            <w:tcW w:w="1130" w:type="dxa"/>
          </w:tcPr>
          <w:p>
            <w:pPr>
              <w:pStyle w:val="Compact"/>
              <w:spacing w:before="0" w:after="0" w:lineRule="exact" w:line="220"/>
              <w:jc w:val="left"/>
            </w:pPr>
            <w:r>
              <w:rPr>
                <w:sz w:val="18"/>
              </w:rPr>
              <w:t xml:space="preserve">(3.429)</w:t>
            </w:r>
          </w:p>
        </w:tc>
      </w:tr>
      <w:tr>
        <w:trPr>
          <w:cantSplit/>
        </w:trPr>
        <w:tc>
          <w:tcPr>
            <w:tcW w:w="2008" w:type="dxa"/>
          </w:tcPr>
          <w:p>
            <w:pPr>
              <w:pStyle w:val="Compact"/>
              <w:spacing w:before="0" w:after="0" w:lineRule="exact" w:line="220"/>
              <w:jc w:val="left"/>
            </w:pPr>
            <w:r>
              <w:rPr>
                <w:sz w:val="18"/>
              </w:rPr>
              <w:t xml:space="preserve">Freelance</w:t>
            </w:r>
          </w:p>
        </w:tc>
        <w:tc>
          <w:tcPr>
            <w:tcW w:w="1035" w:type="dxa"/>
          </w:tcPr>
          <w:p>
            <w:pPr>
              <w:pStyle w:val="Compact"/>
              <w:spacing w:before="0" w:after="0" w:lineRule="exact" w:line="220"/>
              <w:jc w:val="left"/>
            </w:pPr>
            <w:r>
              <w:rPr>
                <w:sz w:val="18"/>
              </w:rPr>
              <w:t xml:space="preserve">-0.822</w:t>
            </w:r>
          </w:p>
        </w:tc>
        <w:tc>
          <w:tcPr>
            <w:tcW w:w="1035" w:type="dxa"/>
          </w:tcPr>
          <w:p>
            <w:pPr>
              <w:pStyle w:val="Compact"/>
              <w:spacing w:before="0" w:after="0" w:lineRule="exact" w:line="220"/>
              <w:jc w:val="left"/>
            </w:pPr>
            <w:r>
              <w:rPr>
                <w:sz w:val="18"/>
              </w:rPr>
              <w:t xml:space="preserve">-0.878</w:t>
            </w:r>
          </w:p>
        </w:tc>
        <w:tc>
          <w:tcPr>
            <w:tcW w:w="1035" w:type="dxa"/>
          </w:tcPr>
          <w:p>
            <w:pPr>
              <w:pStyle w:val="Compact"/>
              <w:spacing w:before="0" w:after="0" w:lineRule="exact" w:line="220"/>
              <w:jc w:val="left"/>
            </w:pPr>
            <w:r>
              <w:rPr>
                <w:sz w:val="18"/>
              </w:rPr>
              <w:t xml:space="preserve">-0.741</w:t>
            </w:r>
          </w:p>
        </w:tc>
        <w:tc>
          <w:tcPr>
            <w:tcW w:w="1130" w:type="dxa"/>
          </w:tcPr>
          <w:p>
            <w:pPr>
              <w:pStyle w:val="Compact"/>
              <w:spacing w:before="0" w:after="0" w:lineRule="exact" w:line="220"/>
              <w:jc w:val="left"/>
            </w:pPr>
            <w:r>
              <w:rPr>
                <w:sz w:val="18"/>
              </w:rPr>
              <w:t xml:space="preserve">-11.946∗∗∗</w:t>
            </w:r>
          </w:p>
        </w:tc>
        <w:tc>
          <w:tcPr>
            <w:tcW w:w="1130" w:type="dxa"/>
          </w:tcPr>
          <w:p>
            <w:pPr>
              <w:pStyle w:val="Compact"/>
              <w:spacing w:before="0" w:after="0" w:lineRule="exact" w:line="220"/>
              <w:jc w:val="left"/>
            </w:pPr>
            <w:r>
              <w:rPr>
                <w:sz w:val="18"/>
              </w:rPr>
              <w:t xml:space="preserve">-14.088∗∗∗</w:t>
            </w:r>
          </w:p>
        </w:tc>
        <w:tc>
          <w:tcPr>
            <w:tcW w:w="1130" w:type="dxa"/>
          </w:tcPr>
          <w:p>
            <w:pPr>
              <w:pStyle w:val="Compact"/>
              <w:spacing w:before="0" w:after="0" w:lineRule="exact" w:line="220"/>
              <w:jc w:val="left"/>
            </w:pPr>
            <w:r>
              <w:rPr>
                <w:sz w:val="18"/>
              </w:rPr>
              <w:t xml:space="preserve">-13.658∗∗∗</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(0.540)</w:t>
            </w:r>
          </w:p>
        </w:tc>
        <w:tc>
          <w:tcPr>
            <w:tcW w:w="1035" w:type="dxa"/>
          </w:tcPr>
          <w:p>
            <w:pPr>
              <w:pStyle w:val="Compact"/>
              <w:spacing w:before="0" w:after="0" w:lineRule="exact" w:line="220"/>
              <w:jc w:val="left"/>
            </w:pPr>
            <w:r>
              <w:rPr>
                <w:sz w:val="18"/>
              </w:rPr>
              <w:t xml:space="preserve">(0.576)</w:t>
            </w:r>
          </w:p>
        </w:tc>
        <w:tc>
          <w:tcPr>
            <w:tcW w:w="1035" w:type="dxa"/>
          </w:tcPr>
          <w:p>
            <w:pPr>
              <w:pStyle w:val="Compact"/>
              <w:spacing w:before="0" w:after="0" w:lineRule="exact" w:line="220"/>
              <w:jc w:val="left"/>
            </w:pPr>
            <w:r>
              <w:rPr>
                <w:sz w:val="18"/>
              </w:rPr>
              <w:t xml:space="preserve">(0.580)</w:t>
            </w:r>
          </w:p>
        </w:tc>
        <w:tc>
          <w:tcPr>
            <w:tcW w:w="1130" w:type="dxa"/>
          </w:tcPr>
          <w:p>
            <w:pPr>
              <w:pStyle w:val="Compact"/>
              <w:spacing w:before="0" w:after="0" w:lineRule="exact" w:line="220"/>
              <w:jc w:val="left"/>
            </w:pPr>
            <w:r>
              <w:rPr>
                <w:sz w:val="18"/>
              </w:rPr>
              <w:t xml:space="preserve">(3.706)</w:t>
            </w:r>
          </w:p>
        </w:tc>
        <w:tc>
          <w:tcPr>
            <w:tcW w:w="1130" w:type="dxa"/>
          </w:tcPr>
          <w:p>
            <w:pPr>
              <w:pStyle w:val="Compact"/>
              <w:spacing w:before="0" w:after="0" w:lineRule="exact" w:line="220"/>
              <w:jc w:val="left"/>
            </w:pPr>
            <w:r>
              <w:rPr>
                <w:sz w:val="18"/>
              </w:rPr>
              <w:t xml:space="preserve">(3.599)</w:t>
            </w:r>
          </w:p>
        </w:tc>
        <w:tc>
          <w:tcPr>
            <w:tcW w:w="1130" w:type="dxa"/>
          </w:tcPr>
          <w:p>
            <w:pPr>
              <w:pStyle w:val="Compact"/>
              <w:spacing w:before="0" w:after="0" w:lineRule="exact" w:line="220"/>
              <w:jc w:val="left"/>
            </w:pPr>
            <w:r>
              <w:rPr>
                <w:sz w:val="18"/>
              </w:rPr>
              <w:t xml:space="preserve">(3.581)</w:t>
            </w:r>
          </w:p>
        </w:tc>
      </w:tr>
      <w:tr>
        <w:trPr>
          <w:cantSplit/>
        </w:trPr>
        <w:tc>
          <w:tcPr>
            <w:tcW w:w="2008" w:type="dxa"/>
          </w:tcPr>
          <w:p>
            <w:pPr>
              <w:pStyle w:val="Compact"/>
              <w:spacing w:before="0" w:after="0" w:lineRule="exact" w:line="220"/>
              <w:jc w:val="left"/>
            </w:pPr>
            <w:r>
              <w:rPr>
                <w:sz w:val="18"/>
              </w:rPr>
              <w:t xml:space="preserve">Resale</w:t>
            </w:r>
          </w:p>
        </w:tc>
        <w:tc>
          <w:tcPr>
            <w:tcW w:w="1035" w:type="dxa"/>
          </w:tcPr>
          <w:p>
            <w:pPr>
              <w:pStyle w:val="Compact"/>
              <w:spacing w:before="0" w:after="0" w:lineRule="exact" w:line="220"/>
              <w:jc w:val="left"/>
            </w:pPr>
            <w:r>
              <w:rPr>
                <w:sz w:val="18"/>
              </w:rPr>
              <w:t xml:space="preserve">-0.444</w:t>
            </w:r>
          </w:p>
        </w:tc>
        <w:tc>
          <w:tcPr>
            <w:tcW w:w="1035" w:type="dxa"/>
          </w:tcPr>
          <w:p>
            <w:pPr>
              <w:pStyle w:val="Compact"/>
              <w:spacing w:before="0" w:after="0" w:lineRule="exact" w:line="220"/>
              <w:jc w:val="left"/>
            </w:pPr>
            <w:r>
              <w:rPr>
                <w:sz w:val="18"/>
              </w:rPr>
              <w:t xml:space="preserve">-0.527</w:t>
            </w:r>
          </w:p>
        </w:tc>
        <w:tc>
          <w:tcPr>
            <w:tcW w:w="1035" w:type="dxa"/>
          </w:tcPr>
          <w:p>
            <w:pPr>
              <w:pStyle w:val="Compact"/>
              <w:spacing w:before="0" w:after="0" w:lineRule="exact" w:line="220"/>
              <w:jc w:val="left"/>
            </w:pPr>
            <w:r>
              <w:rPr>
                <w:sz w:val="18"/>
              </w:rPr>
              <w:t xml:space="preserve">-0.477</w:t>
            </w:r>
          </w:p>
        </w:tc>
        <w:tc>
          <w:tcPr>
            <w:tcW w:w="1130" w:type="dxa"/>
          </w:tcPr>
          <w:p>
            <w:pPr>
              <w:pStyle w:val="Compact"/>
              <w:spacing w:before="0" w:after="0" w:lineRule="exact" w:line="220"/>
              <w:jc w:val="left"/>
            </w:pPr>
            <w:r>
              <w:rPr>
                <w:sz w:val="18"/>
              </w:rPr>
              <w:t xml:space="preserve">-8.393∗</w:t>
            </w:r>
          </w:p>
        </w:tc>
        <w:tc>
          <w:tcPr>
            <w:tcW w:w="1130" w:type="dxa"/>
          </w:tcPr>
          <w:p>
            <w:pPr>
              <w:pStyle w:val="Compact"/>
              <w:spacing w:before="0" w:after="0" w:lineRule="exact" w:line="220"/>
              <w:jc w:val="left"/>
            </w:pPr>
            <w:r>
              <w:rPr>
                <w:sz w:val="18"/>
              </w:rPr>
              <w:t xml:space="preserve">-10.223∗∗</w:t>
            </w:r>
          </w:p>
        </w:tc>
        <w:tc>
          <w:tcPr>
            <w:tcW w:w="1130" w:type="dxa"/>
          </w:tcPr>
          <w:p>
            <w:pPr>
              <w:pStyle w:val="Compact"/>
              <w:spacing w:before="0" w:after="0" w:lineRule="exact" w:line="220"/>
              <w:jc w:val="left"/>
            </w:pPr>
            <w:r>
              <w:rPr>
                <w:sz w:val="18"/>
              </w:rPr>
              <w:t xml:space="preserve">-10.912∗∗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(0.367)</w:t>
            </w:r>
          </w:p>
        </w:tc>
        <w:tc>
          <w:tcPr>
            <w:tcW w:w="1035" w:type="dxa"/>
          </w:tcPr>
          <w:p>
            <w:pPr>
              <w:pStyle w:val="Compact"/>
              <w:spacing w:before="0" w:after="0" w:lineRule="exact" w:line="220"/>
              <w:jc w:val="left"/>
            </w:pPr>
            <w:r>
              <w:rPr>
                <w:sz w:val="18"/>
              </w:rPr>
              <w:t xml:space="preserve">(0.402)</w:t>
            </w:r>
          </w:p>
        </w:tc>
        <w:tc>
          <w:tcPr>
            <w:tcW w:w="1035" w:type="dxa"/>
          </w:tcPr>
          <w:p>
            <w:pPr>
              <w:pStyle w:val="Compact"/>
              <w:spacing w:before="0" w:after="0" w:lineRule="exact" w:line="220"/>
              <w:jc w:val="left"/>
            </w:pPr>
            <w:r>
              <w:rPr>
                <w:sz w:val="18"/>
              </w:rPr>
              <w:t xml:space="preserve">(0.484)</w:t>
            </w:r>
          </w:p>
        </w:tc>
        <w:tc>
          <w:tcPr>
            <w:tcW w:w="1130" w:type="dxa"/>
          </w:tcPr>
          <w:p>
            <w:pPr>
              <w:pStyle w:val="Compact"/>
              <w:spacing w:before="0" w:after="0" w:lineRule="exact" w:line="220"/>
              <w:jc w:val="left"/>
            </w:pPr>
            <w:r>
              <w:rPr>
                <w:sz w:val="18"/>
              </w:rPr>
              <w:t xml:space="preserve">(4.385)</w:t>
            </w:r>
          </w:p>
        </w:tc>
        <w:tc>
          <w:tcPr>
            <w:tcW w:w="1130" w:type="dxa"/>
          </w:tcPr>
          <w:p>
            <w:pPr>
              <w:pStyle w:val="Compact"/>
              <w:spacing w:before="0" w:after="0" w:lineRule="exact" w:line="220"/>
              <w:jc w:val="left"/>
            </w:pPr>
            <w:r>
              <w:rPr>
                <w:sz w:val="18"/>
              </w:rPr>
              <w:t xml:space="preserve">(4.491)</w:t>
            </w:r>
          </w:p>
        </w:tc>
        <w:tc>
          <w:tcPr>
            <w:tcW w:w="1130" w:type="dxa"/>
          </w:tcPr>
          <w:p>
            <w:pPr>
              <w:pStyle w:val="Compact"/>
              <w:spacing w:before="0" w:after="0" w:lineRule="exact" w:line="220"/>
              <w:jc w:val="left"/>
            </w:pPr>
            <w:r>
              <w:rPr>
                <w:sz w:val="18"/>
              </w:rPr>
              <w:t xml:space="preserve">(4.700)</w:t>
            </w:r>
          </w:p>
        </w:tc>
      </w:tr>
      <w:tr>
        <w:trPr>
          <w:cantSplit/>
        </w:trPr>
        <w:tc>
          <w:tcPr>
            <w:tcW w:w="2008" w:type="dxa"/>
          </w:tcPr>
          <w:p>
            <w:pPr>
              <w:pStyle w:val="Compact"/>
              <w:spacing w:before="0" w:after="0" w:lineRule="exact" w:line="220"/>
              <w:jc w:val="left"/>
            </w:pPr>
            <w:r>
              <w:rPr>
                <w:sz w:val="18"/>
              </w:rPr>
              <w:t xml:space="preserve">GDPGrowth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0.106∗</w:t>
            </w:r>
          </w:p>
        </w:tc>
        <w:tc>
          <w:tcPr>
            <w:tcW w:w="1035" w:type="dxa"/>
          </w:tcPr>
          <w:p>
            <w:pPr>
              <w:pStyle w:val="Compact"/>
              <w:spacing w:before="0" w:after="0" w:lineRule="exact" w:line="220"/>
              <w:jc w:val="left"/>
            </w:pPr>
            <w:r>
              <w:rPr>
                <w:sz w:val="18"/>
              </w:rPr>
              <w:t xml:space="preserve">0.148∗∗</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1.301∗∗</w:t>
            </w:r>
          </w:p>
        </w:tc>
        <w:tc>
          <w:tcPr>
            <w:tcW w:w="1130" w:type="dxa"/>
          </w:tcPr>
          <w:p>
            <w:pPr>
              <w:pStyle w:val="Compact"/>
              <w:spacing w:before="0" w:after="0" w:lineRule="exact" w:line="220"/>
              <w:jc w:val="left"/>
            </w:pPr>
            <w:r>
              <w:rPr>
                <w:sz w:val="18"/>
              </w:rPr>
              <w:t xml:space="preserve">1.479∗∗</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(0.057)</w:t>
            </w:r>
          </w:p>
        </w:tc>
        <w:tc>
          <w:tcPr>
            <w:tcW w:w="1035" w:type="dxa"/>
          </w:tcPr>
          <w:p>
            <w:pPr>
              <w:pStyle w:val="Compact"/>
              <w:spacing w:before="0" w:after="0" w:lineRule="exact" w:line="220"/>
              <w:jc w:val="left"/>
            </w:pPr>
            <w:r>
              <w:rPr>
                <w:sz w:val="18"/>
              </w:rPr>
              <w:t xml:space="preserve">(0.067)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(0.573)</w:t>
            </w:r>
          </w:p>
        </w:tc>
        <w:tc>
          <w:tcPr>
            <w:tcW w:w="1130" w:type="dxa"/>
          </w:tcPr>
          <w:p>
            <w:pPr>
              <w:pStyle w:val="Compact"/>
              <w:spacing w:before="0" w:after="0" w:lineRule="exact" w:line="220"/>
              <w:jc w:val="left"/>
            </w:pPr>
            <w:r>
              <w:rPr>
                <w:sz w:val="18"/>
              </w:rPr>
              <w:t xml:space="preserve">(0.552)</w:t>
            </w:r>
          </w:p>
        </w:tc>
      </w:tr>
      <w:tr>
        <w:trPr>
          <w:cantSplit/>
        </w:trPr>
        <w:tc>
          <w:tcPr>
            <w:tcW w:w="2008" w:type="dxa"/>
          </w:tcPr>
          <w:p>
            <w:pPr>
              <w:pStyle w:val="Compact"/>
              <w:spacing w:before="0" w:after="0" w:lineRule="exact" w:line="220"/>
              <w:jc w:val="left"/>
            </w:pPr>
            <w:r>
              <w:rPr>
                <w:sz w:val="18"/>
              </w:rPr>
              <w:t xml:space="preserve">Inflation</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-0.001</w:t>
            </w:r>
          </w:p>
        </w:tc>
        <w:tc>
          <w:tcPr>
            <w:tcW w:w="1035" w:type="dxa"/>
          </w:tcPr>
          <w:p>
            <w:pPr>
              <w:pStyle w:val="Compact"/>
              <w:spacing w:before="0" w:after="0" w:lineRule="exact" w:line="220"/>
              <w:jc w:val="left"/>
            </w:pPr>
            <w:r>
              <w:rPr>
                <w:sz w:val="18"/>
              </w:rPr>
              <w:t xml:space="preserve">0.001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-0.018</w:t>
            </w:r>
          </w:p>
        </w:tc>
        <w:tc>
          <w:tcPr>
            <w:tcW w:w="1130" w:type="dxa"/>
          </w:tcPr>
          <w:p>
            <w:pPr>
              <w:pStyle w:val="Compact"/>
              <w:spacing w:before="0" w:after="0" w:lineRule="exact" w:line="220"/>
              <w:jc w:val="left"/>
            </w:pPr>
            <w:r>
              <w:rPr>
                <w:sz w:val="18"/>
              </w:rPr>
              <w:t xml:space="preserve">-0.006</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(0.003)</w:t>
            </w:r>
          </w:p>
        </w:tc>
        <w:tc>
          <w:tcPr>
            <w:tcW w:w="1035" w:type="dxa"/>
          </w:tcPr>
          <w:p>
            <w:pPr>
              <w:pStyle w:val="Compact"/>
              <w:spacing w:before="0" w:after="0" w:lineRule="exact" w:line="220"/>
              <w:jc w:val="left"/>
            </w:pPr>
            <w:r>
              <w:rPr>
                <w:sz w:val="18"/>
              </w:rPr>
              <w:t xml:space="preserve">(0.003)</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(0.024)</w:t>
            </w:r>
          </w:p>
        </w:tc>
        <w:tc>
          <w:tcPr>
            <w:tcW w:w="1130" w:type="dxa"/>
          </w:tcPr>
          <w:p>
            <w:pPr>
              <w:pStyle w:val="Compact"/>
              <w:spacing w:before="0" w:after="0" w:lineRule="exact" w:line="220"/>
              <w:jc w:val="left"/>
            </w:pPr>
            <w:r>
              <w:rPr>
                <w:sz w:val="18"/>
              </w:rPr>
              <w:t xml:space="preserve">(0.027)</w:t>
            </w:r>
          </w:p>
        </w:tc>
      </w:tr>
      <w:tr>
        <w:trPr>
          <w:cantSplit/>
        </w:trPr>
        <w:tc>
          <w:tcPr>
            <w:tcW w:w="2008" w:type="dxa"/>
          </w:tcPr>
          <w:p>
            <w:pPr>
              <w:pStyle w:val="Compact"/>
              <w:spacing w:before="0" w:after="0" w:lineRule="exact" w:line="220"/>
              <w:jc w:val="left"/>
            </w:pPr>
            <w:r>
              <w:rPr>
                <w:sz w:val="18"/>
              </w:rPr>
              <w:t xml:space="preserve">HouseholdGrowth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-0.014</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-0.785∗</w:t>
            </w:r>
          </w:p>
        </w:tc>
        <w:tc>
          <w:tcPr>
            <w:tcW w:w="1130" w:type="dxa"/>
          </w:tcPr>
          <w:p>
            <w:pPr>
              <w:pStyle w:val="Compact"/>
              <w:spacing w:before="0" w:after="0" w:lineRule="exact" w:line="220"/>
              <w:jc w:val="left"/>
            </w:pPr>
            <w:r>
              <w:rPr>
                <w:sz w:val="18"/>
              </w:rPr>
              <w:t xml:space="preserve">-0.687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(0.025)</w:t>
            </w:r>
          </w:p>
        </w:tc>
        <w:tc>
          <w:tcPr>
            <w:tcW w:w="1035"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(0.452)</w:t>
            </w:r>
          </w:p>
        </w:tc>
        <w:tc>
          <w:tcPr>
            <w:tcW w:w="1130" w:type="dxa"/>
          </w:tcPr>
          <w:p>
            <w:pPr>
              <w:pStyle w:val="Compact"/>
              <w:spacing w:before="0" w:after="0" w:lineRule="exact" w:line="220"/>
              <w:jc w:val="left"/>
            </w:pPr>
            <w:r>
              <w:rPr>
                <w:sz w:val="18"/>
              </w:rPr>
              <w:t xml:space="preserve">(0.490)</w:t>
            </w:r>
          </w:p>
        </w:tc>
      </w:tr>
      <w:tr>
        <w:trPr>
          <w:cantSplit/>
        </w:trPr>
        <w:tc>
          <w:tcPr>
            <w:tcW w:w="2008" w:type="dxa"/>
          </w:tcPr>
          <w:p>
            <w:pPr>
              <w:pStyle w:val="Compact"/>
              <w:spacing w:before="0" w:after="0" w:lineRule="exact" w:line="220"/>
              <w:jc w:val="left"/>
            </w:pPr>
            <w:r>
              <w:rPr>
                <w:sz w:val="18"/>
              </w:rPr>
              <w:t xml:space="preserve">PolicyRate</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0.008</w:t>
            </w:r>
          </w:p>
        </w:tc>
        <w:tc>
          <w:tcPr>
            <w:tcW w:w="1035" w:type="dxa"/>
          </w:tcPr>
          <w:p>
            <w:pPr>
              <w:pStyle w:val="Compact"/>
              <w:spacing w:before="0" w:after="0" w:lineRule="exact" w:line="220"/>
              <w:jc w:val="left"/>
            </w:pPr>
            <w:r>
              <w:rPr>
                <w:sz w:val="18"/>
              </w:rPr>
              <w:t xml:space="preserve">0.011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-0.033</w:t>
            </w:r>
          </w:p>
        </w:tc>
        <w:tc>
          <w:tcPr>
            <w:tcW w:w="1130" w:type="dxa"/>
          </w:tcPr>
          <w:p>
            <w:pPr>
              <w:pStyle w:val="Compact"/>
              <w:spacing w:before="0" w:after="0" w:lineRule="exact" w:line="220"/>
              <w:jc w:val="left"/>
            </w:pPr>
            <w:r>
              <w:rPr>
                <w:sz w:val="18"/>
              </w:rPr>
              <w:t xml:space="preserve">-0.005</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(0.007)</w:t>
            </w:r>
          </w:p>
        </w:tc>
        <w:tc>
          <w:tcPr>
            <w:tcW w:w="1035" w:type="dxa"/>
          </w:tcPr>
          <w:p>
            <w:pPr>
              <w:pStyle w:val="Compact"/>
              <w:spacing w:before="0" w:after="0" w:lineRule="exact" w:line="220"/>
              <w:jc w:val="left"/>
            </w:pPr>
            <w:r>
              <w:rPr>
                <w:sz w:val="18"/>
              </w:rPr>
              <w:t xml:space="preserve">(0.007)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(0.082)</w:t>
            </w:r>
          </w:p>
        </w:tc>
        <w:tc>
          <w:tcPr>
            <w:tcW w:w="1130" w:type="dxa"/>
          </w:tcPr>
          <w:p>
            <w:pPr>
              <w:pStyle w:val="Compact"/>
              <w:spacing w:before="0" w:after="0" w:lineRule="exact" w:line="220"/>
              <w:jc w:val="left"/>
            </w:pPr>
            <w:r>
              <w:rPr>
                <w:sz w:val="18"/>
              </w:rPr>
              <w:t xml:space="preserve">(0.075)</w:t>
            </w:r>
          </w:p>
        </w:tc>
      </w:tr>
      <w:tr>
        <w:trPr>
          <w:cantSplit/>
        </w:trPr>
        <w:tc>
          <w:tcPr>
            <w:tcW w:w="2008" w:type="dxa"/>
          </w:tcPr>
          <w:p>
            <w:pPr>
              <w:pStyle w:val="Compact"/>
              <w:spacing w:before="0" w:after="0" w:lineRule="exact" w:line="220"/>
              <w:jc w:val="left"/>
            </w:pPr>
            <w:r>
              <w:rPr>
                <w:sz w:val="18"/>
              </w:rPr>
              <w:t xml:space="preserve">Constant</w:t>
            </w:r>
          </w:p>
        </w:tc>
        <w:tc>
          <w:tcPr>
            <w:tcW w:w="1035" w:type="dxa"/>
          </w:tcPr>
          <w:p>
            <w:pPr>
              <w:pStyle w:val="Compact"/>
              <w:spacing w:before="0" w:after="0" w:lineRule="exact" w:line="220"/>
              <w:jc w:val="left"/>
            </w:pPr>
            <w:r>
              <w:rPr>
                <w:sz w:val="18"/>
              </w:rPr>
              <w:t xml:space="preserve">2.148∗∗∗</w:t>
            </w:r>
          </w:p>
        </w:tc>
        <w:tc>
          <w:tcPr>
            <w:tcW w:w="1035" w:type="dxa"/>
          </w:tcPr>
          <w:p>
            <w:pPr>
              <w:pStyle w:val="Compact"/>
              <w:spacing w:before="0" w:after="0" w:lineRule="exact" w:line="220"/>
              <w:jc w:val="left"/>
            </w:pPr>
            <w:r>
              <w:rPr>
                <w:sz w:val="18"/>
              </w:rPr>
              <w:t xml:space="preserve">1.962∗∗∗</w:t>
            </w:r>
          </w:p>
        </w:tc>
        <w:tc>
          <w:tcPr>
            <w:tcW w:w="1035" w:type="dxa"/>
          </w:tcPr>
          <w:p>
            <w:pPr>
              <w:pStyle w:val="Compact"/>
              <w:spacing w:before="0" w:after="0" w:lineRule="exact" w:line="220"/>
              <w:jc w:val="left"/>
            </w:pPr>
            <w:r>
              <w:rPr>
                <w:sz w:val="18"/>
              </w:rPr>
              <w:t xml:space="preserve">2.108∗∗∗</w:t>
            </w:r>
          </w:p>
        </w:tc>
        <w:tc>
          <w:tcPr>
            <w:tcW w:w="1130" w:type="dxa"/>
          </w:tcPr>
          <w:p>
            <w:pPr>
              <w:pStyle w:val="Compact"/>
              <w:spacing w:before="0" w:after="0" w:lineRule="exact" w:line="220"/>
              <w:jc w:val="left"/>
            </w:pPr>
            <w:r>
              <w:rPr>
                <w:sz w:val="18"/>
              </w:rPr>
              <w:t xml:space="preserve">18.840∗∗</w:t>
            </w:r>
          </w:p>
        </w:tc>
        <w:tc>
          <w:tcPr>
            <w:tcW w:w="1130" w:type="dxa"/>
          </w:tcPr>
          <w:p>
            <w:pPr>
              <w:pStyle w:val="Compact"/>
              <w:spacing w:before="0" w:after="0" w:lineRule="exact" w:line="220"/>
              <w:jc w:val="left"/>
            </w:pPr>
            <w:r>
              <w:rPr>
                <w:sz w:val="18"/>
              </w:rPr>
              <w:t xml:space="preserve">21.744∗∗∗</w:t>
            </w:r>
          </w:p>
        </w:tc>
        <w:tc>
          <w:tcPr>
            <w:tcW w:w="1130" w:type="dxa"/>
          </w:tcPr>
          <w:p>
            <w:pPr>
              <w:pStyle w:val="Compact"/>
              <w:spacing w:before="0" w:after="0" w:lineRule="exact" w:line="220"/>
              <w:jc w:val="left"/>
            </w:pPr>
            <w:r>
              <w:rPr>
                <w:sz w:val="18"/>
              </w:rPr>
              <w:t xml:space="preserve">27.343∗∗∗</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(0.490)</w:t>
            </w:r>
          </w:p>
        </w:tc>
        <w:tc>
          <w:tcPr>
            <w:tcW w:w="1035" w:type="dxa"/>
          </w:tcPr>
          <w:p>
            <w:pPr>
              <w:pStyle w:val="Compact"/>
              <w:spacing w:before="0" w:after="0" w:lineRule="exact" w:line="220"/>
              <w:jc w:val="left"/>
            </w:pPr>
            <w:r>
              <w:rPr>
                <w:sz w:val="18"/>
              </w:rPr>
              <w:t xml:space="preserve">(0.572)</w:t>
            </w:r>
          </w:p>
        </w:tc>
        <w:tc>
          <w:tcPr>
            <w:tcW w:w="1035" w:type="dxa"/>
          </w:tcPr>
          <w:p>
            <w:pPr>
              <w:pStyle w:val="Compact"/>
              <w:spacing w:before="0" w:after="0" w:lineRule="exact" w:line="220"/>
              <w:jc w:val="left"/>
            </w:pPr>
            <w:r>
              <w:rPr>
                <w:sz w:val="18"/>
              </w:rPr>
              <w:t xml:space="preserve">(0.575)</w:t>
            </w:r>
          </w:p>
        </w:tc>
        <w:tc>
          <w:tcPr>
            <w:tcW w:w="1130" w:type="dxa"/>
          </w:tcPr>
          <w:p>
            <w:pPr>
              <w:pStyle w:val="Compact"/>
              <w:spacing w:before="0" w:after="0" w:lineRule="exact" w:line="220"/>
              <w:jc w:val="left"/>
            </w:pPr>
            <w:r>
              <w:rPr>
                <w:sz w:val="18"/>
              </w:rPr>
              <w:t xml:space="preserve">(7.237)</w:t>
            </w:r>
          </w:p>
        </w:tc>
        <w:tc>
          <w:tcPr>
            <w:tcW w:w="1130" w:type="dxa"/>
          </w:tcPr>
          <w:p>
            <w:pPr>
              <w:pStyle w:val="Compact"/>
              <w:spacing w:before="0" w:after="0" w:lineRule="exact" w:line="220"/>
              <w:jc w:val="left"/>
            </w:pPr>
            <w:r>
              <w:rPr>
                <w:sz w:val="18"/>
              </w:rPr>
              <w:t xml:space="preserve">(6.165)</w:t>
            </w:r>
          </w:p>
        </w:tc>
        <w:tc>
          <w:tcPr>
            <w:tcW w:w="1130" w:type="dxa"/>
          </w:tcPr>
          <w:p>
            <w:pPr>
              <w:pStyle w:val="Compact"/>
              <w:spacing w:before="0" w:after="0" w:lineRule="exact" w:line="220"/>
              <w:jc w:val="left"/>
            </w:pPr>
            <w:r>
              <w:rPr>
                <w:sz w:val="18"/>
              </w:rPr>
              <w:t xml:space="preserve">(7.166)</w:t>
            </w:r>
          </w:p>
        </w:tc>
      </w:tr>
      <w:tr>
        <w:trPr>
          <w:cantSplit/>
        </w:trPr>
        <w:tc>
          <w:tcPr>
            <w:tcW w:w="2008" w:type="dxa"/>
          </w:tcPr>
          <w:p>
            <w:pPr>
              <w:pStyle w:val="Compact"/>
              <w:spacing w:before="0" w:after="0" w:lineRule="exact" w:line="220"/>
              <w:jc w:val="left"/>
            </w:pPr>
            <w:r>
              <w:rPr>
                <w:sz w:val="18"/>
              </w:rPr>
              <w:t xml:space="preserve">Observations</w:t>
            </w:r>
          </w:p>
        </w:tc>
        <w:tc>
          <w:tcPr>
            <w:tcW w:w="1035" w:type="dxa"/>
          </w:tcPr>
          <w:p>
            <w:pPr>
              <w:pStyle w:val="Compact"/>
              <w:spacing w:before="0" w:after="0" w:lineRule="exact" w:line="220"/>
              <w:jc w:val="left"/>
            </w:pPr>
            <w:r>
              <w:rPr>
                <w:sz w:val="18"/>
              </w:rPr>
              <w:t xml:space="preserve">202</w:t>
            </w:r>
          </w:p>
        </w:tc>
        <w:tc>
          <w:tcPr>
            <w:tcW w:w="1035" w:type="dxa"/>
          </w:tcPr>
          <w:p>
            <w:pPr>
              <w:pStyle w:val="Compact"/>
              <w:spacing w:before="0" w:after="0" w:lineRule="exact" w:line="220"/>
              <w:jc w:val="left"/>
            </w:pPr>
            <w:r>
              <w:rPr>
                <w:sz w:val="18"/>
              </w:rPr>
              <w:t xml:space="preserve">178</w:t>
            </w:r>
          </w:p>
        </w:tc>
        <w:tc>
          <w:tcPr>
            <w:tcW w:w="1035"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202</w:t>
            </w:r>
          </w:p>
        </w:tc>
        <w:tc>
          <w:tcPr>
            <w:tcW w:w="1130"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178</w:t>
            </w:r>
          </w:p>
        </w:tc>
      </w:tr>
      <w:tr>
        <w:trPr>
          <w:cantSplit/>
        </w:trPr>
        <w:tc>
          <w:tcPr>
            <w:tcW w:w="2008" w:type="dxa"/>
          </w:tcPr>
          <w:p>
            <w:pPr>
              <w:pStyle w:val="Compact"/>
              <w:spacing w:before="0" w:after="0" w:lineRule="exact" w:line="220"/>
              <w:jc w:val="left"/>
            </w:pPr>
            <w:r>
              <w:rPr>
                <w:sz w:val="18"/>
              </w:rPr>
              <w:t xml:space="preserve">Platforms (clusters)</w:t>
            </w:r>
          </w:p>
        </w:tc>
        <w:tc>
          <w:tcPr>
            <w:tcW w:w="1035" w:type="dxa"/>
          </w:tcPr>
          <w:p>
            <w:pPr>
              <w:pStyle w:val="Compact"/>
              <w:spacing w:before="0" w:after="0" w:lineRule="exact" w:line="220"/>
              <w:jc w:val="left"/>
            </w:pPr>
            <w:r>
              <w:rPr>
                <w:sz w:val="18"/>
              </w:rPr>
              <w:t xml:space="preserve">32</w:t>
            </w:r>
          </w:p>
        </w:tc>
        <w:tc>
          <w:tcPr>
            <w:tcW w:w="1035" w:type="dxa"/>
          </w:tcPr>
          <w:p>
            <w:pPr>
              <w:pStyle w:val="Compact"/>
              <w:spacing w:before="0" w:after="0" w:lineRule="exact" w:line="220"/>
              <w:jc w:val="left"/>
            </w:pPr>
            <w:r>
              <w:rPr>
                <w:sz w:val="18"/>
              </w:rPr>
              <w:t xml:space="preserve">30</w:t>
            </w:r>
          </w:p>
        </w:tc>
        <w:tc>
          <w:tcPr>
            <w:tcW w:w="1035"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32</w:t>
            </w:r>
          </w:p>
        </w:tc>
        <w:tc>
          <w:tcPr>
            <w:tcW w:w="1130"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30</w:t>
            </w:r>
          </w:p>
        </w:tc>
      </w:tr>
      <w:tr>
        <w:trPr>
          <w:cantSplit/>
        </w:trPr>
        <w:tc>
          <w:tcPr>
            <w:tcW w:w="2008" w:type="dxa"/>
          </w:tcPr>
          <w:p>
            <w:pPr>
              <w:pStyle w:val="Compact"/>
              <w:spacing w:before="0" w:after="0" w:lineRule="exact" w:line="220"/>
              <w:jc w:val="left"/>
            </w:pPr>
            <w:r>
              <w:rPr>
                <w:iCs/>
                <w:i/>
                <w:sz w:val="18"/>
              </w:rPr>
              <w:t xml:space="preserve">R</w:t>
            </w:r>
            <w:r>
              <w:rPr>
                <w:sz w:val="18"/>
                <w:vertAlign w:val="superscript"/>
              </w:rPr>
              <w:t xml:space="preserve">2</w:t>
            </w:r>
          </w:p>
        </w:tc>
        <w:tc>
          <w:tcPr>
            <w:tcW w:w="1035" w:type="dxa"/>
          </w:tcPr>
          <w:p>
            <w:pPr>
              <w:pStyle w:val="Compact"/>
              <w:spacing w:before="0" w:after="0" w:lineRule="exact" w:line="220"/>
              <w:jc w:val="left"/>
            </w:pPr>
            <w:r>
              <w:rPr>
                <w:sz w:val="18"/>
              </w:rPr>
              <w:t xml:space="preserve">0.808</w:t>
            </w:r>
          </w:p>
        </w:tc>
        <w:tc>
          <w:tcPr>
            <w:tcW w:w="1035" w:type="dxa"/>
          </w:tcPr>
          <w:p>
            <w:pPr>
              <w:pStyle w:val="Compact"/>
              <w:spacing w:before="0" w:after="0" w:lineRule="exact" w:line="220"/>
              <w:jc w:val="left"/>
            </w:pPr>
            <w:r>
              <w:rPr>
                <w:sz w:val="18"/>
              </w:rPr>
              <w:t xml:space="preserve">0.842</w:t>
            </w:r>
          </w:p>
        </w:tc>
        <w:tc>
          <w:tcPr>
            <w:tcW w:w="1035" w:type="dxa"/>
          </w:tcPr>
          <w:p>
            <w:pPr>
              <w:pStyle w:val="Compact"/>
              <w:spacing w:before="0" w:after="0" w:lineRule="exact" w:line="220"/>
              <w:jc w:val="left"/>
            </w:pPr>
            <w:r>
              <w:rPr>
                <w:sz w:val="18"/>
              </w:rPr>
              <w:t xml:space="preserve">0.867</w:t>
            </w:r>
          </w:p>
        </w:tc>
        <w:tc>
          <w:tcPr>
            <w:tcW w:w="1130" w:type="dxa"/>
          </w:tcPr>
          <w:p>
            <w:pPr>
              <w:pStyle w:val="Compact"/>
              <w:spacing w:before="0" w:after="0" w:lineRule="exact" w:line="220"/>
              <w:jc w:val="left"/>
            </w:pPr>
            <w:r>
              <w:rPr>
                <w:sz w:val="18"/>
              </w:rPr>
              <w:t xml:space="preserve">0.438</w:t>
            </w:r>
          </w:p>
        </w:tc>
        <w:tc>
          <w:tcPr>
            <w:tcW w:w="1130" w:type="dxa"/>
          </w:tcPr>
          <w:p>
            <w:pPr>
              <w:pStyle w:val="Compact"/>
              <w:spacing w:before="0" w:after="0" w:lineRule="exact" w:line="220"/>
              <w:jc w:val="left"/>
            </w:pPr>
            <w:r>
              <w:rPr>
                <w:sz w:val="18"/>
              </w:rPr>
              <w:t xml:space="preserve">0.515</w:t>
            </w:r>
          </w:p>
        </w:tc>
        <w:tc>
          <w:tcPr>
            <w:tcW w:w="1130" w:type="dxa"/>
          </w:tcPr>
          <w:p>
            <w:pPr>
              <w:pStyle w:val="Compact"/>
              <w:spacing w:before="0" w:after="0" w:lineRule="exact" w:line="220"/>
              <w:jc w:val="left"/>
            </w:pPr>
            <w:r>
              <w:rPr>
                <w:sz w:val="18"/>
              </w:rPr>
              <w:t xml:space="preserve">0.571</w:t>
            </w:r>
          </w:p>
        </w:tc>
      </w:tr>
      <w:tr>
        <w:trPr>
          <w:cantSplit/>
        </w:trPr>
        <w:tc>
          <w:tcPr>
            <w:tcW w:w="2008" w:type="dxa"/>
          </w:tcPr>
          <w:p>
            <w:pPr>
              <w:pStyle w:val="Compact"/>
              <w:keepNext/>
              <w:spacing w:before="0" w:after="0" w:lineRule="exact" w:line="220"/>
              <w:jc w:val="left"/>
            </w:pPr>
            <w:r>
              <w:rPr>
                <w:sz w:val="18"/>
              </w:rPr>
              <w:t xml:space="preserve">Year dummies</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Yes</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Yes</w:t>
            </w:r>
          </w:p>
        </w:tc>
      </w:tr>
      <w:tr>
        <w:trPr>
          <w:cantSplit/>
        </w:trPr>
        <w:tc>
          <w:tcPr>
            <w:tcW w:w="2008" w:type="dxa"/>
          </w:tcPr>
          <w:p>
            <w:pPr>
              <w:pStyle w:val="Compact"/>
              <w:spacing w:before="0" w:after="0" w:lineRule="exact" w:line="220"/>
              <w:jc w:val="left"/>
            </w:pPr>
            <w:r>
              <w:rPr>
                <w:sz w:val="18"/>
              </w:rPr>
              <w:t xml:space="preserve">Wild-bootstrap</w:t>
            </w:r>
            <w:r>
              <w:rPr>
                <w:sz w:val="18"/>
              </w:rPr>
              <w:t xml:space="preserve"> </w:t>
            </w:r>
            <w:r>
              <w:rPr>
                <w:iCs/>
                <w:i/>
                <w:sz w:val="18"/>
              </w:rPr>
              <w:t xml:space="preserve">p</w:t>
            </w:r>
            <w:r>
              <w:rPr>
                <w:sz w:val="18"/>
              </w:rPr>
              <w:t xml:space="preserve">, IndonesiaRegion</w:t>
            </w:r>
          </w:p>
        </w:tc>
        <w:tc>
          <w:tcPr>
            <w:tcW w:w="1035" w:type="dxa"/>
          </w:tcPr>
          <w:p>
            <w:pPr>
              <w:pStyle w:val="Compact"/>
              <w:spacing w:before="0" w:after="0" w:lineRule="exact" w:line="220"/>
              <w:jc w:val="left"/>
            </w:pPr>
            <w:r>
              <w:rPr>
                <w:sz w:val="18"/>
              </w:rPr>
              <w:t xml:space="preserve">0.848</w:t>
            </w:r>
          </w:p>
        </w:tc>
        <w:tc>
          <w:tcPr>
            <w:tcW w:w="1035" w:type="dxa"/>
          </w:tcPr>
          <w:p>
            <w:pPr>
              <w:pStyle w:val="Compact"/>
              <w:spacing w:before="0" w:after="0" w:lineRule="exact" w:line="220"/>
              <w:jc w:val="left"/>
            </w:pPr>
            <w:r>
              <w:rPr>
                <w:sz w:val="18"/>
              </w:rPr>
              <w:t xml:space="preserve">0.475</w:t>
            </w:r>
          </w:p>
        </w:tc>
        <w:tc>
          <w:tcPr>
            <w:tcW w:w="1035" w:type="dxa"/>
          </w:tcPr>
          <w:p>
            <w:pPr>
              <w:pStyle w:val="Compact"/>
              <w:spacing w:before="0" w:after="0" w:lineRule="exact" w:line="220"/>
              <w:jc w:val="left"/>
            </w:pPr>
            <w:r>
              <w:rPr>
                <w:sz w:val="18"/>
              </w:rPr>
              <w:t xml:space="preserve">0.866</w:t>
            </w:r>
          </w:p>
        </w:tc>
        <w:tc>
          <w:tcPr>
            <w:tcW w:w="1130"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r>
              <w:rPr>
                <w:sz w:val="18"/>
              </w:rPr>
              <w:t xml:space="preserve">0.039</w:t>
            </w:r>
          </w:p>
        </w:tc>
        <w:tc>
          <w:tcPr>
            <w:tcW w:w="1130" w:type="dxa"/>
          </w:tcPr>
          <w:p>
            <w:pPr>
              <w:pStyle w:val="Compact"/>
              <w:spacing w:before="0" w:after="0" w:lineRule="exact" w:line="220"/>
              <w:jc w:val="left"/>
            </w:pPr>
            <w:r>
              <w:rPr>
                <w:sz w:val="18"/>
              </w:rPr>
              <w:t xml:space="preserve">0.005</w:t>
            </w:r>
          </w:p>
        </w:tc>
      </w:tr>
    </w:tbl>
    <w:p>
      <w:pPr>
        <w:pStyle w:val="TableNote"/>
      </w:pPr>
      <w:r>
        <w:rPr>
          <w:iCs/>
          <w:i/>
        </w:rPr>
        <w:t xml:space="preserve">Note:</w:t>
      </w:r>
      <w:r>
        <w:t xml:space="preserve"> </w:t>
      </w:r>
      <w:r>
        <w:t xml:space="preserve">The take rate and its parts are not regressors, because the ecosystem ratio is one divided by the take rate, minus one. Source: company filings; filings with the US Securities and Exchange Commission; World Bank; Bank for International Settlements; author’s calculations. Exploratory.</w:t>
      </w:r>
    </w:p>
    <w:p>
      <w:pPr>
        <w:pStyle w:val="TableCaption"/>
        <w:keepNext/>
        <w:pageBreakBefore/>
      </w:pPr>
      <w:r>
        <w:rPr>
          <w:b/>
        </w:rPr>
        <w:t>Table 5.</w:t>
      </w:r>
      <w:r>
        <w:rPr>
          <w:b w:val="0"/>
        </w:rPr>
        <w:t xml:space="preserve"> The 2023 rise in the count of online sellers (thousands)</w:t>
      </w:r>
    </w:p>
    <w:p>
      <w:pPr>
        <w:pStyle w:val="TableNote"/>
        <w:keepNext/>
      </w:pPr>
      <w:r>
        <w:t xml:space="preserve">This table splits the rise in the number of online sellers between the weighted totals of the two BPS survey files into net entry and earlier sellers who were newly counted. The first column assumes that no seller stopped between the surveys, and the second assumes that sellers stopped at 5 percent a year. The percentages are shares of the rise.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TableCaption"/>
        <w:keepNext/>
        <w:pageBreakBefore/>
      </w:pPr>
      <w:r>
        <w:rPr>
          <w:b/>
        </w:rPr>
        <w:t>Table 6.</w:t>
      </w:r>
      <w:r>
        <w:rPr>
          <w:b w:val="0"/>
        </w:rPr>
        <w:t xml:space="preserve"> Indonesia’s recent rules and what each acts on</w:t>
      </w:r>
    </w:p>
    <w:p>
      <w:pPr>
        <w:pStyle w:val="TableNote"/>
        <w:keepNext/>
      </w:pPr>
      <w:r>
        <w:t xml:space="preserve">This table lists each recent Indonesian rule that bears on the figures in Chapters 4 and 5. For each rule it gives what the rule does, which part of the figures it acts on, the section of Chapter 5 that measures that part, and the status of the legal text when this thesis was written. Amounts in rupiah (Rp) are converted to US dollars in the note.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identity number</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TableCaption"/>
        <w:keepNext/>
        <w:pageBreakBefore/>
      </w:pPr>
      <w:r>
        <w:rPr>
          <w:b/>
        </w:rPr>
        <w:t>Table 7.</w:t>
      </w:r>
      <w:r>
        <w:rPr>
          <w:b w:val="0"/>
        </w:rPr>
        <w:t xml:space="preserve"> Registered predictions on the 2026 rules</w:t>
      </w:r>
    </w:p>
    <w:p>
      <w:pPr>
        <w:pStyle w:val="TableNote"/>
        <w:keepNext/>
      </w:pPr>
      <w:r>
        <w:t xml:space="preserve">This table lists the registered predictions on the 2026 rules. For each prediction it gives what is expected, the rule it bears on and the date it is scored. The outcome stays blank until the company or BPS releases the figure.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bookmarkEnd w:id="90"/>
    <w:bookmarkStart w:id="106"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appendix-a.-definition-of-variables"/>
    <w:p>
      <w:pPr>
        <w:pStyle w:val="Heading2"/>
      </w:pPr>
      <w:r>
        <w:t xml:space="preserve">Appendix A. Definition of variables</w:t>
      </w:r>
    </w:p>
    <w:bookmarkStart w:id="91"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242"/>
        <w:gridCol w:w="3131"/>
        <w:gridCol w:w="3131"/>
      </w:tblGrid>
      <w:tr>
        <w:trPr>
          <w:tblHeader w:val="true"/>
          <w:cantSplit/>
          <w:tblHeader/>
        </w:trPr>
        <w:tc>
          <w:tcPr>
            <w:tcW w:w="2242" w:type="dxa"/>
            <w:tcBorders>
              <w:bottom w:val="single" w:sz="5" w:space="0" w:color="000000"/>
            </w:tcBorders>
          </w:tcPr>
          <w:p>
            <w:pPr>
              <w:pStyle w:val="Compact"/>
              <w:keepNext/>
              <w:spacing w:before="0" w:after="0" w:lineRule="exact" w:line="220"/>
              <w:jc w:val="left"/>
            </w:pPr>
            <w:r>
              <w:rPr>
                <w:b/>
                <w:sz w:val="18"/>
              </w:rPr>
              <w:t xml:space="preserve">Variable</w:t>
            </w:r>
          </w:p>
        </w:tc>
        <w:tc>
          <w:tcPr>
            <w:tcW w:w="3131" w:type="dxa"/>
            <w:tcBorders>
              <w:bottom w:val="single" w:sz="5" w:space="0" w:color="000000"/>
            </w:tcBorders>
          </w:tcPr>
          <w:p>
            <w:pPr>
              <w:pStyle w:val="Compact"/>
              <w:keepNext/>
              <w:spacing w:before="0" w:after="0" w:lineRule="exact" w:line="220"/>
              <w:jc w:val="left"/>
            </w:pPr>
            <w:r>
              <w:rPr>
                <w:b/>
                <w:sz w:val="18"/>
              </w:rPr>
              <w:t xml:space="preserve">Definition</w:t>
            </w:r>
          </w:p>
        </w:tc>
        <w:tc>
          <w:tcPr>
            <w:tcW w:w="3131" w:type="dxa"/>
            <w:tcBorders>
              <w:bottom w:val="single" w:sz="5" w:space="0" w:color="000000"/>
            </w:tcBorders>
          </w:tcPr>
          <w:p>
            <w:pPr>
              <w:pStyle w:val="Compact"/>
              <w:keepNext/>
              <w:spacing w:before="0" w:after="0" w:lineRule="exact" w:line="220"/>
              <w:jc w:val="left"/>
            </w:pPr>
            <w:r>
              <w:rPr>
                <w:b/>
                <w:sz w:val="18"/>
              </w:rPr>
              <w:t xml:space="preserve">Source</w:t>
            </w:r>
          </w:p>
        </w:tc>
      </w:tr>
      <w:tr>
        <w:trPr>
          <w:cantSplit/>
        </w:trPr>
        <w:tc>
          <w:tcPr>
            <w:tcW w:w="8504" w:type="dxa"/>
            <w:gridSpan w:val="3"/>
          </w:tcPr>
          <w:p>
            <w:pPr>
              <w:pStyle w:val="Compact"/>
              <w:keepNext/>
              <w:spacing w:before="0" w:after="0" w:lineRule="exact" w:line="220"/>
              <w:jc w:val="left"/>
            </w:pPr>
            <w:r>
              <w:rPr>
                <w:iCs/>
                <w:i/>
                <w:sz w:val="18"/>
              </w:rPr>
              <w:t xml:space="preserve">Panel A: Platform measures</w:t>
            </w:r>
          </w:p>
        </w:tc>
      </w:tr>
      <w:tr>
        <w:trPr>
          <w:cantSplit/>
        </w:trPr>
        <w:tc>
          <w:tcPr>
            <w:tcW w:w="2242" w:type="dxa"/>
          </w:tcPr>
          <w:p>
            <w:pPr>
              <w:pStyle w:val="Compact"/>
              <w:keepNext/>
              <w:spacing w:before="0" w:after="0" w:lineRule="exact" w:line="220"/>
              <w:jc w:val="left"/>
            </w:pPr>
            <w:r>
              <w:rPr>
                <w:sz w:val="18"/>
              </w:rPr>
              <w:t xml:space="preserve">V</w:t>
            </w:r>
            <w:r>
              <w:rPr>
                <w:sz w:val="18"/>
                <w:vertAlign w:val="subscript"/>
              </w:rPr>
              <w:t xml:space="preserve">it</w:t>
            </w:r>
          </w:p>
        </w:tc>
        <w:tc>
          <w:tcPr>
            <w:tcW w:w="3131" w:type="dxa"/>
          </w:tcPr>
          <w:p>
            <w:pPr>
              <w:pStyle w:val="Compact"/>
              <w:keepNext/>
              <w:spacing w:before="0" w:after="0" w:lineRule="exact" w:line="220"/>
              <w:jc w:val="left"/>
            </w:pPr>
            <w:r>
              <w:rPr>
                <w:sz w:val="18"/>
              </w:rPr>
              <w:t xml:space="preserve">Transaction value: everything bought through platform i in year t, in the company’s own currency. Companies also call it gross merchandise value (GMV), gross transaction value (GTV) or total payment volume (TPV).</w:t>
            </w:r>
          </w:p>
        </w:tc>
        <w:tc>
          <w:tcPr>
            <w:tcW w:w="3131" w:type="dxa"/>
          </w:tcPr>
          <w:p>
            <w:pPr>
              <w:pStyle w:val="Compact"/>
              <w:keepNext/>
              <w:spacing w:before="0" w:after="0" w:lineRule="exact" w:line="220"/>
              <w:jc w:val="left"/>
            </w:pPr>
            <w:r>
              <w:rPr>
                <w:sz w:val="18"/>
              </w:rPr>
              <w:t xml:space="preserve">Company annual reports, annual filings (Form 20-F) and investor releases; Appendix B lists each series</w:t>
            </w:r>
          </w:p>
        </w:tc>
      </w:tr>
      <w:tr>
        <w:trPr>
          <w:cantSplit/>
        </w:trPr>
        <w:tc>
          <w:tcPr>
            <w:tcW w:w="2242" w:type="dxa"/>
          </w:tcPr>
          <w:p>
            <w:pPr>
              <w:pStyle w:val="Compact"/>
              <w:spacing w:before="0" w:after="0" w:lineRule="exact" w:line="220"/>
              <w:jc w:val="left"/>
            </w:pPr>
            <w:r>
              <w:rPr>
                <w:sz w:val="18"/>
              </w:rPr>
              <w:t xml:space="preserve">R</w:t>
            </w:r>
            <w:r>
              <w:rPr>
                <w:sz w:val="18"/>
                <w:vertAlign w:val="subscript"/>
              </w:rPr>
              <w:t xml:space="preserve">it</w:t>
            </w:r>
          </w:p>
        </w:tc>
        <w:tc>
          <w:tcPr>
            <w:tcW w:w="3131" w:type="dxa"/>
          </w:tcPr>
          <w:p>
            <w:pPr>
              <w:pStyle w:val="Compact"/>
              <w:spacing w:before="0" w:after="0" w:lineRule="exact" w:line="220"/>
              <w:jc w:val="left"/>
            </w:pPr>
            <w:r>
              <w:rPr>
                <w:sz w:val="18"/>
              </w:rPr>
              <w:t xml:space="preserve">Revenue: what the platform recognizes as its own income in its accounts, for the same business and period as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Same as V</w:t>
            </w:r>
            <w:r>
              <w:rPr>
                <w:sz w:val="18"/>
                <w:vertAlign w:val="subscript"/>
              </w:rPr>
              <w:t xml:space="preserve">it</w:t>
            </w:r>
          </w:p>
        </w:tc>
      </w:tr>
      <w:tr>
        <w:trPr>
          <w:cantSplit/>
        </w:trPr>
        <w:tc>
          <w:tcPr>
            <w:tcW w:w="2242" w:type="dxa"/>
          </w:tcPr>
          <w:p>
            <w:pPr>
              <w:pStyle w:val="Compact"/>
              <w:spacing w:before="0" w:after="0" w:lineRule="exact" w:line="220"/>
              <w:jc w:val="left"/>
            </w:pPr>
            <w:r>
              <w:rPr>
                <w:sz w:val="18"/>
              </w:rPr>
              <w:t xml:space="preserve">m</w:t>
            </w:r>
            <w:r>
              <w:rPr>
                <w:sz w:val="18"/>
                <w:vertAlign w:val="subscript"/>
              </w:rPr>
              <w:t xml:space="preserve">it</w:t>
            </w:r>
          </w:p>
        </w:tc>
        <w:tc>
          <w:tcPr>
            <w:tcW w:w="3131" w:type="dxa"/>
          </w:tcPr>
          <w:p>
            <w:pPr>
              <w:pStyle w:val="Compact"/>
              <w:spacing w:before="0" w:after="0" w:lineRule="exact" w:line="220"/>
              <w:jc w:val="left"/>
            </w:pPr>
            <w:r>
              <w:rPr>
                <w:sz w:val="18"/>
              </w:rPr>
              <w:t xml:space="preserve">Take rate: R</w:t>
            </w:r>
            <w:r>
              <w:rPr>
                <w:sz w:val="18"/>
                <w:vertAlign w:val="subscript"/>
              </w:rPr>
              <w:t xml:space="preserve">it</w:t>
            </w:r>
            <w:r>
              <w:rPr>
                <w:sz w:val="18"/>
              </w:rPr>
              <w:t xml:space="preserve"> </w:t>
            </w:r>
            <w:r>
              <w:rPr>
                <w:sz w:val="18"/>
              </w:rPr>
              <w:t xml:space="preserve">divided by V</w:t>
            </w:r>
            <w:r>
              <w:rPr>
                <w:sz w:val="18"/>
                <w:vertAlign w:val="subscript"/>
              </w:rPr>
              <w:t xml:space="preserve">it</w:t>
            </w:r>
            <w:r>
              <w:rPr>
                <w:sz w:val="18"/>
              </w:rPr>
              <w:t xml:space="preserve">, the share of each sale that the platform keeps.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w:t>
            </w:r>
            <w:r>
              <w:rPr>
                <w:sz w:val="18"/>
                <w:vertAlign w:val="subscript"/>
              </w:rPr>
              <w:t xml:space="preserve">it</w:t>
            </w:r>
          </w:p>
        </w:tc>
        <w:tc>
          <w:tcPr>
            <w:tcW w:w="3131" w:type="dxa"/>
          </w:tcPr>
          <w:p>
            <w:pPr>
              <w:pStyle w:val="Compact"/>
              <w:spacing w:before="0" w:after="0" w:lineRule="exact" w:line="220"/>
              <w:jc w:val="left"/>
            </w:pPr>
            <w:r>
              <w:rPr>
                <w:sz w:val="18"/>
              </w:rPr>
              <w:t xml:space="preserve">Fee rate: the platform’s revenue before customer incentives, divided by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s</w:t>
            </w:r>
            <w:r>
              <w:rPr>
                <w:sz w:val="18"/>
                <w:vertAlign w:val="subscript"/>
              </w:rPr>
              <w:t xml:space="preserve">it</w:t>
            </w:r>
          </w:p>
        </w:tc>
        <w:tc>
          <w:tcPr>
            <w:tcW w:w="3131" w:type="dxa"/>
          </w:tcPr>
          <w:p>
            <w:pPr>
              <w:pStyle w:val="Compact"/>
              <w:spacing w:before="0" w:after="0" w:lineRule="exact" w:line="220"/>
              <w:jc w:val="left"/>
            </w:pPr>
            <w:r>
              <w:rPr>
                <w:sz w:val="18"/>
              </w:rPr>
              <w:t xml:space="preserve">Incentive rate: customer incentives divided by V</w:t>
            </w:r>
            <w:r>
              <w:rPr>
                <w:sz w:val="18"/>
                <w:vertAlign w:val="subscript"/>
              </w:rPr>
              <w:t xml:space="preserve">it</w:t>
            </w:r>
            <w:r>
              <w:rPr>
                <w:sz w:val="18"/>
              </w:rPr>
              <w:t xml:space="preserve">. Customer incentives are the discounts, vouchers and other promotions that a platform pays for, which accounting rules normally deduct from revenue.</w:t>
            </w:r>
          </w:p>
        </w:tc>
        <w:tc>
          <w:tcPr>
            <w:tcW w:w="3131" w:type="dxa"/>
          </w:tcPr>
          <w:p>
            <w:pPr>
              <w:pStyle w:val="Compact"/>
              <w:spacing w:before="0" w:after="0" w:lineRule="exact" w:line="220"/>
              <w:jc w:val="left"/>
            </w:pPr>
            <w:r>
              <w:rPr>
                <w:sz w:val="18"/>
              </w:rPr>
              <w:t xml:space="preserve">Company reports; author’s calculation. Blibli’s incentives are a proxy (Appendix B)</w:t>
            </w:r>
          </w:p>
        </w:tc>
      </w:tr>
      <w:tr>
        <w:trPr>
          <w:cantSplit/>
        </w:trPr>
        <w:tc>
          <w:tcPr>
            <w:tcW w:w="2242" w:type="dxa"/>
          </w:tcPr>
          <w:p>
            <w:pPr>
              <w:pStyle w:val="Compact"/>
              <w:spacing w:before="0" w:after="0" w:lineRule="exact" w:line="220"/>
              <w:jc w:val="left"/>
            </w:pPr>
            <w:r>
              <w:rPr>
                <w:sz w:val="18"/>
              </w:rPr>
              <w:t xml:space="preserve">W</w:t>
            </w:r>
            <w:r>
              <w:rPr>
                <w:sz w:val="18"/>
                <w:vertAlign w:val="subscript"/>
              </w:rPr>
              <w:t xml:space="preserve">it</w:t>
            </w:r>
          </w:p>
        </w:tc>
        <w:tc>
          <w:tcPr>
            <w:tcW w:w="3131" w:type="dxa"/>
          </w:tcPr>
          <w:p>
            <w:pPr>
              <w:pStyle w:val="Compact"/>
              <w:spacing w:before="0" w:after="0" w:lineRule="exact" w:line="220"/>
              <w:jc w:val="left"/>
            </w:pPr>
            <w:r>
              <w:rPr>
                <w:sz w:val="18"/>
              </w:rPr>
              <w:t xml:space="preserve">Invisible wedge: V</w:t>
            </w:r>
            <w:r>
              <w:rPr>
                <w:sz w:val="18"/>
                <w:vertAlign w:val="subscript"/>
              </w:rPr>
              <w:t xml:space="preserve">it</w:t>
            </w:r>
            <w:r>
              <w:rPr>
                <w:sz w:val="18"/>
              </w:rPr>
              <w:t xml:space="preserve"> </w:t>
            </w:r>
            <w:r>
              <w:rPr>
                <w:sz w:val="18"/>
              </w:rPr>
              <w:t xml:space="preserve">minus R</w:t>
            </w:r>
            <w:r>
              <w:rPr>
                <w:sz w:val="18"/>
                <w:vertAlign w:val="subscript"/>
              </w:rPr>
              <w:t xml:space="preserve">it</w:t>
            </w:r>
            <w:r>
              <w:rPr>
                <w:sz w:val="18"/>
              </w:rPr>
              <w:t xml:space="preserve">, the part of transaction value that lies outside revenue, in currency.</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E</w:t>
            </w:r>
            <w:r>
              <w:rPr>
                <w:sz w:val="18"/>
                <w:vertAlign w:val="subscript"/>
              </w:rPr>
              <w:t xml:space="preserve">it</w:t>
            </w:r>
          </w:p>
        </w:tc>
        <w:tc>
          <w:tcPr>
            <w:tcW w:w="3131" w:type="dxa"/>
          </w:tcPr>
          <w:p>
            <w:pPr>
              <w:pStyle w:val="Compact"/>
              <w:spacing w:before="0" w:after="0" w:lineRule="exact" w:line="220"/>
              <w:jc w:val="left"/>
            </w:pPr>
            <w:r>
              <w:rPr>
                <w:sz w:val="18"/>
              </w:rPr>
              <w:t xml:space="preserve">Ecosystem ratio: W</w:t>
            </w:r>
            <w:r>
              <w:rPr>
                <w:sz w:val="18"/>
                <w:vertAlign w:val="subscript"/>
              </w:rPr>
              <w:t xml:space="preserve">it</w:t>
            </w:r>
            <w:r>
              <w:rPr>
                <w:sz w:val="18"/>
              </w:rPr>
              <w:t xml:space="preserve"> </w:t>
            </w:r>
            <w:r>
              <w:rPr>
                <w:sz w:val="18"/>
              </w:rPr>
              <w:t xml:space="preserve">divided by R</w:t>
            </w:r>
            <w:r>
              <w:rPr>
                <w:sz w:val="18"/>
                <w:vertAlign w:val="subscript"/>
              </w:rPr>
              <w:t xml:space="preserve">it</w:t>
            </w:r>
            <w:r>
              <w:rPr>
                <w:sz w:val="18"/>
              </w:rPr>
              <w:t xml:space="preserve">, equal to one divided by m</w:t>
            </w:r>
            <w:r>
              <w:rPr>
                <w:sz w:val="18"/>
                <w:vertAlign w:val="subscript"/>
              </w:rPr>
              <w:t xml:space="preserve">it</w:t>
            </w:r>
            <w:r>
              <w:rPr>
                <w:sz w:val="18"/>
              </w:rPr>
              <w:t xml:space="preserve">, minus one. The author’s own measure.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g(X</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Growth of X from one year to the next as a share of the first year: (X</w:t>
            </w:r>
            <w:r>
              <w:rPr>
                <w:sz w:val="18"/>
                <w:vertAlign w:val="subscript"/>
              </w:rPr>
              <w:t xml:space="preserve">t</w:t>
            </w:r>
            <w:r>
              <w:rPr>
                <w:sz w:val="18"/>
              </w:rPr>
              <w:t xml:space="preserve"> </w:t>
            </w:r>
            <w:r>
              <w:rPr>
                <w:sz w:val="18"/>
              </w:rPr>
              <w:t xml:space="preserve">− X</w:t>
            </w:r>
            <w:r>
              <w:rPr>
                <w:sz w:val="18"/>
                <w:vertAlign w:val="subscript"/>
              </w:rPr>
              <w:t xml:space="preserve">t−1</w:t>
            </w:r>
            <w:r>
              <w:rPr>
                <w:sz w:val="18"/>
              </w:rPr>
              <w:t xml:space="preserve">) divided by X</w:t>
            </w:r>
            <w:r>
              <w:rPr>
                <w:sz w:val="18"/>
                <w:vertAlign w:val="subscript"/>
              </w:rPr>
              <w:t xml:space="preserve">t−1</w:t>
            </w:r>
            <w:r>
              <w:rPr>
                <w:sz w:val="18"/>
              </w:rPr>
              <w:t xml:space="preserve">. A value of 0.09 means 9 percent.</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D</w:t>
            </w:r>
            <w:r>
              <w:rPr>
                <w:sz w:val="18"/>
                <w:vertAlign w:val="subscript"/>
              </w:rPr>
              <w:t xml:space="preserve">it</w:t>
            </w:r>
          </w:p>
        </w:tc>
        <w:tc>
          <w:tcPr>
            <w:tcW w:w="3131" w:type="dxa"/>
          </w:tcPr>
          <w:p>
            <w:pPr>
              <w:pStyle w:val="Compact"/>
              <w:spacing w:before="0" w:after="0" w:lineRule="exact" w:line="220"/>
              <w:jc w:val="left"/>
            </w:pPr>
            <w:r>
              <w:rPr>
                <w:sz w:val="18"/>
              </w:rPr>
              <w:t xml:space="preserve">Growth divergence: g(R</w:t>
            </w:r>
            <w:r>
              <w:rPr>
                <w:sz w:val="18"/>
                <w:vertAlign w:val="subscript"/>
              </w:rPr>
              <w:t xml:space="preserve">it</w:t>
            </w:r>
            <w:r>
              <w:rPr>
                <w:sz w:val="18"/>
              </w:rPr>
              <w:t xml:space="preserve">) minus g(V</w:t>
            </w:r>
            <w:r>
              <w:rPr>
                <w:sz w:val="18"/>
                <w:vertAlign w:val="subscript"/>
              </w:rPr>
              <w:t xml:space="preserve">it</w:t>
            </w:r>
            <w:r>
              <w:rPr>
                <w:sz w:val="18"/>
              </w:rPr>
              <w:t xml:space="preserve">). A value of 0.62 means 62 percentage points.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Δln X</w:t>
            </w:r>
            <w:r>
              <w:rPr>
                <w:sz w:val="18"/>
                <w:vertAlign w:val="subscript"/>
              </w:rPr>
              <w:t xml:space="preserve">t</w:t>
            </w:r>
          </w:p>
        </w:tc>
        <w:tc>
          <w:tcPr>
            <w:tcW w:w="3131" w:type="dxa"/>
          </w:tcPr>
          <w:p>
            <w:pPr>
              <w:pStyle w:val="Compact"/>
              <w:spacing w:before="0" w:after="0" w:lineRule="exact" w:line="220"/>
              <w:jc w:val="left"/>
            </w:pPr>
            <w:r>
              <w:rPr>
                <w:sz w:val="18"/>
              </w:rPr>
              <w:t xml:space="preserve">Change in the natural logarithm of X from one year to the next. Used only where a registered test defined it so (equation (9)); everywhere else the change is g(X).</w:t>
            </w:r>
          </w:p>
        </w:tc>
        <w:tc>
          <w:tcPr>
            <w:tcW w:w="3131" w:type="dxa"/>
          </w:tcPr>
          <w:p>
            <w:pPr>
              <w:pStyle w:val="Compact"/>
              <w:spacing w:before="0" w:after="0" w:lineRule="exact" w:line="220"/>
              <w:jc w:val="left"/>
            </w:pPr>
            <w:r>
              <w:rPr>
                <w:sz w:val="18"/>
              </w:rPr>
              <w:t xml:space="preserve">Author’s calculation</w:t>
            </w:r>
          </w:p>
        </w:tc>
      </w:tr>
      <w:tr>
        <w:trPr>
          <w:cantSplit/>
        </w:trPr>
        <w:tc>
          <w:tcPr>
            <w:tcW w:w="8504" w:type="dxa"/>
            <w:gridSpan w:val="3"/>
          </w:tcPr>
          <w:p>
            <w:pPr>
              <w:pStyle w:val="Compact"/>
              <w:keepNext/>
              <w:spacing w:before="0" w:after="0" w:lineRule="exact" w:line="220"/>
              <w:jc w:val="left"/>
            </w:pPr>
            <w:r>
              <w:rPr>
                <w:iCs/>
                <w:i/>
                <w:sz w:val="18"/>
              </w:rPr>
              <w:t xml:space="preserve">Panel B: National and survey measures</w:t>
            </w:r>
          </w:p>
        </w:tc>
      </w:tr>
      <w:tr>
        <w:trPr>
          <w:cantSplit/>
        </w:trPr>
        <w:tc>
          <w:tcPr>
            <w:tcW w:w="2242" w:type="dxa"/>
          </w:tcPr>
          <w:p>
            <w:pPr>
              <w:pStyle w:val="Compact"/>
              <w:spacing w:before="0" w:after="0" w:lineRule="exact" w:line="220"/>
              <w:jc w:val="left"/>
            </w:pPr>
            <w:r>
              <w:rPr>
                <w:sz w:val="18"/>
              </w:rPr>
              <w:t xml:space="preserve">N</w:t>
            </w:r>
            <w:r>
              <w:rPr>
                <w:sz w:val="18"/>
                <w:vertAlign w:val="subscript"/>
              </w:rPr>
              <w:t xml:space="preserve">t</w:t>
            </w:r>
          </w:p>
        </w:tc>
        <w:tc>
          <w:tcPr>
            <w:tcW w:w="3131" w:type="dxa"/>
          </w:tcPr>
          <w:p>
            <w:pPr>
              <w:pStyle w:val="Compact"/>
              <w:spacing w:before="0" w:after="0" w:lineRule="exact" w:line="220"/>
              <w:jc w:val="left"/>
            </w:pPr>
            <w:r>
              <w:rPr>
                <w:sz w:val="18"/>
              </w:rPr>
              <w:t xml:space="preserve">Count of online sellers: BPS’s estimate of the number of businesses selling online in year t.</w:t>
            </w:r>
          </w:p>
        </w:tc>
        <w:tc>
          <w:tcPr>
            <w:tcW w:w="3131" w:type="dxa"/>
          </w:tcPr>
          <w:p>
            <w:pPr>
              <w:pStyle w:val="Compact"/>
              <w:spacing w:before="0" w:after="0" w:lineRule="exact" w:line="220"/>
              <w:jc w:val="left"/>
            </w:pPr>
            <w:r>
              <w:rPr>
                <w:sz w:val="18"/>
              </w:rPr>
              <w:t xml:space="preserve">BPS-Statistics Indonesia (2025a, 2025b); BPS e-commerce survey files for 2020, 2022 and 2023 (licensed)</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p>
        </w:tc>
        <w:tc>
          <w:tcPr>
            <w:tcW w:w="3131" w:type="dxa"/>
          </w:tcPr>
          <w:p>
            <w:pPr>
              <w:pStyle w:val="Compact"/>
              <w:spacing w:before="0" w:after="0" w:lineRule="exact" w:line="220"/>
              <w:jc w:val="left"/>
            </w:pPr>
            <w:r>
              <w:rPr>
                <w:sz w:val="18"/>
              </w:rPr>
              <w:t xml:space="preserve">Total online sales value: BPS’s published value of online sales in year t.</w:t>
            </w:r>
          </w:p>
        </w:tc>
        <w:tc>
          <w:tcPr>
            <w:tcW w:w="3131" w:type="dxa"/>
          </w:tcPr>
          <w:p>
            <w:pPr>
              <w:pStyle w:val="Compact"/>
              <w:spacing w:before="0" w:after="0" w:lineRule="exact" w:line="220"/>
              <w:jc w:val="left"/>
            </w:pPr>
            <w:r>
              <w:rPr>
                <w:sz w:val="18"/>
              </w:rPr>
              <w:t xml:space="preserve">BPS-Statistics Indonesia (2025a, 2025b)</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r>
              <w:rPr>
                <w:sz w:val="18"/>
              </w:rPr>
              <w:t xml:space="preserve"> </w:t>
            </w:r>
            <w:r>
              <w:rPr>
                <w:sz w:val="18"/>
              </w:rPr>
              <w:t xml:space="preserve">/ N</w:t>
            </w:r>
            <w:r>
              <w:rPr>
                <w:sz w:val="18"/>
                <w:vertAlign w:val="subscript"/>
              </w:rPr>
              <w:t xml:space="preserve">t</w:t>
            </w:r>
          </w:p>
        </w:tc>
        <w:tc>
          <w:tcPr>
            <w:tcW w:w="3131" w:type="dxa"/>
          </w:tcPr>
          <w:p>
            <w:pPr>
              <w:pStyle w:val="Compact"/>
              <w:spacing w:before="0" w:after="0" w:lineRule="exact" w:line="220"/>
              <w:jc w:val="left"/>
            </w:pPr>
            <w:r>
              <w:rPr>
                <w:sz w:val="18"/>
              </w:rPr>
              <w:t xml:space="preserve">Sales per business: Y</w:t>
            </w:r>
            <w:r>
              <w:rPr>
                <w:sz w:val="18"/>
                <w:vertAlign w:val="subscript"/>
              </w:rPr>
              <w:t xml:space="preserve">t</w:t>
            </w:r>
            <w:r>
              <w:rPr>
                <w:sz w:val="18"/>
              </w:rPr>
              <w:t xml:space="preserve"> </w:t>
            </w:r>
            <w:r>
              <w:rPr>
                <w:sz w:val="18"/>
              </w:rPr>
              <w:t xml:space="preserve">divided by N</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First-time entry</w:t>
            </w:r>
          </w:p>
        </w:tc>
        <w:tc>
          <w:tcPr>
            <w:tcW w:w="3131" w:type="dxa"/>
          </w:tcPr>
          <w:p>
            <w:pPr>
              <w:pStyle w:val="Compact"/>
              <w:spacing w:before="0" w:after="0" w:lineRule="exact" w:line="220"/>
              <w:jc w:val="left"/>
            </w:pPr>
            <w:r>
              <w:rPr>
                <w:sz w:val="18"/>
              </w:rPr>
              <w:t xml:space="preserve">A seller that reports beginning to sell online in the year being measured. The entry test uses the share of such sellers among the sellers of 2023.</w:t>
            </w:r>
          </w:p>
        </w:tc>
        <w:tc>
          <w:tcPr>
            <w:tcW w:w="3131" w:type="dxa"/>
          </w:tcPr>
          <w:p>
            <w:pPr>
              <w:pStyle w:val="Compact"/>
              <w:spacing w:before="0" w:after="0" w:lineRule="exact" w:line="220"/>
              <w:jc w:val="left"/>
            </w:pPr>
            <w:r>
              <w:rPr>
                <w:sz w:val="18"/>
              </w:rPr>
              <w:t xml:space="preserve">BPS e-commerce survey file for 2023 (licensed)</w:t>
            </w:r>
          </w:p>
        </w:tc>
      </w:tr>
      <w:tr>
        <w:trPr>
          <w:cantSplit/>
        </w:trPr>
        <w:tc>
          <w:tcPr>
            <w:tcW w:w="8504" w:type="dxa"/>
            <w:gridSpan w:val="3"/>
          </w:tcPr>
          <w:p>
            <w:pPr>
              <w:pStyle w:val="Compact"/>
              <w:keepNext/>
              <w:spacing w:before="0" w:after="0" w:lineRule="exact" w:line="220"/>
              <w:jc w:val="left"/>
            </w:pPr>
            <w:r>
              <w:rPr>
                <w:iCs/>
                <w:i/>
                <w:sz w:val="18"/>
              </w:rPr>
              <w:t xml:space="preserve">Panel C: Market variables</w:t>
            </w:r>
          </w:p>
        </w:tc>
      </w:tr>
      <w:tr>
        <w:trPr>
          <w:cantSplit/>
        </w:trPr>
        <w:tc>
          <w:tcPr>
            <w:tcW w:w="2242" w:type="dxa"/>
          </w:tcPr>
          <w:p>
            <w:pPr>
              <w:pStyle w:val="Compact"/>
              <w:spacing w:before="0" w:after="0" w:lineRule="exact" w:line="220"/>
              <w:jc w:val="left"/>
            </w:pPr>
            <w:r>
              <w:rPr>
                <w:sz w:val="18"/>
              </w:rPr>
              <w:t xml:space="preserve">MV</w:t>
            </w:r>
            <w:r>
              <w:rPr>
                <w:sz w:val="18"/>
                <w:vertAlign w:val="subscript"/>
              </w:rPr>
              <w:t xml:space="preserve">it</w:t>
            </w:r>
          </w:p>
        </w:tc>
        <w:tc>
          <w:tcPr>
            <w:tcW w:w="3131" w:type="dxa"/>
          </w:tcPr>
          <w:p>
            <w:pPr>
              <w:pStyle w:val="Compact"/>
              <w:spacing w:before="0" w:after="0" w:lineRule="exact" w:line="220"/>
              <w:jc w:val="left"/>
            </w:pPr>
            <w:r>
              <w:rPr>
                <w:sz w:val="18"/>
              </w:rPr>
              <w:t xml:space="preserve">Market value: the year-end market value of listed platform i.</w:t>
            </w:r>
          </w:p>
        </w:tc>
        <w:tc>
          <w:tcPr>
            <w:tcW w:w="3131" w:type="dxa"/>
          </w:tcPr>
          <w:p>
            <w:pPr>
              <w:pStyle w:val="Compact"/>
              <w:spacing w:before="0" w:after="0" w:lineRule="exact" w:line="220"/>
              <w:jc w:val="left"/>
            </w:pPr>
            <w:r>
              <w:rPr>
                <w:sz w:val="18"/>
              </w:rPr>
              <w:t xml:space="preserve">London Stock Exchange Group (LSEG) data (licensed)</w:t>
            </w:r>
          </w:p>
        </w:tc>
      </w:tr>
      <w:tr>
        <w:trPr>
          <w:cantSplit/>
        </w:trPr>
        <w:tc>
          <w:tcPr>
            <w:tcW w:w="2242"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3131" w:type="dxa"/>
          </w:tcPr>
          <w:p>
            <w:pPr>
              <w:pStyle w:val="Compact"/>
              <w:spacing w:before="0" w:after="0" w:lineRule="exact" w:line="220"/>
              <w:jc w:val="left"/>
            </w:pPr>
            <w:r>
              <w:rPr>
                <w:sz w:val="18"/>
              </w:rPr>
              <w:t xml:space="preserve">Coefficients in equation (8): how the change in market value moves with the change in transaction value and with the change in the take rate.</w:t>
            </w:r>
          </w:p>
        </w:tc>
        <w:tc>
          <w:tcPr>
            <w:tcW w:w="3131" w:type="dxa"/>
          </w:tcPr>
          <w:p>
            <w:pPr>
              <w:pStyle w:val="Compact"/>
              <w:spacing w:before="0" w:after="0" w:lineRule="exact" w:line="220"/>
              <w:jc w:val="left"/>
            </w:pPr>
            <w:r>
              <w:rPr>
                <w:sz w:val="18"/>
              </w:rPr>
              <w:t xml:space="preserve">Author’s estimate</w:t>
            </w:r>
          </w:p>
        </w:tc>
      </w:tr>
      <w:tr>
        <w:trPr>
          <w:cantSplit/>
        </w:trPr>
        <w:tc>
          <w:tcPr>
            <w:tcW w:w="8504" w:type="dxa"/>
            <w:gridSpan w:val="3"/>
          </w:tcPr>
          <w:p>
            <w:pPr>
              <w:pStyle w:val="Compact"/>
              <w:keepNext/>
              <w:spacing w:before="0" w:after="0" w:lineRule="exact" w:line="220"/>
              <w:jc w:val="left"/>
            </w:pPr>
            <w:r>
              <w:rPr>
                <w:iCs/>
                <w:i/>
                <w:sz w:val="18"/>
              </w:rPr>
              <w:t xml:space="preserve">Panel D: Labels</w:t>
            </w:r>
          </w:p>
        </w:tc>
      </w:tr>
      <w:tr>
        <w:trPr>
          <w:cantSplit/>
        </w:trPr>
        <w:tc>
          <w:tcPr>
            <w:tcW w:w="2242" w:type="dxa"/>
          </w:tcPr>
          <w:p>
            <w:pPr>
              <w:pStyle w:val="Compact"/>
              <w:spacing w:before="0" w:after="0" w:lineRule="exact" w:line="220"/>
              <w:jc w:val="left"/>
            </w:pPr>
            <w:r>
              <w:rPr>
                <w:sz w:val="18"/>
              </w:rPr>
              <w:t xml:space="preserve">H1, H2</w:t>
            </w:r>
          </w:p>
        </w:tc>
        <w:tc>
          <w:tcPr>
            <w:tcW w:w="3131" w:type="dxa"/>
          </w:tcPr>
          <w:p>
            <w:pPr>
              <w:pStyle w:val="Compact"/>
              <w:spacing w:before="0" w:after="0" w:lineRule="exact" w:line="220"/>
              <w:jc w:val="left"/>
            </w:pPr>
            <w:r>
              <w:rPr>
                <w:sz w:val="18"/>
              </w:rPr>
              <w:t xml:space="preserve">The two hypotheses of Section 3.4.</w:t>
            </w:r>
          </w:p>
        </w:tc>
        <w:tc>
          <w:tcPr>
            <w:tcW w:w="3131" w:type="dxa"/>
          </w:tcPr>
          <w:p>
            <w:pPr>
              <w:pStyle w:val="Compact"/>
              <w:spacing w:before="0" w:after="0" w:lineRule="exact" w:line="220"/>
              <w:jc w:val="left"/>
            </w:pPr>
            <w:r>
              <w:rPr>
                <w:sz w:val="18"/>
              </w:rPr>
              <w:t xml:space="preserve">Author’s definition</w:t>
            </w:r>
          </w:p>
        </w:tc>
      </w:tr>
      <w:tr>
        <w:trPr>
          <w:cantSplit/>
        </w:trPr>
        <w:tc>
          <w:tcPr>
            <w:tcW w:w="8504" w:type="dxa"/>
            <w:gridSpan w:val="3"/>
          </w:tcPr>
          <w:p>
            <w:pPr>
              <w:pStyle w:val="Compact"/>
              <w:keepNext/>
              <w:spacing w:before="0" w:after="0" w:lineRule="exact" w:line="220"/>
              <w:jc w:val="left"/>
            </w:pPr>
            <w:r>
              <w:rPr>
                <w:iCs/>
                <w:i/>
                <w:sz w:val="18"/>
              </w:rPr>
              <w:t xml:space="preserve">Panel E: Variables of the regressions (Chapter 5)</w:t>
            </w:r>
          </w:p>
        </w:tc>
      </w:tr>
      <w:tr>
        <w:trPr>
          <w:cantSplit/>
        </w:trPr>
        <w:tc>
          <w:tcPr>
            <w:tcW w:w="2242" w:type="dxa"/>
          </w:tcPr>
          <w:p>
            <w:pPr>
              <w:pStyle w:val="Compact"/>
              <w:spacing w:before="0" w:after="0" w:lineRule="exact" w:line="220"/>
              <w:jc w:val="left"/>
            </w:pPr>
            <w:r>
              <w:rPr>
                <w:sz w:val="18"/>
              </w:rPr>
              <w:t xml:space="preserve">Wedge in US dollars, and its natural logarithm</w:t>
            </w:r>
          </w:p>
        </w:tc>
        <w:tc>
          <w:tcPr>
            <w:tcW w:w="3131" w:type="dxa"/>
          </w:tcPr>
          <w:p>
            <w:pPr>
              <w:pStyle w:val="Compact"/>
              <w:spacing w:before="0" w:after="0" w:lineRule="exact" w:line="220"/>
              <w:jc w:val="left"/>
            </w:pPr>
            <w:r>
              <w:rPr>
                <w:sz w:val="18"/>
              </w:rPr>
              <w:t xml:space="preserve">The invisible wedge W</w:t>
            </w:r>
            <w:r>
              <w:rPr>
                <w:sz w:val="18"/>
                <w:vertAlign w:val="subscript"/>
              </w:rPr>
              <w:t xml:space="preserve">it</w:t>
            </w:r>
            <w:r>
              <w:rPr>
                <w:sz w:val="18"/>
              </w:rPr>
              <w:t xml:space="preserve"> </w:t>
            </w:r>
            <w:r>
              <w:rPr>
                <w:sz w:val="18"/>
              </w:rPr>
              <w:t xml:space="preserve">converted to US dollars at the period-average official exchange rate of the reporting currency, in US$ million. The regressions use its natural logarithm.</w:t>
            </w:r>
          </w:p>
        </w:tc>
        <w:tc>
          <w:tcPr>
            <w:tcW w:w="3131" w:type="dxa"/>
          </w:tcPr>
          <w:p>
            <w:pPr>
              <w:pStyle w:val="Compact"/>
              <w:spacing w:before="0" w:after="0" w:lineRule="exact" w:line="220"/>
              <w:jc w:val="left"/>
            </w:pPr>
            <w:r>
              <w:rPr>
                <w:sz w:val="18"/>
              </w:rPr>
              <w:t xml:space="preserve">Company reports; World Bank (2026); author’s calculation</w:t>
            </w:r>
          </w:p>
        </w:tc>
      </w:tr>
      <w:tr>
        <w:trPr>
          <w:cantSplit/>
        </w:trPr>
        <w:tc>
          <w:tcPr>
            <w:tcW w:w="2242" w:type="dxa"/>
          </w:tcPr>
          <w:p>
            <w:pPr>
              <w:pStyle w:val="Compact"/>
              <w:spacing w:before="0" w:after="0" w:lineRule="exact" w:line="220"/>
              <w:jc w:val="left"/>
            </w:pPr>
            <w:r>
              <w:rPr>
                <w:sz w:val="18"/>
              </w:rPr>
              <w:t xml:space="preserve">Ecosystem ratio, capped</w:t>
            </w:r>
          </w:p>
        </w:tc>
        <w:tc>
          <w:tcPr>
            <w:tcW w:w="3131" w:type="dxa"/>
          </w:tcPr>
          <w:p>
            <w:pPr>
              <w:pStyle w:val="Compact"/>
              <w:spacing w:before="0" w:after="0" w:lineRule="exact" w:line="220"/>
              <w:jc w:val="left"/>
            </w:pPr>
            <w:r>
              <w:rPr>
                <w:sz w:val="18"/>
              </w:rPr>
              <w:t xml:space="preserve">E</w:t>
            </w:r>
            <w:r>
              <w:rPr>
                <w:sz w:val="18"/>
                <w:vertAlign w:val="subscript"/>
              </w:rPr>
              <w:t xml:space="preserve">it</w:t>
            </w:r>
            <w:r>
              <w:rPr>
                <w:sz w:val="18"/>
              </w:rPr>
              <w:t xml:space="preserve">, set to its 5th percentile below that value and to its 95th percentile above that value, across all platform-years.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g(R</w:t>
            </w:r>
            <w:r>
              <w:rPr>
                <w:sz w:val="18"/>
                <w:vertAlign w:val="subscript"/>
              </w:rPr>
              <w:t xml:space="preserve">it</w:t>
            </w:r>
            <w:r>
              <w:rPr>
                <w:sz w:val="18"/>
              </w:rPr>
              <w:t xml:space="preserve">), g(V</w:t>
            </w:r>
            <w:r>
              <w:rPr>
                <w:sz w:val="18"/>
                <w:vertAlign w:val="subscript"/>
              </w:rPr>
              <w:t xml:space="preserve">it</w:t>
            </w:r>
            <w:r>
              <w:rPr>
                <w:sz w:val="18"/>
              </w:rPr>
              <w:t xml:space="preserve">), capped</w:t>
            </w:r>
          </w:p>
        </w:tc>
        <w:tc>
          <w:tcPr>
            <w:tcW w:w="3131" w:type="dxa"/>
          </w:tcPr>
          <w:p>
            <w:pPr>
              <w:pStyle w:val="Compact"/>
              <w:spacing w:before="0" w:after="0" w:lineRule="exact" w:line="220"/>
              <w:jc w:val="left"/>
            </w:pPr>
            <w:r>
              <w:rPr>
                <w:sz w:val="18"/>
              </w:rPr>
              <w:t xml:space="preserve">Growth of revenue and of transaction value as defined in Panel A, for consecutive years of one platform only, set to the 5th and 95th percentiles across all platforms.</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IndonesiaRegion</w:t>
            </w:r>
          </w:p>
        </w:tc>
        <w:tc>
          <w:tcPr>
            <w:tcW w:w="3131" w:type="dxa"/>
          </w:tcPr>
          <w:p>
            <w:pPr>
              <w:pStyle w:val="Compact"/>
              <w:spacing w:before="0" w:after="0" w:lineRule="exact" w:line="220"/>
              <w:jc w:val="left"/>
            </w:pPr>
            <w:r>
              <w:rPr>
                <w:sz w:val="18"/>
              </w:rPr>
              <w:t xml:space="preserve">A dummy variable that equals one for Tokopedia, Blibli, Bukalapak and the on-demand businesses of Grab and GoTo, and zero for the 27 foreign platforms.</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ln(1+YearsListed)</w:t>
            </w:r>
          </w:p>
        </w:tc>
        <w:tc>
          <w:tcPr>
            <w:tcW w:w="3131" w:type="dxa"/>
          </w:tcPr>
          <w:p>
            <w:pPr>
              <w:pStyle w:val="Compact"/>
              <w:spacing w:before="0" w:after="0" w:lineRule="exact" w:line="220"/>
              <w:jc w:val="left"/>
            </w:pPr>
            <w:r>
              <w:rPr>
                <w:sz w:val="18"/>
              </w:rPr>
              <w:t xml:space="preserve">Natural logarithm of one plus the number of years since the platform listed on a stock exchange; zero before listing.</w:t>
            </w:r>
          </w:p>
        </w:tc>
        <w:tc>
          <w:tcPr>
            <w:tcW w:w="3131" w:type="dxa"/>
          </w:tcPr>
          <w:p>
            <w:pPr>
              <w:pStyle w:val="Compact"/>
              <w:spacing w:before="0" w:after="0" w:lineRule="exact" w:line="220"/>
              <w:jc w:val="left"/>
            </w:pPr>
            <w:r>
              <w:rPr>
                <w:sz w:val="18"/>
              </w:rPr>
              <w:t xml:space="preserve">Listing years from public record; author’s calculation</w:t>
            </w:r>
          </w:p>
        </w:tc>
      </w:tr>
      <w:tr>
        <w:trPr>
          <w:cantSplit/>
        </w:trPr>
        <w:tc>
          <w:tcPr>
            <w:tcW w:w="2242" w:type="dxa"/>
          </w:tcPr>
          <w:p>
            <w:pPr>
              <w:pStyle w:val="Compact"/>
              <w:spacing w:before="0" w:after="0" w:lineRule="exact" w:line="220"/>
              <w:jc w:val="left"/>
            </w:pPr>
            <w:r>
              <w:rPr>
                <w:sz w:val="18"/>
              </w:rPr>
              <w:t xml:space="preserve">ln(Assets)</w:t>
            </w:r>
          </w:p>
        </w:tc>
        <w:tc>
          <w:tcPr>
            <w:tcW w:w="3131" w:type="dxa"/>
          </w:tcPr>
          <w:p>
            <w:pPr>
              <w:pStyle w:val="Compact"/>
              <w:spacing w:before="0" w:after="0" w:lineRule="exact" w:line="220"/>
              <w:jc w:val="left"/>
            </w:pPr>
            <w:r>
              <w:rPr>
                <w:sz w:val="18"/>
              </w:rPr>
              <w:t xml:space="preserve">Natural logarithm of the company’s total assets in US dollars, converted at the period-average official exchange rate of the reporting currency.</w:t>
            </w:r>
          </w:p>
        </w:tc>
        <w:tc>
          <w:tcPr>
            <w:tcW w:w="3131" w:type="dxa"/>
          </w:tcPr>
          <w:p>
            <w:pPr>
              <w:pStyle w:val="Compact"/>
              <w:spacing w:before="0" w:after="0" w:lineRule="exact" w:line="220"/>
              <w:jc w:val="left"/>
            </w:pPr>
            <w:r>
              <w:rPr>
                <w:sz w:val="18"/>
              </w:rPr>
              <w:t xml:space="preserve">SEC filings (U.S. Securities and Exchange Commission 2026) for 26 platforms; published financial statements for Tokopedia and GoTo, Blibli, Bukalapak, Rakuten and Zalando</w:t>
            </w:r>
          </w:p>
        </w:tc>
      </w:tr>
      <w:tr>
        <w:trPr>
          <w:cantSplit/>
        </w:trPr>
        <w:tc>
          <w:tcPr>
            <w:tcW w:w="2242" w:type="dxa"/>
          </w:tcPr>
          <w:p>
            <w:pPr>
              <w:pStyle w:val="Compact"/>
              <w:spacing w:before="0" w:after="0" w:lineRule="exact" w:line="220"/>
              <w:jc w:val="left"/>
            </w:pPr>
            <w:r>
              <w:rPr>
                <w:sz w:val="18"/>
              </w:rPr>
              <w:t xml:space="preserve">OnDemand, Travel, Freelance, Resale</w:t>
            </w:r>
          </w:p>
        </w:tc>
        <w:tc>
          <w:tcPr>
            <w:tcW w:w="3131" w:type="dxa"/>
          </w:tcPr>
          <w:p>
            <w:pPr>
              <w:pStyle w:val="Compact"/>
              <w:spacing w:before="0" w:after="0" w:lineRule="exact" w:line="220"/>
              <w:jc w:val="left"/>
            </w:pPr>
            <w:r>
              <w:rPr>
                <w:sz w:val="18"/>
              </w:rPr>
              <w:t xml:space="preserve">Dummy variables that equal one if the platform is of that type and zero otherwise. The base category is marketplace.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EmergingMarket</w:t>
            </w:r>
          </w:p>
        </w:tc>
        <w:tc>
          <w:tcPr>
            <w:tcW w:w="3131" w:type="dxa"/>
          </w:tcPr>
          <w:p>
            <w:pPr>
              <w:pStyle w:val="Compact"/>
              <w:spacing w:before="0" w:after="0" w:lineRule="exact" w:line="220"/>
              <w:jc w:val="left"/>
            </w:pPr>
            <w:r>
              <w:rPr>
                <w:sz w:val="18"/>
              </w:rPr>
              <w:t xml:space="preserve">A dummy variable that equals one if the platform’s main market is Argentina, Brazil, China, India, Indonesia, Kazakhstan, Nigeria, Russia or Turkey, and zero otherwise.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GDPGrowth</w:t>
            </w:r>
          </w:p>
        </w:tc>
        <w:tc>
          <w:tcPr>
            <w:tcW w:w="3131" w:type="dxa"/>
          </w:tcPr>
          <w:p>
            <w:pPr>
              <w:pStyle w:val="Compact"/>
              <w:spacing w:before="0" w:after="0" w:lineRule="exact" w:line="220"/>
              <w:jc w:val="left"/>
            </w:pPr>
            <w:r>
              <w:rPr>
                <w:sz w:val="18"/>
              </w:rPr>
              <w:t xml:space="preserve">Growth of real gross domestic product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Inflation</w:t>
            </w:r>
          </w:p>
        </w:tc>
        <w:tc>
          <w:tcPr>
            <w:tcW w:w="3131" w:type="dxa"/>
          </w:tcPr>
          <w:p>
            <w:pPr>
              <w:pStyle w:val="Compact"/>
              <w:spacing w:before="0" w:after="0" w:lineRule="exact" w:line="220"/>
              <w:jc w:val="left"/>
            </w:pPr>
            <w:r>
              <w:rPr>
                <w:sz w:val="18"/>
              </w:rPr>
              <w:t xml:space="preserve">Growth of consumer prices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keepNext/>
              <w:spacing w:before="0" w:after="0" w:lineRule="exact" w:line="220"/>
              <w:jc w:val="left"/>
            </w:pPr>
            <w:r>
              <w:rPr>
                <w:sz w:val="18"/>
              </w:rPr>
              <w:t xml:space="preserve">HouseholdGrowth</w:t>
            </w:r>
          </w:p>
        </w:tc>
        <w:tc>
          <w:tcPr>
            <w:tcW w:w="3131" w:type="dxa"/>
          </w:tcPr>
          <w:p>
            <w:pPr>
              <w:pStyle w:val="Compact"/>
              <w:keepNext/>
              <w:spacing w:before="0" w:after="0" w:lineRule="exact" w:line="220"/>
              <w:jc w:val="left"/>
            </w:pPr>
            <w:r>
              <w:rPr>
                <w:sz w:val="18"/>
              </w:rPr>
              <w:t xml:space="preserve">Growth of real household final consumption expenditure of the platform’s main market in year t, in percent.</w:t>
            </w:r>
          </w:p>
        </w:tc>
        <w:tc>
          <w:tcPr>
            <w:tcW w:w="3131" w:type="dxa"/>
          </w:tcPr>
          <w:p>
            <w:pPr>
              <w:pStyle w:val="Compact"/>
              <w:keepNex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PolicyRate</w:t>
            </w:r>
          </w:p>
        </w:tc>
        <w:tc>
          <w:tcPr>
            <w:tcW w:w="3131" w:type="dxa"/>
          </w:tcPr>
          <w:p>
            <w:pPr>
              <w:pStyle w:val="Compact"/>
              <w:spacing w:before="0" w:after="0" w:lineRule="exact" w:line="220"/>
              <w:jc w:val="left"/>
            </w:pPr>
            <w:r>
              <w:rPr>
                <w:sz w:val="18"/>
              </w:rPr>
              <w:t xml:space="preserve">The central bank’s policy rate in the platform’s main market, mean of the monthly values in year t, in percent. The euro-area rate is used for Germany.</w:t>
            </w:r>
          </w:p>
        </w:tc>
        <w:tc>
          <w:tcPr>
            <w:tcW w:w="3131" w:type="dxa"/>
          </w:tcPr>
          <w:p>
            <w:pPr>
              <w:pStyle w:val="Compact"/>
              <w:spacing w:before="0" w:after="0" w:lineRule="exact" w:line="220"/>
              <w:jc w:val="left"/>
            </w:pPr>
            <w:r>
              <w:rPr>
                <w:sz w:val="18"/>
              </w:rPr>
              <w:t xml:space="preserve">Bank for International Settlements (2026)</w:t>
            </w:r>
          </w:p>
        </w:tc>
      </w:tr>
    </w:tbl>
    <w:bookmarkEnd w:id="91"/>
    <w:bookmarkStart w:id="92" w:name="a.2-sources-compared-in-objective-3"/>
    <w:p>
      <w:pPr>
        <w:pStyle w:val="Heading3"/>
      </w:pPr>
      <w:r>
        <w:t xml:space="preserve">A.2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92"/>
    <w:bookmarkEnd w:id="93"/>
    <w:bookmarkStart w:id="99" w:name="X79811c47d513cf7a901c7befb1cc5335d4073b3"/>
    <w:p>
      <w:pPr>
        <w:pStyle w:val="Heading2"/>
      </w:pPr>
      <w:r>
        <w:t xml:space="preserve">Appendix B. Platforms, windows and the wedge by year</w:t>
      </w:r>
    </w:p>
    <w:bookmarkStart w:id="94" w:name="b.1-the-foreign-group-27-platforms"/>
    <w:p>
      <w:pPr>
        <w:pStyle w:val="Heading3"/>
      </w:pPr>
      <w:r>
        <w:t xml:space="preserve">B.1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4"/>
    <w:bookmarkStart w:id="95" w:name="b.2-the-indonesian-and-regional-group"/>
    <w:p>
      <w:pPr>
        <w:pStyle w:val="Heading3"/>
      </w:pPr>
      <w:r>
        <w:t xml:space="preserve">B.2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5"/>
    <w:bookmarkStart w:id="96" w:name="b.3-the-seven-windows-traced"/>
    <w:p>
      <w:pPr>
        <w:pStyle w:val="Heading3"/>
      </w:pPr>
      <w:r>
        <w:t xml:space="preserve">B.3 The seven windows traced</w:t>
      </w:r>
    </w:p>
    <w:p>
      <w:pPr>
        <w:pStyle w:val="FirstParagraph"/>
        <w:jc w:val="left"/>
      </w:pPr>
      <w:r>
        <w:t xml:space="preserve">Shares are of the log growth of revenue, because the split into more commerce, higher fees and lower incentives is exact only in logs.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6"/>
    <w:bookmarkStart w:id="97" w:name="X75544a8ad0934688286d8f5d2201fe8649ec4f8"/>
    <w:p>
      <w:pPr>
        <w:pStyle w:val="Heading3"/>
      </w:pPr>
      <w:r>
        <w:t xml:space="preserve">B.4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7"/>
    <w:bookmarkStart w:id="98" w:name="X01999f6a932e4fa967dcf7ad72cb6416da995a8"/>
    <w:p>
      <w:pPr>
        <w:pStyle w:val="Heading3"/>
      </w:pPr>
      <w:r>
        <w:t xml:space="preserve">B.5 Classification of the platforms in the regressions</w:t>
      </w:r>
    </w:p>
    <w:p>
      <w:pPr>
        <w:pStyle w:val="FirstParagraph"/>
        <w:jc w:val="left"/>
      </w:pPr>
      <w: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w:t>
      </w:r>
      <w:r>
        <w:t xml:space="preserve"> </w:t>
      </w:r>
      <w:r>
        <w:rPr>
          <w:rStyle w:val="VerbatimChar"/>
        </w:rPr>
        <w:t xml:space="preserve">tables/platform_attributes.csv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405"/>
        <w:gridCol w:w="1897"/>
        <w:gridCol w:w="1686"/>
        <w:gridCol w:w="1054"/>
        <w:gridCol w:w="1546"/>
        <w:gridCol w:w="913"/>
      </w:tblGrid>
      <w:tr>
        <w:trPr>
          <w:tblHeader w:val="true"/>
          <w:cantSplit/>
          <w:tblHeader/>
        </w:trPr>
        <w:tc>
          <w:tcPr>
            <w:tcW w:w="1405" w:type="dxa"/>
            <w:tcBorders>
              <w:bottom w:val="single" w:sz="5" w:space="0" w:color="000000"/>
            </w:tcBorders>
          </w:tcPr>
          <w:p>
            <w:pPr>
              <w:pStyle w:val="Compact"/>
              <w:keepNext/>
              <w:spacing w:before="0" w:after="0" w:lineRule="exact" w:line="220"/>
              <w:jc w:val="left"/>
            </w:pPr>
            <w:r>
              <w:rPr>
                <w:b/>
                <w:sz w:val="18"/>
              </w:rPr>
              <w:t xml:space="preserve">Platform</w:t>
            </w:r>
          </w:p>
        </w:tc>
        <w:tc>
          <w:tcPr>
            <w:tcW w:w="1897" w:type="dxa"/>
            <w:tcBorders>
              <w:bottom w:val="single" w:sz="5" w:space="0" w:color="000000"/>
            </w:tcBorders>
          </w:tcPr>
          <w:p>
            <w:pPr>
              <w:pStyle w:val="Compact"/>
              <w:keepNext/>
              <w:spacing w:before="0" w:after="0" w:lineRule="exact" w:line="220"/>
              <w:jc w:val="left"/>
            </w:pPr>
            <w:r>
              <w:rPr>
                <w:b/>
                <w:sz w:val="18"/>
              </w:rPr>
              <w:t xml:space="preserve">Group</w:t>
            </w:r>
          </w:p>
        </w:tc>
        <w:tc>
          <w:tcPr>
            <w:tcW w:w="1686" w:type="dxa"/>
            <w:tcBorders>
              <w:bottom w:val="single" w:sz="5" w:space="0" w:color="000000"/>
            </w:tcBorders>
          </w:tcPr>
          <w:p>
            <w:pPr>
              <w:pStyle w:val="Compact"/>
              <w:keepNext/>
              <w:spacing w:before="0" w:after="0" w:lineRule="exact" w:line="220"/>
              <w:jc w:val="left"/>
            </w:pPr>
            <w:r>
              <w:rPr>
                <w:b/>
                <w:sz w:val="18"/>
              </w:rPr>
              <w:t xml:space="preserve">Type</w:t>
            </w:r>
          </w:p>
        </w:tc>
        <w:tc>
          <w:tcPr>
            <w:tcW w:w="1054" w:type="dxa"/>
            <w:tcBorders>
              <w:bottom w:val="single" w:sz="5" w:space="0" w:color="000000"/>
            </w:tcBorders>
          </w:tcPr>
          <w:p>
            <w:pPr>
              <w:pStyle w:val="Compact"/>
              <w:keepNext/>
              <w:spacing w:before="0" w:after="0" w:lineRule="exact" w:line="220"/>
              <w:jc w:val="left"/>
            </w:pPr>
            <w:r>
              <w:rPr>
                <w:b/>
                <w:sz w:val="18"/>
              </w:rPr>
              <w:t xml:space="preserve">Main market</w:t>
            </w:r>
          </w:p>
        </w:tc>
        <w:tc>
          <w:tcPr>
            <w:tcW w:w="1546" w:type="dxa"/>
            <w:tcBorders>
              <w:bottom w:val="single" w:sz="5" w:space="0" w:color="000000"/>
            </w:tcBorders>
          </w:tcPr>
          <w:p>
            <w:pPr>
              <w:pStyle w:val="Compact"/>
              <w:keepNext/>
              <w:spacing w:before="0" w:after="0" w:lineRule="exact" w:line="220"/>
              <w:jc w:val="left"/>
            </w:pPr>
            <w:r>
              <w:rPr>
                <w:b/>
                <w:sz w:val="18"/>
              </w:rPr>
              <w:t xml:space="preserve">Reporting currency</w:t>
            </w:r>
          </w:p>
        </w:tc>
        <w:tc>
          <w:tcPr>
            <w:tcW w:w="913" w:type="dxa"/>
            <w:tcBorders>
              <w:bottom w:val="single" w:sz="5" w:space="0" w:color="000000"/>
            </w:tcBorders>
          </w:tcPr>
          <w:p>
            <w:pPr>
              <w:pStyle w:val="Compact"/>
              <w:keepNext/>
              <w:spacing w:before="0" w:after="0" w:lineRule="exact" w:line="220"/>
              <w:jc w:val="left"/>
            </w:pPr>
            <w:r>
              <w:rPr>
                <w:b/>
                <w:sz w:val="18"/>
              </w:rPr>
              <w:t xml:space="preserve">Listed</w:t>
            </w:r>
          </w:p>
        </w:tc>
      </w:tr>
      <w:tr>
        <w:trPr>
          <w:cantSplit/>
        </w:trPr>
        <w:tc>
          <w:tcPr>
            <w:tcW w:w="1405" w:type="dxa"/>
          </w:tcPr>
          <w:p>
            <w:pPr>
              <w:pStyle w:val="Compact"/>
              <w:keepNext/>
              <w:spacing w:before="0" w:after="0" w:lineRule="exact" w:line="220"/>
              <w:jc w:val="left"/>
            </w:pPr>
            <w:r>
              <w:rPr>
                <w:sz w:val="18"/>
              </w:rPr>
              <w:t xml:space="preserve">Tokopedia</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keepNext/>
              <w:spacing w:before="0" w:after="0" w:lineRule="exact" w:line="220"/>
              <w:jc w:val="left"/>
            </w:pPr>
            <w:r>
              <w:rPr>
                <w:sz w:val="18"/>
              </w:rPr>
              <w:t xml:space="preserve">Blibli</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Bukalapak</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Grab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GoTo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Etsy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eBay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Jumia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NG</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Mercado Libre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BR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2007</w:t>
            </w:r>
          </w:p>
        </w:tc>
      </w:tr>
      <w:tr>
        <w:trPr>
          <w:cantSplit/>
        </w:trPr>
        <w:tc>
          <w:tcPr>
            <w:tcW w:w="1405" w:type="dxa"/>
          </w:tcPr>
          <w:p>
            <w:pPr>
              <w:pStyle w:val="Compact"/>
              <w:spacing w:before="0" w:after="0" w:lineRule="exact" w:line="220"/>
              <w:jc w:val="left"/>
            </w:pPr>
            <w:r>
              <w:rPr>
                <w:sz w:val="18"/>
              </w:rPr>
              <w:t xml:space="preserve">Rakuten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JP</w:t>
            </w:r>
          </w:p>
        </w:tc>
        <w:tc>
          <w:tcPr>
            <w:tcW w:w="1546" w:type="dxa"/>
          </w:tcPr>
          <w:p>
            <w:pPr>
              <w:pStyle w:val="Compact"/>
              <w:spacing w:before="0" w:after="0" w:lineRule="exact" w:line="220"/>
              <w:jc w:val="left"/>
            </w:pPr>
            <w:r>
              <w:rPr>
                <w:sz w:val="18"/>
              </w:rPr>
              <w:t xml:space="preserve">JPY</w:t>
            </w:r>
          </w:p>
        </w:tc>
        <w:tc>
          <w:tcPr>
            <w:tcW w:w="913" w:type="dxa"/>
          </w:tcPr>
          <w:p>
            <w:pPr>
              <w:pStyle w:val="Compact"/>
              <w:spacing w:before="0" w:after="0" w:lineRule="exact" w:line="220"/>
              <w:jc w:val="left"/>
            </w:pPr>
            <w:r>
              <w:rPr>
                <w:sz w:val="18"/>
              </w:rPr>
              <w:t xml:space="preserve">2000</w:t>
            </w:r>
          </w:p>
        </w:tc>
      </w:tr>
      <w:tr>
        <w:trPr>
          <w:cantSplit/>
        </w:trPr>
        <w:tc>
          <w:tcPr>
            <w:tcW w:w="1405" w:type="dxa"/>
          </w:tcPr>
          <w:p>
            <w:pPr>
              <w:pStyle w:val="Compact"/>
              <w:spacing w:before="0" w:after="0" w:lineRule="exact" w:line="220"/>
              <w:jc w:val="left"/>
            </w:pPr>
            <w:r>
              <w:rPr>
                <w:sz w:val="18"/>
              </w:rPr>
              <w:t xml:space="preserve">Sea (Shopee)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Shopify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Zalando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DE</w:t>
            </w:r>
          </w:p>
        </w:tc>
        <w:tc>
          <w:tcPr>
            <w:tcW w:w="1546" w:type="dxa"/>
          </w:tcPr>
          <w:p>
            <w:pPr>
              <w:pStyle w:val="Compact"/>
              <w:spacing w:before="0" w:after="0" w:lineRule="exact" w:line="220"/>
              <w:jc w:val="left"/>
            </w:pPr>
            <w:r>
              <w:rPr>
                <w:sz w:val="18"/>
              </w:rPr>
              <w:t xml:space="preserve">EUR</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ACV Auctions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Waitr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Alibaba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Despegar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AR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1stDibs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Expedia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2005</w:t>
            </w:r>
          </w:p>
        </w:tc>
      </w:tr>
      <w:tr>
        <w:trPr>
          <w:cantSplit/>
        </w:trPr>
        <w:tc>
          <w:tcPr>
            <w:tcW w:w="1405" w:type="dxa"/>
          </w:tcPr>
          <w:p>
            <w:pPr>
              <w:pStyle w:val="Compact"/>
              <w:spacing w:before="0" w:after="0" w:lineRule="exact" w:line="220"/>
              <w:jc w:val="left"/>
            </w:pPr>
            <w:r>
              <w:rPr>
                <w:sz w:val="18"/>
              </w:rPr>
              <w:t xml:space="preserve">Fiverr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Grubhub</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Hepsiburada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TR</w:t>
            </w:r>
          </w:p>
        </w:tc>
        <w:tc>
          <w:tcPr>
            <w:tcW w:w="1546" w:type="dxa"/>
          </w:tcPr>
          <w:p>
            <w:pPr>
              <w:pStyle w:val="Compact"/>
              <w:spacing w:before="0" w:after="0" w:lineRule="exact" w:line="220"/>
              <w:jc w:val="left"/>
            </w:pPr>
            <w:r>
              <w:rPr>
                <w:sz w:val="18"/>
              </w:rPr>
              <w:t xml:space="preserve">TRY</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Kaspi.kz</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KZ</w:t>
            </w:r>
          </w:p>
        </w:tc>
        <w:tc>
          <w:tcPr>
            <w:tcW w:w="1546" w:type="dxa"/>
          </w:tcPr>
          <w:p>
            <w:pPr>
              <w:pStyle w:val="Compact"/>
              <w:spacing w:before="0" w:after="0" w:lineRule="exact" w:line="220"/>
              <w:jc w:val="left"/>
            </w:pPr>
            <w:r>
              <w:rPr>
                <w:sz w:val="18"/>
              </w:rPr>
              <w:t xml:space="preserve">KZT</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Mogu</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Ozon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RU</w:t>
            </w:r>
          </w:p>
        </w:tc>
        <w:tc>
          <w:tcPr>
            <w:tcW w:w="1546" w:type="dxa"/>
          </w:tcPr>
          <w:p>
            <w:pPr>
              <w:pStyle w:val="Compact"/>
              <w:spacing w:before="0" w:after="0" w:lineRule="exact" w:line="220"/>
              <w:jc w:val="left"/>
            </w:pPr>
            <w:r>
              <w:rPr>
                <w:sz w:val="18"/>
              </w:rPr>
              <w:t xml:space="preserve">RUB</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Pinduoduo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RB Global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The RealReal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Vivid Seats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Upwork</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keepNext/>
              <w:spacing w:before="0" w:after="0" w:lineRule="exact" w:line="220"/>
              <w:jc w:val="left"/>
            </w:pPr>
            <w:r>
              <w:rPr>
                <w:sz w:val="18"/>
              </w:rPr>
              <w:t xml:space="preserve">Vacasa</w:t>
            </w:r>
          </w:p>
        </w:tc>
        <w:tc>
          <w:tcPr>
            <w:tcW w:w="1897" w:type="dxa"/>
          </w:tcPr>
          <w:p>
            <w:pPr>
              <w:pStyle w:val="Compact"/>
              <w:keepNext/>
              <w:spacing w:before="0" w:after="0" w:lineRule="exact" w:line="220"/>
              <w:jc w:val="left"/>
            </w:pPr>
            <w:r>
              <w:rPr>
                <w:sz w:val="18"/>
              </w:rPr>
              <w:t xml:space="preserve">Foreign</w:t>
            </w:r>
          </w:p>
        </w:tc>
        <w:tc>
          <w:tcPr>
            <w:tcW w:w="1686" w:type="dxa"/>
          </w:tcPr>
          <w:p>
            <w:pPr>
              <w:pStyle w:val="Compact"/>
              <w:keepNext/>
              <w:spacing w:before="0" w:after="0" w:lineRule="exact" w:line="220"/>
              <w:jc w:val="left"/>
            </w:pPr>
            <w:r>
              <w:rPr>
                <w:sz w:val="18"/>
              </w:rPr>
              <w:t xml:space="preserve">Travel and ticketing</w:t>
            </w:r>
          </w:p>
        </w:tc>
        <w:tc>
          <w:tcPr>
            <w:tcW w:w="1054" w:type="dxa"/>
          </w:tcPr>
          <w:p>
            <w:pPr>
              <w:pStyle w:val="Compact"/>
              <w:keepNext/>
              <w:spacing w:before="0" w:after="0" w:lineRule="exact" w:line="220"/>
              <w:jc w:val="left"/>
            </w:pPr>
            <w:r>
              <w:rPr>
                <w:sz w:val="18"/>
              </w:rPr>
              <w:t xml:space="preserve">US</w:t>
            </w:r>
          </w:p>
        </w:tc>
        <w:tc>
          <w:tcPr>
            <w:tcW w:w="1546" w:type="dxa"/>
          </w:tcPr>
          <w:p>
            <w:pPr>
              <w:pStyle w:val="Compact"/>
              <w:keepNext/>
              <w:spacing w:before="0" w:after="0" w:lineRule="exact" w:line="220"/>
              <w:jc w:val="left"/>
            </w:pPr>
            <w:r>
              <w:rPr>
                <w:sz w:val="18"/>
              </w:rPr>
              <w:t xml:space="preserve">USD</w:t>
            </w:r>
          </w:p>
        </w:tc>
        <w:tc>
          <w:tcPr>
            <w:tcW w:w="913" w:type="dxa"/>
          </w:tcPr>
          <w:p>
            <w:pPr>
              <w:pStyle w:val="Compact"/>
              <w:keepNex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Yatra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IN</w:t>
            </w:r>
          </w:p>
        </w:tc>
        <w:tc>
          <w:tcPr>
            <w:tcW w:w="1546" w:type="dxa"/>
          </w:tcPr>
          <w:p>
            <w:pPr>
              <w:pStyle w:val="Compact"/>
              <w:spacing w:before="0" w:after="0" w:lineRule="exact" w:line="220"/>
              <w:jc w:val="left"/>
            </w:pPr>
            <w:r>
              <w:rPr>
                <w:sz w:val="18"/>
              </w:rPr>
              <w:t xml:space="preserve">INR</w:t>
            </w:r>
          </w:p>
        </w:tc>
        <w:tc>
          <w:tcPr>
            <w:tcW w:w="913" w:type="dxa"/>
          </w:tcPr>
          <w:p>
            <w:pPr>
              <w:pStyle w:val="Compact"/>
              <w:spacing w:before="0" w:after="0" w:lineRule="exact" w:line="220"/>
              <w:jc w:val="left"/>
            </w:pPr>
            <w:r>
              <w:rPr>
                <w:sz w:val="18"/>
              </w:rPr>
              <w:t xml:space="preserve">2016</w:t>
            </w:r>
          </w:p>
        </w:tc>
      </w:tr>
    </w:tbl>
    <w:bookmarkEnd w:id="98"/>
    <w:bookmarkEnd w:id="99"/>
    <w:bookmarkStart w:id="103" w:name="X86fc5958fcd7d1333545739084b7370a61f7039"/>
    <w:p>
      <w:pPr>
        <w:pStyle w:val="Heading2"/>
      </w:pPr>
      <w:r>
        <w:t xml:space="preserve">Appendix C. The checks on the tests of H1 and on the regressions</w:t>
      </w:r>
    </w:p>
    <w:bookmarkStart w:id="100" w:name="c.1-the-checks"/>
    <w:p>
      <w:pPr>
        <w:pStyle w:val="Heading3"/>
      </w:pPr>
      <w:r>
        <w:t xml:space="preserve">C.1 The checks</w:t>
      </w:r>
    </w:p>
    <w:p>
      <w:pPr>
        <w:pStyle w:val="FirstParagraph"/>
        <w:jc w:val="left"/>
      </w:pPr>
      <w:r>
        <w:t xml:space="preserve">The main test is described in Section 5.2. This appendix keeps its first measure, the absolute change in the log take rate, and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100"/>
    <w:bookmarkStart w:id="101" w:name="X52d5ae19455bf2fec6946631ede33e95919406f"/>
    <w:p>
      <w:pPr>
        <w:pStyle w:val="Heading3"/>
      </w:pPr>
      <w:r>
        <w:t xml:space="preserve">C.2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101"/>
    <w:bookmarkStart w:id="102" w:name="Xdccb276a307a64fb68cdad97e588739fa6cabc6"/>
    <w:p>
      <w:pPr>
        <w:pStyle w:val="Heading3"/>
      </w:pPr>
      <w:r>
        <w:t xml:space="preserve">C.3 Checks on the growth test and on the regressions (exploratory, 25 Oct 2026)</w:t>
      </w:r>
    </w:p>
    <w:p>
      <w:pPr>
        <w:pStyle w:val="FirstParagraph"/>
        <w:jc w:val="left"/>
      </w:pPr>
      <w: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4. Sources:</w:t>
      </w:r>
      <w:r>
        <w:t xml:space="preserve"> </w:t>
      </w:r>
      <w:r>
        <w:rPr>
          <w:rStyle w:val="VerbatimChar"/>
        </w:rPr>
        <w:t xml:space="preserve">h1_simple_change.py</w:t>
      </w:r>
      <w:r>
        <w:t xml:space="preserve"> </w:t>
      </w:r>
      <w:r>
        <w:t xml:space="preserve">(</w:t>
      </w:r>
      <w:r>
        <w:rPr>
          <w:rStyle w:val="VerbatimChar"/>
        </w:rPr>
        <w:t xml:space="preserve">tables/h1_simple_change.json</w:t>
      </w:r>
      <w:r>
        <w:t xml:space="preserve">),</w:t>
      </w:r>
      <w:r>
        <w:t xml:space="preserve"> </w:t>
      </w:r>
      <w:r>
        <w:rPr>
          <w:rStyle w:val="VerbatimChar"/>
        </w:rPr>
        <w:t xml:space="preserve">kong_regressions.py</w:t>
      </w:r>
      <w:r>
        <w:t xml:space="preserve"> </w:t>
      </w:r>
      <w:r>
        <w:t xml:space="preserve">(</w:t>
      </w:r>
      <w:r>
        <w:rPr>
          <w:rStyle w:val="VerbatimChar"/>
        </w:rPr>
        <w:t xml:space="preserve">tables/kong_results.json</w:t>
      </w:r>
      <w:r>
        <w:t xml:space="preserve">),</w:t>
      </w:r>
      <w:r>
        <w:t xml:space="preserve"> </w:t>
      </w:r>
      <w:r>
        <w:rPr>
          <w:rStyle w:val="VerbatimChar"/>
        </w:rPr>
        <w:t xml:space="preserve">build_regression_panel.py</w:t>
      </w:r>
      <w:r>
        <w:t xml:space="preserve"> </w:t>
      </w:r>
      <w:r>
        <w:t xml:space="preserve">(</w:t>
      </w:r>
      <w:r>
        <w:rPr>
          <w:rStyle w:val="VerbatimChar"/>
        </w:rPr>
        <w:t xml:space="preserve">tables/regression_panel.csv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44"/>
        <w:gridCol w:w="2111"/>
        <w:gridCol w:w="1173"/>
        <w:gridCol w:w="655"/>
        <w:gridCol w:w="1320"/>
      </w:tblGrid>
      <w:tr>
        <w:trPr>
          <w:tblHeader w:val="true"/>
          <w:cantSplit/>
          <w:tblHeader/>
        </w:trPr>
        <w:tc>
          <w:tcPr>
            <w:tcW w:w="3244" w:type="dxa"/>
            <w:tcBorders>
              <w:bottom w:val="single" w:sz="5" w:space="0" w:color="000000"/>
            </w:tcBorders>
          </w:tcPr>
          <w:p>
            <w:pPr>
              <w:pStyle w:val="Compact"/>
              <w:keepNext/>
              <w:spacing w:before="0" w:after="0" w:lineRule="exact" w:line="220"/>
              <w:jc w:val="left"/>
            </w:pPr>
            <w:r>
              <w:rPr>
                <w:b/>
                <w:sz w:val="18"/>
              </w:rPr>
              <w:t xml:space="preserve">Measure of the yearly change in the take rate</w:t>
            </w:r>
          </w:p>
        </w:tc>
        <w:tc>
          <w:tcPr>
            <w:tcW w:w="2111"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173" w:type="dxa"/>
            <w:tcBorders>
              <w:bottom w:val="single" w:sz="5" w:space="0" w:color="000000"/>
            </w:tcBorders>
          </w:tcPr>
          <w:p>
            <w:pPr>
              <w:pStyle w:val="Compact"/>
              <w:keepNext/>
              <w:spacing w:before="0" w:after="0" w:lineRule="exact" w:line="220"/>
              <w:jc w:val="left"/>
            </w:pPr>
            <w:r>
              <w:rPr>
                <w:b/>
                <w:sz w:val="18"/>
              </w:rPr>
              <w:t xml:space="preserve">Foreign (median)</w:t>
            </w:r>
          </w:p>
        </w:tc>
        <w:tc>
          <w:tcPr>
            <w:tcW w:w="655" w:type="dxa"/>
            <w:tcBorders>
              <w:bottom w:val="single" w:sz="5" w:space="0" w:color="000000"/>
            </w:tcBorders>
          </w:tcPr>
          <w:p>
            <w:pPr>
              <w:pStyle w:val="Compact"/>
              <w:keepNext/>
              <w:spacing w:before="0" w:after="0" w:lineRule="exact" w:line="220"/>
              <w:jc w:val="left"/>
            </w:pPr>
            <w:r>
              <w:rPr>
                <w:b/>
                <w:sz w:val="18"/>
              </w:rPr>
              <w:t xml:space="preserve">Ratio</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r>
      <w:tr>
        <w:trPr>
          <w:cantSplit/>
        </w:trPr>
        <w:tc>
          <w:tcPr>
            <w:tcW w:w="3244" w:type="dxa"/>
          </w:tcPr>
          <w:p>
            <w:pPr>
              <w:pStyle w:val="Compact"/>
              <w:keepNext/>
              <w:spacing w:before="0" w:after="0" w:lineRule="exact" w:line="220"/>
              <w:jc w:val="left"/>
            </w:pPr>
            <w:r>
              <w:rPr>
                <w:sz w:val="18"/>
              </w:rPr>
              <w:t xml:space="preserve">Absolute change in the logarithm (the first version)</w:t>
            </w:r>
          </w:p>
        </w:tc>
        <w:tc>
          <w:tcPr>
            <w:tcW w:w="2111" w:type="dxa"/>
          </w:tcPr>
          <w:p>
            <w:pPr>
              <w:pStyle w:val="Compact"/>
              <w:keepNext/>
              <w:spacing w:before="0" w:after="0" w:lineRule="exact" w:line="220"/>
              <w:jc w:val="left"/>
            </w:pPr>
            <w:r>
              <w:rPr>
                <w:sz w:val="18"/>
              </w:rPr>
              <w:t xml:space="preserve">0.201</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3.3</w:t>
            </w:r>
          </w:p>
        </w:tc>
        <w:tc>
          <w:tcPr>
            <w:tcW w:w="1320" w:type="dxa"/>
          </w:tcPr>
          <w:p>
            <w:pPr>
              <w:pStyle w:val="Compact"/>
              <w:keepNext/>
              <w:spacing w:before="0" w:after="0" w:lineRule="exact" w:line="220"/>
              <w:jc w:val="left"/>
            </w:pPr>
            <w:r>
              <w:rPr>
                <w:sz w:val="18"/>
              </w:rPr>
              <w:t xml:space="preserve">0.0038</w:t>
            </w:r>
          </w:p>
        </w:tc>
      </w:tr>
      <w:tr>
        <w:trPr>
          <w:cantSplit/>
        </w:trPr>
        <w:tc>
          <w:tcPr>
            <w:tcW w:w="3244" w:type="dxa"/>
          </w:tcPr>
          <w:p>
            <w:pPr>
              <w:pStyle w:val="Compact"/>
              <w:keepNext/>
              <w:spacing w:before="0" w:after="0" w:lineRule="exact" w:line="220"/>
              <w:jc w:val="left"/>
            </w:pPr>
            <w:r>
              <w:rPr>
                <w:sz w:val="18"/>
              </w:rPr>
              <w:t xml:space="preserve">Absolute simple percentage change (Section 5.2)</w:t>
            </w:r>
          </w:p>
        </w:tc>
        <w:tc>
          <w:tcPr>
            <w:tcW w:w="2111" w:type="dxa"/>
          </w:tcPr>
          <w:p>
            <w:pPr>
              <w:pStyle w:val="Compact"/>
              <w:keepNext/>
              <w:spacing w:before="0" w:after="0" w:lineRule="exact" w:line="220"/>
              <w:jc w:val="left"/>
            </w:pPr>
            <w:r>
              <w:rPr>
                <w:sz w:val="18"/>
              </w:rPr>
              <w:t xml:space="preserve">0.224</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3.6</w:t>
            </w:r>
          </w:p>
        </w:tc>
        <w:tc>
          <w:tcPr>
            <w:tcW w:w="1320" w:type="dxa"/>
          </w:tcPr>
          <w:p>
            <w:pPr>
              <w:pStyle w:val="Compact"/>
              <w:keepNext/>
              <w:spacing w:before="0" w:after="0" w:lineRule="exact" w:line="220"/>
              <w:jc w:val="left"/>
            </w:pPr>
            <w:r>
              <w:rPr>
                <w:sz w:val="18"/>
              </w:rPr>
              <w:t xml:space="preserve">0.0031</w:t>
            </w:r>
          </w:p>
        </w:tc>
      </w:tr>
      <w:tr>
        <w:trPr>
          <w:cantSplit/>
        </w:trPr>
        <w:tc>
          <w:tcPr>
            <w:tcW w:w="3244" w:type="dxa"/>
          </w:tcPr>
          <w:p>
            <w:pPr>
              <w:pStyle w:val="Compact"/>
              <w:spacing w:before="0" w:after="0" w:lineRule="exact" w:line="220"/>
              <w:jc w:val="left"/>
            </w:pPr>
            <w:r>
              <w:rPr>
                <w:sz w:val="18"/>
              </w:rPr>
              <w:t xml:space="preserve">Absolute change over the mean of the two take rates</w:t>
            </w:r>
          </w:p>
        </w:tc>
        <w:tc>
          <w:tcPr>
            <w:tcW w:w="2111" w:type="dxa"/>
          </w:tcPr>
          <w:p>
            <w:pPr>
              <w:pStyle w:val="Compact"/>
              <w:spacing w:before="0" w:after="0" w:lineRule="exact" w:line="220"/>
              <w:jc w:val="left"/>
            </w:pPr>
            <w:r>
              <w:rPr>
                <w:sz w:val="18"/>
              </w:rPr>
              <w:t xml:space="preserve">0.199</w:t>
            </w:r>
          </w:p>
        </w:tc>
        <w:tc>
          <w:tcPr>
            <w:tcW w:w="1173" w:type="dxa"/>
          </w:tcPr>
          <w:p>
            <w:pPr>
              <w:pStyle w:val="Compact"/>
              <w:spacing w:before="0" w:after="0" w:lineRule="exact" w:line="220"/>
              <w:jc w:val="left"/>
            </w:pPr>
            <w:r>
              <w:rPr>
                <w:sz w:val="18"/>
              </w:rPr>
              <w:t xml:space="preserve">0.062</w:t>
            </w:r>
          </w:p>
        </w:tc>
        <w:tc>
          <w:tcPr>
            <w:tcW w:w="655" w:type="dxa"/>
          </w:tcPr>
          <w:p>
            <w:pPr>
              <w:pStyle w:val="Compact"/>
              <w:spacing w:before="0" w:after="0" w:lineRule="exact" w:line="220"/>
              <w:jc w:val="left"/>
            </w:pPr>
            <w:r>
              <w:rPr>
                <w:sz w:val="18"/>
              </w:rPr>
              <w:t xml:space="preserve">3.2</w:t>
            </w:r>
          </w:p>
        </w:tc>
        <w:tc>
          <w:tcPr>
            <w:tcW w:w="1320" w:type="dxa"/>
          </w:tcPr>
          <w:p>
            <w:pPr>
              <w:pStyle w:val="Compact"/>
              <w:spacing w:before="0" w:after="0" w:lineRule="exact" w:line="220"/>
              <w:jc w:val="left"/>
            </w:pPr>
            <w:r>
              <w:rPr>
                <w:sz w:val="18"/>
              </w:rPr>
              <w:t xml:space="preserve">0.0038</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126"/>
        <w:gridCol w:w="1811"/>
        <w:gridCol w:w="2126"/>
        <w:gridCol w:w="1575"/>
        <w:gridCol w:w="866"/>
      </w:tblGrid>
      <w:tr>
        <w:trPr>
          <w:tblHeader w:val="true"/>
          <w:cantSplit/>
          <w:tblHeader/>
        </w:trPr>
        <w:tc>
          <w:tcPr>
            <w:tcW w:w="2126" w:type="dxa"/>
            <w:tcBorders>
              <w:bottom w:val="single" w:sz="5" w:space="0" w:color="000000"/>
            </w:tcBorders>
          </w:tcPr>
          <w:p>
            <w:pPr>
              <w:pStyle w:val="Compact"/>
              <w:keepNext/>
              <w:spacing w:before="0" w:after="0" w:lineRule="exact" w:line="220"/>
              <w:jc w:val="left"/>
            </w:pPr>
            <w:r>
              <w:rPr>
                <w:b/>
                <w:sz w:val="18"/>
              </w:rPr>
              <w:t xml:space="preserve">Sample</w:t>
            </w:r>
          </w:p>
        </w:tc>
        <w:tc>
          <w:tcPr>
            <w:tcW w:w="1811" w:type="dxa"/>
            <w:tcBorders>
              <w:bottom w:val="single" w:sz="5" w:space="0" w:color="000000"/>
            </w:tcBorders>
          </w:tcPr>
          <w:p>
            <w:pPr>
              <w:pStyle w:val="Compact"/>
              <w:keepNext/>
              <w:spacing w:before="0" w:after="0" w:lineRule="exact" w:line="220"/>
              <w:jc w:val="left"/>
            </w:pPr>
            <w:r>
              <w:rPr>
                <w:b/>
                <w:sz w:val="18"/>
              </w:rPr>
              <w:t xml:space="preserve">Correlation, capped</w:t>
            </w:r>
          </w:p>
        </w:tc>
        <w:tc>
          <w:tcPr>
            <w:tcW w:w="2126" w:type="dxa"/>
            <w:tcBorders>
              <w:bottom w:val="single" w:sz="5" w:space="0" w:color="000000"/>
            </w:tcBorders>
          </w:tcPr>
          <w:p>
            <w:pPr>
              <w:pStyle w:val="Compact"/>
              <w:keepNext/>
              <w:spacing w:before="0" w:after="0" w:lineRule="exact" w:line="220"/>
              <w:jc w:val="left"/>
            </w:pPr>
            <w:r>
              <w:rPr>
                <w:b/>
                <w:sz w:val="18"/>
              </w:rPr>
              <w:t xml:space="preserve">Correlation, not capped</w:t>
            </w:r>
          </w:p>
        </w:tc>
        <w:tc>
          <w:tcPr>
            <w:tcW w:w="1575" w:type="dxa"/>
            <w:tcBorders>
              <w:bottom w:val="single" w:sz="5" w:space="0" w:color="000000"/>
            </w:tcBorders>
          </w:tcPr>
          <w:p>
            <w:pPr>
              <w:pStyle w:val="Compact"/>
              <w:keepNext/>
              <w:spacing w:before="0" w:after="0" w:lineRule="exact" w:line="220"/>
              <w:jc w:val="left"/>
            </w:pPr>
            <w:r>
              <w:rPr>
                <w:b/>
                <w:sz w:val="18"/>
              </w:rPr>
              <w:t xml:space="preserve">Rank correlation</w:t>
            </w:r>
          </w:p>
        </w:tc>
        <w:tc>
          <w:tcPr>
            <w:tcW w:w="866" w:type="dxa"/>
            <w:tcBorders>
              <w:bottom w:val="single" w:sz="5" w:space="0" w:color="000000"/>
            </w:tcBorders>
          </w:tcPr>
          <w:p>
            <w:pPr>
              <w:pStyle w:val="Compact"/>
              <w:keepNext/>
              <w:spacing w:before="0" w:after="0" w:lineRule="exact" w:line="220"/>
              <w:jc w:val="left"/>
            </w:pPr>
            <w:r>
              <w:rPr>
                <w:b/>
                <w:sz w:val="18"/>
              </w:rPr>
              <w:t xml:space="preserve">Pairs</w:t>
            </w:r>
          </w:p>
        </w:tc>
      </w:tr>
      <w:tr>
        <w:trPr>
          <w:cantSplit/>
        </w:trPr>
        <w:tc>
          <w:tcPr>
            <w:tcW w:w="2126" w:type="dxa"/>
          </w:tcPr>
          <w:p>
            <w:pPr>
              <w:pStyle w:val="Compact"/>
              <w:keepNext/>
              <w:spacing w:before="0" w:after="0" w:lineRule="exact" w:line="220"/>
              <w:jc w:val="left"/>
            </w:pPr>
            <w:r>
              <w:rPr>
                <w:sz w:val="18"/>
              </w:rPr>
              <w:t xml:space="preserve">Foreign</w:t>
            </w:r>
          </w:p>
        </w:tc>
        <w:tc>
          <w:tcPr>
            <w:tcW w:w="1811" w:type="dxa"/>
          </w:tcPr>
          <w:p>
            <w:pPr>
              <w:pStyle w:val="Compact"/>
              <w:keepNext/>
              <w:spacing w:before="0" w:after="0" w:lineRule="exact" w:line="220"/>
              <w:jc w:val="left"/>
            </w:pPr>
            <w:r>
              <w:rPr>
                <w:sz w:val="18"/>
              </w:rPr>
              <w:t xml:space="preserve">0.90</w:t>
            </w:r>
          </w:p>
        </w:tc>
        <w:tc>
          <w:tcPr>
            <w:tcW w:w="2126" w:type="dxa"/>
          </w:tcPr>
          <w:p>
            <w:pPr>
              <w:pStyle w:val="Compact"/>
              <w:keepNext/>
              <w:spacing w:before="0" w:after="0" w:lineRule="exact" w:line="220"/>
              <w:jc w:val="left"/>
            </w:pPr>
            <w:r>
              <w:rPr>
                <w:sz w:val="18"/>
              </w:rPr>
              <w:t xml:space="preserve">0.54</w:t>
            </w:r>
          </w:p>
        </w:tc>
        <w:tc>
          <w:tcPr>
            <w:tcW w:w="1575" w:type="dxa"/>
          </w:tcPr>
          <w:p>
            <w:pPr>
              <w:pStyle w:val="Compact"/>
              <w:keepNext/>
              <w:spacing w:before="0" w:after="0" w:lineRule="exact" w:line="220"/>
              <w:jc w:val="left"/>
            </w:pPr>
            <w:r>
              <w:rPr>
                <w:sz w:val="18"/>
              </w:rPr>
              <w:t xml:space="preserve">0.89</w:t>
            </w:r>
          </w:p>
        </w:tc>
        <w:tc>
          <w:tcPr>
            <w:tcW w:w="866" w:type="dxa"/>
          </w:tcPr>
          <w:p>
            <w:pPr>
              <w:pStyle w:val="Compact"/>
              <w:keepNext/>
              <w:spacing w:before="0" w:after="0" w:lineRule="exact" w:line="220"/>
              <w:jc w:val="left"/>
            </w:pPr>
            <w:r>
              <w:rPr>
                <w:sz w:val="18"/>
              </w:rPr>
              <w:t xml:space="preserve">166</w:t>
            </w:r>
          </w:p>
        </w:tc>
      </w:tr>
      <w:tr>
        <w:trPr>
          <w:cantSplit/>
        </w:trPr>
        <w:tc>
          <w:tcPr>
            <w:tcW w:w="2126" w:type="dxa"/>
          </w:tcPr>
          <w:p>
            <w:pPr>
              <w:pStyle w:val="Compact"/>
              <w:keepNext/>
              <w:spacing w:before="0" w:after="0" w:lineRule="exact" w:line="220"/>
              <w:jc w:val="left"/>
            </w:pPr>
            <w:r>
              <w:rPr>
                <w:sz w:val="18"/>
              </w:rPr>
              <w:t xml:space="preserve">Indonesian and regional</w:t>
            </w:r>
          </w:p>
        </w:tc>
        <w:tc>
          <w:tcPr>
            <w:tcW w:w="1811" w:type="dxa"/>
          </w:tcPr>
          <w:p>
            <w:pPr>
              <w:pStyle w:val="Compact"/>
              <w:keepNext/>
              <w:spacing w:before="0" w:after="0" w:lineRule="exact" w:line="220"/>
              <w:jc w:val="left"/>
            </w:pPr>
            <w:r>
              <w:rPr>
                <w:sz w:val="18"/>
              </w:rPr>
              <w:t xml:space="preserve">0.31</w:t>
            </w:r>
          </w:p>
        </w:tc>
        <w:tc>
          <w:tcPr>
            <w:tcW w:w="2126" w:type="dxa"/>
          </w:tcPr>
          <w:p>
            <w:pPr>
              <w:pStyle w:val="Compact"/>
              <w:keepNext/>
              <w:spacing w:before="0" w:after="0" w:lineRule="exact" w:line="220"/>
              <w:jc w:val="left"/>
            </w:pPr>
            <w:r>
              <w:rPr>
                <w:sz w:val="18"/>
              </w:rPr>
              <w:t xml:space="preserve">0.18</w:t>
            </w:r>
          </w:p>
        </w:tc>
        <w:tc>
          <w:tcPr>
            <w:tcW w:w="1575" w:type="dxa"/>
          </w:tcPr>
          <w:p>
            <w:pPr>
              <w:pStyle w:val="Compact"/>
              <w:keepNext/>
              <w:spacing w:before="0" w:after="0" w:lineRule="exact" w:line="220"/>
              <w:jc w:val="left"/>
            </w:pPr>
            <w:r>
              <w:rPr>
                <w:sz w:val="18"/>
              </w:rPr>
              <w:t xml:space="preserve">0.64</w:t>
            </w:r>
          </w:p>
        </w:tc>
        <w:tc>
          <w:tcPr>
            <w:tcW w:w="866" w:type="dxa"/>
          </w:tcPr>
          <w:p>
            <w:pPr>
              <w:pStyle w:val="Compact"/>
              <w:keepNext/>
              <w:spacing w:before="0" w:after="0" w:lineRule="exact" w:line="220"/>
              <w:jc w:val="left"/>
            </w:pPr>
            <w:r>
              <w:rPr>
                <w:sz w:val="18"/>
              </w:rPr>
              <w:t xml:space="preserve">15</w:t>
            </w:r>
          </w:p>
        </w:tc>
      </w:tr>
      <w:tr>
        <w:trPr>
          <w:cantSplit/>
        </w:trPr>
        <w:tc>
          <w:tcPr>
            <w:tcW w:w="2126" w:type="dxa"/>
          </w:tcPr>
          <w:p>
            <w:pPr>
              <w:pStyle w:val="Compact"/>
              <w:spacing w:before="0" w:after="0" w:lineRule="exact" w:line="220"/>
              <w:jc w:val="left"/>
            </w:pPr>
            <w:r>
              <w:rPr>
                <w:sz w:val="18"/>
              </w:rPr>
              <w:t xml:space="preserve">All platforms</w:t>
            </w:r>
          </w:p>
        </w:tc>
        <w:tc>
          <w:tcPr>
            <w:tcW w:w="1811" w:type="dxa"/>
          </w:tcPr>
          <w:p>
            <w:pPr>
              <w:pStyle w:val="Compact"/>
              <w:spacing w:before="0" w:after="0" w:lineRule="exact" w:line="220"/>
              <w:jc w:val="left"/>
            </w:pPr>
            <w:r>
              <w:rPr>
                <w:sz w:val="18"/>
              </w:rPr>
              <w:t xml:space="preserve">0.84</w:t>
            </w:r>
          </w:p>
        </w:tc>
        <w:tc>
          <w:tcPr>
            <w:tcW w:w="2126" w:type="dxa"/>
          </w:tcPr>
          <w:p>
            <w:pPr>
              <w:pStyle w:val="Compact"/>
              <w:spacing w:before="0" w:after="0" w:lineRule="exact" w:line="220"/>
              <w:jc w:val="left"/>
            </w:pPr>
            <w:r>
              <w:rPr>
                <w:sz w:val="18"/>
              </w:rPr>
              <w:t xml:space="preserve">0.53</w:t>
            </w:r>
          </w:p>
        </w:tc>
        <w:tc>
          <w:tcPr>
            <w:tcW w:w="1575" w:type="dxa"/>
          </w:tcPr>
          <w:p>
            <w:pPr>
              <w:pStyle w:val="Compact"/>
              <w:spacing w:before="0" w:after="0" w:lineRule="exact" w:line="220"/>
              <w:jc w:val="left"/>
            </w:pPr>
            <w:r>
              <w:rPr>
                <w:sz w:val="18"/>
              </w:rPr>
              <w:t xml:space="preserve">0.87</w:t>
            </w:r>
          </w:p>
        </w:tc>
        <w:tc>
          <w:tcPr>
            <w:tcW w:w="866" w:type="dxa"/>
          </w:tcPr>
          <w:p>
            <w:pPr>
              <w:pStyle w:val="Compact"/>
              <w:spacing w:before="0" w:after="0" w:lineRule="exact" w:line="220"/>
              <w:jc w:val="left"/>
            </w:pPr>
            <w:r>
              <w:rPr>
                <w:sz w:val="18"/>
              </w:rPr>
              <w:t xml:space="preserve">181</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74"/>
        <w:gridCol w:w="1342"/>
        <w:gridCol w:w="1605"/>
        <w:gridCol w:w="750"/>
        <w:gridCol w:w="1510"/>
        <w:gridCol w:w="1320"/>
      </w:tblGrid>
      <w:tr>
        <w:trPr>
          <w:tblHeader w:val="true"/>
          <w:cantSplit/>
          <w:tblHeader/>
        </w:trPr>
        <w:tc>
          <w:tcPr>
            <w:tcW w:w="1974" w:type="dxa"/>
            <w:tcBorders>
              <w:bottom w:val="single" w:sz="5" w:space="0" w:color="000000"/>
            </w:tcBorders>
          </w:tcPr>
          <w:p>
            <w:pPr>
              <w:pStyle w:val="Compact"/>
              <w:keepNext/>
              <w:spacing w:before="0" w:after="0" w:lineRule="exact" w:line="220"/>
              <w:jc w:val="left"/>
            </w:pPr>
            <w:r>
              <w:rPr>
                <w:b/>
                <w:sz w:val="18"/>
              </w:rPr>
              <w:t xml:space="preserve">Check</w:t>
            </w:r>
          </w:p>
        </w:tc>
        <w:tc>
          <w:tcPr>
            <w:tcW w:w="1342" w:type="dxa"/>
            <w:tcBorders>
              <w:bottom w:val="single" w:sz="5" w:space="0" w:color="000000"/>
            </w:tcBorders>
          </w:tcPr>
          <w:p>
            <w:pPr>
              <w:pStyle w:val="Compact"/>
              <w:keepNext/>
              <w:spacing w:before="0" w:after="0" w:lineRule="exact" w:line="220"/>
              <w:jc w:val="left"/>
            </w:pPr>
            <w:r>
              <w:rPr>
                <w:b/>
                <w:sz w:val="18"/>
              </w:rPr>
              <w:t xml:space="preserve">Dependent variable</w:t>
            </w:r>
          </w:p>
        </w:tc>
        <w:tc>
          <w:tcPr>
            <w:tcW w:w="1605" w:type="dxa"/>
            <w:tcBorders>
              <w:bottom w:val="single" w:sz="5" w:space="0" w:color="000000"/>
            </w:tcBorders>
          </w:tcPr>
          <w:p>
            <w:pPr>
              <w:pStyle w:val="Compact"/>
              <w:keepNext/>
              <w:spacing w:before="0" w:after="0" w:lineRule="exact" w:line="220"/>
              <w:jc w:val="left"/>
            </w:pPr>
            <w:r>
              <w:rPr>
                <w:b/>
                <w:sz w:val="18"/>
              </w:rPr>
              <w:t xml:space="preserve">IndonesiaRegion</w:t>
            </w:r>
          </w:p>
        </w:tc>
        <w:tc>
          <w:tcPr>
            <w:tcW w:w="750" w:type="dxa"/>
            <w:tcBorders>
              <w:bottom w:val="single" w:sz="5" w:space="0" w:color="000000"/>
            </w:tcBorders>
          </w:tcPr>
          <w:p>
            <w:pPr>
              <w:pStyle w:val="Compact"/>
              <w:keepNext/>
              <w:spacing w:before="0" w:after="0" w:lineRule="exact" w:line="220"/>
              <w:jc w:val="left"/>
            </w:pPr>
            <w:r>
              <w:rPr>
                <w:b/>
                <w:sz w:val="18"/>
              </w:rPr>
              <w:t xml:space="preserve">p</w:t>
            </w:r>
          </w:p>
        </w:tc>
        <w:tc>
          <w:tcPr>
            <w:tcW w:w="1510" w:type="dxa"/>
            <w:tcBorders>
              <w:bottom w:val="single" w:sz="5" w:space="0" w:color="000000"/>
            </w:tcBorders>
          </w:tcPr>
          <w:p>
            <w:pPr>
              <w:pStyle w:val="Compact"/>
              <w:keepNext/>
              <w:spacing w:before="0" w:after="0" w:lineRule="exact" w:line="220"/>
              <w:jc w:val="left"/>
            </w:pPr>
            <w:r>
              <w:rPr>
                <w:b/>
                <w:sz w:val="18"/>
              </w:rPr>
              <w:t xml:space="preserve">Wild-bootstrap p</w:t>
            </w:r>
          </w:p>
        </w:tc>
        <w:tc>
          <w:tcPr>
            <w:tcW w:w="1320" w:type="dxa"/>
            <w:tcBorders>
              <w:bottom w:val="single" w:sz="5" w:space="0" w:color="000000"/>
            </w:tcBorders>
          </w:tcPr>
          <w:p>
            <w:pPr>
              <w:pStyle w:val="Compact"/>
              <w:keepNext/>
              <w:spacing w:before="0" w:after="0" w:lineRule="exact" w:line="220"/>
              <w:jc w:val="left"/>
            </w:pPr>
            <w:r>
              <w:rPr>
                <w:b/>
                <w:sz w:val="18"/>
              </w:rPr>
              <w:t xml:space="preserve">Observations</w:t>
            </w:r>
          </w:p>
        </w:tc>
      </w:tr>
      <w:tr>
        <w:trPr>
          <w:cantSplit/>
        </w:trPr>
        <w:tc>
          <w:tcPr>
            <w:tcW w:w="1974" w:type="dxa"/>
          </w:tcPr>
          <w:p>
            <w:pPr>
              <w:pStyle w:val="Compact"/>
              <w:keepNext/>
              <w:spacing w:before="0" w:after="0" w:lineRule="exact" w:line="220"/>
              <w:jc w:val="left"/>
            </w:pPr>
            <w:r>
              <w:rPr>
                <w:sz w:val="18"/>
              </w:rPr>
              <w:t xml:space="preserve">Table 4, column (3)</w:t>
            </w:r>
          </w:p>
        </w:tc>
        <w:tc>
          <w:tcPr>
            <w:tcW w:w="1342" w:type="dxa"/>
          </w:tcPr>
          <w:p>
            <w:pPr>
              <w:pStyle w:val="Compact"/>
              <w:keepNext/>
              <w:spacing w:before="0" w:after="0" w:lineRule="exact" w:line="220"/>
              <w:jc w:val="left"/>
            </w:pPr>
            <w:r>
              <w:rPr>
                <w:sz w:val="18"/>
              </w:rPr>
              <w:t xml:space="preserve">ln(Wedge)</w:t>
            </w:r>
          </w:p>
        </w:tc>
        <w:tc>
          <w:tcPr>
            <w:tcW w:w="1605" w:type="dxa"/>
          </w:tcPr>
          <w:p>
            <w:pPr>
              <w:pStyle w:val="Compact"/>
              <w:keepNext/>
              <w:spacing w:before="0" w:after="0" w:lineRule="exact" w:line="220"/>
              <w:jc w:val="left"/>
            </w:pPr>
            <w:r>
              <w:rPr>
                <w:sz w:val="18"/>
              </w:rPr>
              <w:t xml:space="preserve">0.080</w:t>
            </w:r>
          </w:p>
        </w:tc>
        <w:tc>
          <w:tcPr>
            <w:tcW w:w="750" w:type="dxa"/>
          </w:tcPr>
          <w:p>
            <w:pPr>
              <w:pStyle w:val="Compact"/>
              <w:keepNext/>
              <w:spacing w:before="0" w:after="0" w:lineRule="exact" w:line="220"/>
              <w:jc w:val="left"/>
            </w:pPr>
            <w:r>
              <w:rPr>
                <w:sz w:val="18"/>
              </w:rPr>
              <w:t xml:space="preserve">0.841</w:t>
            </w:r>
          </w:p>
        </w:tc>
        <w:tc>
          <w:tcPr>
            <w:tcW w:w="1510" w:type="dxa"/>
          </w:tcPr>
          <w:p>
            <w:pPr>
              <w:pStyle w:val="Compact"/>
              <w:keepNext/>
              <w:spacing w:before="0" w:after="0" w:lineRule="exact" w:line="220"/>
              <w:jc w:val="left"/>
            </w:pPr>
            <w:r>
              <w:rPr>
                <w:sz w:val="18"/>
              </w:rPr>
              <w:t xml:space="preserve">0.866</w:t>
            </w:r>
          </w:p>
        </w:tc>
        <w:tc>
          <w:tcPr>
            <w:tcW w:w="1320" w:type="dxa"/>
          </w:tcPr>
          <w:p>
            <w:pPr>
              <w:pStyle w:val="Compact"/>
              <w:keepNext/>
              <w:spacing w:before="0" w:after="0" w:lineRule="exact" w:line="220"/>
              <w:jc w:val="left"/>
            </w:pPr>
            <w:r>
              <w:rPr>
                <w:sz w:val="18"/>
              </w:rPr>
              <w:t xml:space="preserve">178</w:t>
            </w:r>
          </w:p>
        </w:tc>
      </w:tr>
      <w:tr>
        <w:trPr>
          <w:cantSplit/>
        </w:trPr>
        <w:tc>
          <w:tcPr>
            <w:tcW w:w="1974" w:type="dxa"/>
          </w:tcPr>
          <w:p>
            <w:pPr>
              <w:pStyle w:val="Compact"/>
              <w:keepNext/>
              <w:spacing w:before="0" w:after="0" w:lineRule="exact" w:line="220"/>
              <w:jc w:val="left"/>
            </w:pPr>
            <w:r>
              <w:rPr>
                <w:sz w:val="18"/>
              </w:rPr>
              <w:t xml:space="preserve">Table 4, column (6)</w:t>
            </w:r>
          </w:p>
        </w:tc>
        <w:tc>
          <w:tcPr>
            <w:tcW w:w="1342" w:type="dxa"/>
          </w:tcPr>
          <w:p>
            <w:pPr>
              <w:pStyle w:val="Compact"/>
              <w:keepNext/>
              <w:spacing w:before="0" w:after="0" w:lineRule="exact" w:line="220"/>
              <w:jc w:val="left"/>
            </w:pPr>
            <w:r>
              <w:rPr>
                <w:sz w:val="18"/>
              </w:rPr>
              <w:t xml:space="preserve">Ecosystem ratio</w:t>
            </w:r>
          </w:p>
        </w:tc>
        <w:tc>
          <w:tcPr>
            <w:tcW w:w="1605" w:type="dxa"/>
          </w:tcPr>
          <w:p>
            <w:pPr>
              <w:pStyle w:val="Compact"/>
              <w:keepNext/>
              <w:spacing w:before="0" w:after="0" w:lineRule="exact" w:line="220"/>
              <w:jc w:val="left"/>
            </w:pPr>
            <w:r>
              <w:rPr>
                <w:sz w:val="18"/>
              </w:rPr>
              <w:t xml:space="preserve">17.092</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0.005</w:t>
            </w:r>
          </w:p>
        </w:tc>
        <w:tc>
          <w:tcPr>
            <w:tcW w:w="1320" w:type="dxa"/>
          </w:tcPr>
          <w:p>
            <w:pPr>
              <w:pStyle w:val="Compact"/>
              <w:keepNext/>
              <w:spacing w:before="0" w:after="0" w:lineRule="exact" w:line="220"/>
              <w:jc w:val="left"/>
            </w:pPr>
            <w:r>
              <w:rPr>
                <w:sz w:val="18"/>
              </w:rPr>
              <w:t xml:space="preserve">178</w:t>
            </w:r>
          </w:p>
        </w:tc>
      </w:tr>
      <w:tr>
        <w:trPr>
          <w:cantSplit/>
        </w:trPr>
        <w:tc>
          <w:tcPr>
            <w:tcW w:w="1974" w:type="dxa"/>
          </w:tcPr>
          <w:p>
            <w:pPr>
              <w:pStyle w:val="Compact"/>
              <w:spacing w:before="0" w:after="0" w:lineRule="exact" w:line="220"/>
              <w:jc w:val="left"/>
            </w:pPr>
            <w:r>
              <w:rPr>
                <w:sz w:val="18"/>
              </w:rPr>
              <w:t xml:space="preserve">Without Blibli</w:t>
            </w:r>
          </w:p>
        </w:tc>
        <w:tc>
          <w:tcPr>
            <w:tcW w:w="1342"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0.267; 15.330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Bukalapak</w:t>
            </w:r>
          </w:p>
        </w:tc>
        <w:tc>
          <w:tcPr>
            <w:tcW w:w="1342"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-0.256; 16.072</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GoTo (on-demand)</w:t>
            </w:r>
          </w:p>
        </w:tc>
        <w:tc>
          <w:tcPr>
            <w:tcW w:w="1342"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0.148; 18.344</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Grab (on-demand)</w:t>
            </w:r>
          </w:p>
        </w:tc>
        <w:tc>
          <w:tcPr>
            <w:tcW w:w="1342"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0.023; 17.803</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Tokopedia</w:t>
            </w:r>
          </w:p>
        </w:tc>
        <w:tc>
          <w:tcPr>
            <w:tcW w:w="1342"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0.104; 16.620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year dummies</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-0.302</w:t>
            </w:r>
          </w:p>
        </w:tc>
        <w:tc>
          <w:tcPr>
            <w:tcW w:w="750" w:type="dxa"/>
          </w:tcPr>
          <w:p>
            <w:pPr>
              <w:pStyle w:val="Compact"/>
              <w:spacing w:before="0" w:after="0" w:lineRule="exact" w:line="220"/>
              <w:jc w:val="left"/>
            </w:pPr>
            <w:r>
              <w:rPr>
                <w:sz w:val="18"/>
              </w:rPr>
              <w:t xml:space="preserve">0.395</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year dummies</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12.939</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total assets</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1.197</w:t>
            </w:r>
          </w:p>
        </w:tc>
        <w:tc>
          <w:tcPr>
            <w:tcW w:w="750" w:type="dxa"/>
          </w:tcPr>
          <w:p>
            <w:pPr>
              <w:pStyle w:val="Compact"/>
              <w:spacing w:before="0" w:after="0" w:lineRule="exact" w:line="220"/>
              <w:jc w:val="left"/>
            </w:pPr>
            <w:r>
              <w:rPr>
                <w:sz w:val="18"/>
              </w:rPr>
              <w:t xml:space="preserve">0.246</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974" w:type="dxa"/>
          </w:tcPr>
          <w:p>
            <w:pPr>
              <w:pStyle w:val="Compact"/>
              <w:spacing w:before="0" w:after="0" w:lineRule="exact" w:line="220"/>
              <w:jc w:val="left"/>
            </w:pPr>
            <w:r>
              <w:rPr>
                <w:sz w:val="18"/>
              </w:rPr>
              <w:t xml:space="preserve">Without total assets</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17.027</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974" w:type="dxa"/>
          </w:tcPr>
          <w:p>
            <w:pPr>
              <w:pStyle w:val="Compact"/>
              <w:spacing w:before="0" w:after="0" w:lineRule="exact" w:line="220"/>
              <w:jc w:val="left"/>
            </w:pPr>
            <w:r>
              <w:rPr>
                <w:sz w:val="18"/>
              </w:rPr>
              <w:t xml:space="preserve">Without years before listing</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-0.113</w:t>
            </w:r>
          </w:p>
        </w:tc>
        <w:tc>
          <w:tcPr>
            <w:tcW w:w="750" w:type="dxa"/>
          </w:tcPr>
          <w:p>
            <w:pPr>
              <w:pStyle w:val="Compact"/>
              <w:spacing w:before="0" w:after="0" w:lineRule="exact" w:line="220"/>
              <w:jc w:val="left"/>
            </w:pPr>
            <w:r>
              <w:rPr>
                <w:sz w:val="18"/>
              </w:rPr>
              <w:t xml:space="preserve">0.711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974" w:type="dxa"/>
          </w:tcPr>
          <w:p>
            <w:pPr>
              <w:pStyle w:val="Compact"/>
              <w:spacing w:before="0" w:after="0" w:lineRule="exact" w:line="220"/>
              <w:jc w:val="left"/>
            </w:pPr>
            <w:r>
              <w:rPr>
                <w:sz w:val="18"/>
              </w:rPr>
              <w:t xml:space="preserve">Without years before listing</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16.244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974" w:type="dxa"/>
          </w:tcPr>
          <w:p>
            <w:pPr>
              <w:pStyle w:val="Compact"/>
              <w:spacing w:before="0" w:after="0" w:lineRule="exact" w:line="220"/>
              <w:jc w:val="left"/>
            </w:pPr>
            <w:r>
              <w:rPr>
                <w:sz w:val="18"/>
              </w:rPr>
              <w:t xml:space="preserve">Without Alibaba, Pinduoduo, Rakuten and Shopify</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0.383</w:t>
            </w:r>
          </w:p>
        </w:tc>
        <w:tc>
          <w:tcPr>
            <w:tcW w:w="750" w:type="dxa"/>
          </w:tcPr>
          <w:p>
            <w:pPr>
              <w:pStyle w:val="Compact"/>
              <w:spacing w:before="0" w:after="0" w:lineRule="exact" w:line="220"/>
              <w:jc w:val="left"/>
            </w:pPr>
            <w:r>
              <w:rPr>
                <w:sz w:val="18"/>
              </w:rPr>
              <w:t xml:space="preserve">0.394</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Alibaba, Pinduoduo, Rakuten and Shopify</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20.954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 a dummy for emerging home markets</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0.065</w:t>
            </w:r>
          </w:p>
        </w:tc>
        <w:tc>
          <w:tcPr>
            <w:tcW w:w="750" w:type="dxa"/>
          </w:tcPr>
          <w:p>
            <w:pPr>
              <w:pStyle w:val="Compact"/>
              <w:spacing w:before="0" w:after="0" w:lineRule="exact" w:line="220"/>
              <w:jc w:val="left"/>
            </w:pPr>
            <w:r>
              <w:rPr>
                <w:sz w:val="18"/>
              </w:rPr>
              <w:t xml:space="preserve">0.869</w:t>
            </w:r>
          </w:p>
        </w:tc>
        <w:tc>
          <w:tcPr>
            <w:tcW w:w="1510" w:type="dxa"/>
          </w:tcPr>
          <w:p>
            <w:pPr>
              <w:pStyle w:val="Compact"/>
              <w:spacing w:before="0" w:after="0" w:lineRule="exact" w:line="220"/>
              <w:jc w:val="left"/>
            </w:pPr>
            <w:r>
              <w:rPr>
                <w:sz w:val="18"/>
              </w:rPr>
              <w:t xml:space="preserve">0.886</w:t>
            </w: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 a dummy for emerging home markets</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16.888</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r>
              <w:rPr>
                <w:sz w:val="18"/>
              </w:rPr>
              <w:t xml:space="preserve">0.027</w:t>
            </w:r>
          </w:p>
        </w:tc>
        <w:tc>
          <w:tcPr>
            <w:tcW w:w="1320" w:type="dxa"/>
          </w:tcPr>
          <w:p>
            <w:pPr>
              <w:pStyle w:val="Compac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Without the six platforms with an ambiguous main market (Sea, Jumia, Mercado Libre, Despegar, Shopify, Fiverr)</w:t>
            </w:r>
          </w:p>
        </w:tc>
        <w:tc>
          <w:tcPr>
            <w:tcW w:w="1342"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0.145</w:t>
            </w:r>
          </w:p>
        </w:tc>
        <w:tc>
          <w:tcPr>
            <w:tcW w:w="750" w:type="dxa"/>
          </w:tcPr>
          <w:p>
            <w:pPr>
              <w:pStyle w:val="Compact"/>
              <w:spacing w:before="0" w:after="0" w:lineRule="exact" w:line="220"/>
              <w:jc w:val="left"/>
            </w:pPr>
            <w:r>
              <w:rPr>
                <w:sz w:val="18"/>
              </w:rPr>
              <w:t xml:space="preserve">0.743</w:t>
            </w:r>
          </w:p>
        </w:tc>
        <w:tc>
          <w:tcPr>
            <w:tcW w:w="1510" w:type="dxa"/>
          </w:tcPr>
          <w:p>
            <w:pPr>
              <w:pStyle w:val="Compact"/>
              <w:spacing w:before="0" w:after="0" w:lineRule="exact" w:line="220"/>
              <w:jc w:val="left"/>
            </w:pPr>
            <w:r>
              <w:rPr>
                <w:sz w:val="18"/>
              </w:rPr>
              <w:t xml:space="preserve">0.801</w:t>
            </w:r>
          </w:p>
        </w:tc>
        <w:tc>
          <w:tcPr>
            <w:tcW w:w="1320" w:type="dxa"/>
          </w:tcPr>
          <w:p>
            <w:pPr>
              <w:pStyle w:val="Compact"/>
              <w:spacing w:before="0" w:after="0" w:lineRule="exact" w:line="220"/>
              <w:jc w:val="left"/>
            </w:pPr>
            <w:r>
              <w:rPr>
                <w:sz w:val="18"/>
              </w:rPr>
              <w:t xml:space="preserve">144</w:t>
            </w:r>
          </w:p>
        </w:tc>
      </w:tr>
      <w:tr>
        <w:trPr>
          <w:cantSplit/>
        </w:trPr>
        <w:tc>
          <w:tcPr>
            <w:tcW w:w="1974" w:type="dxa"/>
          </w:tcPr>
          <w:p>
            <w:pPr>
              <w:pStyle w:val="Compact"/>
              <w:spacing w:before="0" w:after="0" w:lineRule="exact" w:line="220"/>
              <w:jc w:val="left"/>
            </w:pPr>
            <w:r>
              <w:rPr>
                <w:sz w:val="18"/>
              </w:rPr>
              <w:t xml:space="preserve">Without the six platforms with an ambiguous main market (Sea, Jumia, Mercado Libre, Despegar, Shopify, Fiverr)</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16.974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r>
              <w:rPr>
                <w:sz w:val="18"/>
              </w:rPr>
              <w:t xml:space="preserve">0.024</w:t>
            </w:r>
          </w:p>
        </w:tc>
        <w:tc>
          <w:tcPr>
            <w:tcW w:w="1320" w:type="dxa"/>
          </w:tcPr>
          <w:p>
            <w:pPr>
              <w:pStyle w:val="Compact"/>
              <w:spacing w:before="0" w:after="0" w:lineRule="exact" w:line="220"/>
              <w:jc w:val="left"/>
            </w:pPr>
            <w:r>
              <w:rPr>
                <w:sz w:val="18"/>
              </w:rPr>
              <w:t xml:space="preserve">144</w:t>
            </w:r>
          </w:p>
        </w:tc>
      </w:tr>
      <w:tr>
        <w:trPr>
          <w:cantSplit/>
        </w:trPr>
        <w:tc>
          <w:tcPr>
            <w:tcW w:w="1974" w:type="dxa"/>
          </w:tcPr>
          <w:p>
            <w:pPr>
              <w:pStyle w:val="Compact"/>
              <w:keepNext/>
              <w:spacing w:before="0" w:after="0" w:lineRule="exact" w:line="220"/>
              <w:jc w:val="left"/>
            </w:pPr>
            <w:r>
              <w:rPr>
                <w:sz w:val="18"/>
              </w:rPr>
              <w:t xml:space="preserve">Natural logarithm of the ecosystem ratio</w:t>
            </w:r>
          </w:p>
        </w:tc>
        <w:tc>
          <w:tcPr>
            <w:tcW w:w="1342" w:type="dxa"/>
          </w:tcPr>
          <w:p>
            <w:pPr>
              <w:pStyle w:val="Compact"/>
              <w:keepNext/>
              <w:spacing w:before="0" w:after="0" w:lineRule="exact" w:line="220"/>
              <w:jc w:val="left"/>
            </w:pPr>
            <w:r>
              <w:rPr>
                <w:sz w:val="18"/>
              </w:rPr>
              <w:t xml:space="preserve">ln(Ecosystem ratio)</w:t>
            </w:r>
          </w:p>
        </w:tc>
        <w:tc>
          <w:tcPr>
            <w:tcW w:w="1605" w:type="dxa"/>
          </w:tcPr>
          <w:p>
            <w:pPr>
              <w:pStyle w:val="Compact"/>
              <w:keepNext/>
              <w:spacing w:before="0" w:after="0" w:lineRule="exact" w:line="220"/>
              <w:jc w:val="left"/>
            </w:pPr>
            <w:r>
              <w:rPr>
                <w:sz w:val="18"/>
              </w:rPr>
              <w:t xml:space="preserve">1.677</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0.006</w:t>
            </w:r>
          </w:p>
        </w:tc>
        <w:tc>
          <w:tcPr>
            <w:tcW w:w="1320" w:type="dxa"/>
          </w:tcPr>
          <w:p>
            <w:pPr>
              <w:pStyle w:val="Compact"/>
              <w:keepNext/>
              <w:spacing w:before="0" w:after="0" w:lineRule="exact" w:line="220"/>
              <w:jc w:val="left"/>
            </w:pPr>
          </w:p>
        </w:tc>
      </w:tr>
      <w:tr>
        <w:trPr>
          <w:cantSplit/>
        </w:trPr>
        <w:tc>
          <w:tcPr>
            <w:tcW w:w="1974" w:type="dxa"/>
          </w:tcPr>
          <w:p>
            <w:pPr>
              <w:pStyle w:val="Compact"/>
              <w:spacing w:before="0" w:after="0" w:lineRule="exact" w:line="220"/>
              <w:jc w:val="left"/>
            </w:pPr>
            <w:r>
              <w:rPr>
                <w:sz w:val="18"/>
              </w:rPr>
              <w:t xml:space="preserve">Ecosystem ratio not capped</w:t>
            </w:r>
          </w:p>
        </w:tc>
        <w:tc>
          <w:tcPr>
            <w:tcW w:w="1342"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28.550</w:t>
            </w:r>
          </w:p>
        </w:tc>
        <w:tc>
          <w:tcPr>
            <w:tcW w:w="750" w:type="dxa"/>
          </w:tcPr>
          <w:p>
            <w:pPr>
              <w:pStyle w:val="Compact"/>
              <w:spacing w:before="0" w:after="0" w:lineRule="exact" w:line="220"/>
              <w:jc w:val="left"/>
            </w:pPr>
            <w:r>
              <w:rPr>
                <w:sz w:val="18"/>
              </w:rPr>
              <w:t xml:space="preserve">0.008</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bl>
    <w:bookmarkEnd w:id="102"/>
    <w:bookmarkEnd w:id="103"/>
    <w:bookmarkStart w:id="104" w:name="Xdeb489f8fdbeb3bc3b6e07c1768976c94f8af49"/>
    <w:p>
      <w:pPr>
        <w:pStyle w:val="Heading2"/>
      </w:pPr>
      <w:r>
        <w:t xml:space="preserve">Appendix D.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104"/>
    <w:bookmarkStart w:id="105" w:name="Xecbd4fe58fbe96cdac50dc82b61237ce64cf196"/>
    <w:p>
      <w:pPr>
        <w:pStyle w:val="Heading2"/>
      </w:pPr>
      <w:r>
        <w:t xml:space="preserve">Appendix E.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5"/>
    <w:bookmarkEnd w:id="106"/>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200" w:line="312" w:lineRule="auto"/>
      <w:jc w:val="center"/>
    </w:pPr>
    <w:rPr>
      <w:rFonts w:ascii="Times New Roman" w:cs="Times New Roman" w:eastAsia="DFKai-SB" w:hAnsi="Times New Roman"/>
      <w:b w:val="0"/>
      <w:i w:val="0"/>
      <w:color w:val="000000"/>
      <w:sz w:val="36"/>
    </w:rPr>
  </w:style>
  <w:style w:customStyle="1" w:styleId="TPTitle" w:type="paragraph">
    <w:name w:val="TP Title"/>
    <w:basedOn w:val="Normal"/>
    <w:pPr>
      <w:spacing w:after="0" w:before="200" w:line="312" w:lineRule="auto"/>
      <w:jc w:val="center"/>
    </w:pPr>
    <w:rPr>
      <w:rFonts w:ascii="Times New Roman" w:cs="Times New Roman" w:eastAsia="DFKai-SB" w:hAnsi="Times New Roman"/>
      <w:b w:val="0"/>
      <w:i w:val="0"/>
      <w:color w:val="000000"/>
      <w:sz w:val="28"/>
    </w:rPr>
  </w:style>
  <w:style w:customStyle="1" w:styleId="TPLine" w:type="paragraph">
    <w:name w:val="TP Line"/>
    <w:basedOn w:val="Normal"/>
    <w:pPr>
      <w:spacing w:after="0" w:before="0" w:line="336" w:lineRule="auto"/>
      <w:jc w:val="center"/>
    </w:pPr>
    <w:rPr>
      <w:rFonts w:ascii="Times New Roman" w:cs="Times New Roman" w:eastAsia="DFKai-SB" w:hAnsi="Times New Roman"/>
      <w:b w:val="0"/>
      <w:i w:val="0"/>
      <w:color w:val="000000"/>
      <w:sz w:val="28"/>
    </w:rPr>
  </w:style>
  <w:style w:customStyle="1" w:styleId="TPPeople" w:type="paragraph">
    <w:name w:val="TP People"/>
    <w:basedOn w:val="Normal"/>
    <w:pPr>
      <w:spacing w:after="0" w:before="280" w:line="336" w:lineRule="auto"/>
      <w:jc w:val="center"/>
    </w:pPr>
    <w:rPr>
      <w:rFonts w:ascii="Times New Roman" w:cs="Times New Roman" w:eastAsia="DFKai-SB" w:hAnsi="Times New Roman"/>
      <w:b w:val="0"/>
      <w:i w:val="0"/>
      <w:color w:val="000000"/>
      <w:sz w:val="28"/>
    </w:rPr>
  </w:style>
  <w:style w:customStyle="1" w:styleId="TPBlock" w:type="paragraph">
    <w:name w:val="TP Block"/>
    <w:basedOn w:val="Normal"/>
    <w:pPr>
      <w:spacing w:after="0" w:before="0" w:line="336" w:lineRule="auto"/>
      <w:jc w:val="center"/>
    </w:pPr>
    <w:rPr>
      <w:rFonts w:ascii="Times New Roman" w:cs="Times New Roman" w:eastAsia="DFKai-SB" w:hAnsi="Times New Roman"/>
      <w:b w:val="0"/>
      <w:i w:val="0"/>
      <w:color w:val="000000"/>
      <w:sz w:val="28"/>
    </w:rPr>
  </w:style>
  <w:style w:customStyle="1" w:styleId="TPGap" w:type="paragraph">
    <w:name w:val="TP Gap"/>
    <w:basedOn w:val="Normal"/>
    <w:pPr>
      <w:spacing w:after="0" w:before="400" w:line="336" w:lineRule="auto"/>
      <w:jc w:val="center"/>
    </w:pPr>
    <w:rPr>
      <w:rFonts w:ascii="Times New Roman" w:cs="Times New Roman" w:eastAsia="DFKai-SB" w:hAnsi="Times New Roman"/>
      <w:b w:val="0"/>
      <w:i w:val="0"/>
      <w:color w:val="000000"/>
      <w:sz w:val="28"/>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InsertMarker">
    <w:name w:val="Insert Marker"/>
    <w:basedOn w:val="BodyText"/>
    <w:qFormat/>
  </w:style>
  <w:style w:type="paragraph" w:customStyle="1" w:styleId="PageStart">
    <w:name w:val="Page Star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2026-10-25T15:49:42Z</dcterms:created>
  <dcterms:modified xsi:type="dcterms:W3CDTF">2026-10-25T15:49:42Z</dcterms:modified>
</cp:coreProperties>
</file>

<file path=docProps/custom.xml><?xml version="1.0" encoding="utf-8"?>
<Properties xmlns="http://schemas.openxmlformats.org/officeDocument/2006/custom-properties" xmlns:vt="http://schemas.openxmlformats.org/officeDocument/2006/docPropsVTypes"/>
</file>