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r>
        <w:t xml:space="preserve"> </w:t>
      </w:r>
      <w:r>
        <w:t xml:space="preserve">condensed</w:t>
      </w:r>
      <w:r>
        <w:t xml:space="preserve"> </w:t>
      </w:r>
      <w:r>
        <w:t xml:space="preserve">version</w:t>
      </w:r>
    </w:p>
    <w:bookmarkStart w:id="20" w:name="abstract"/>
    <w:p>
      <w:pPr>
        <w:pStyle w:val="Heading1"/>
      </w:pPr>
      <w:r>
        <w:t xml:space="preserve">Abstract</w:t>
      </w:r>
    </w:p>
    <w:p>
      <w:pPr>
        <w:pStyle w:val="FirstParagraph"/>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bookmarkEnd w:id="20"/>
    <w:bookmarkStart w:id="24"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rPr>
          <w:bCs/>
          <w:b/>
        </w:rPr>
        <w:t xml:space="preserve">Indonesia in 2023 offers a striking example, as its figures moved away from the commerce they stand for.</w:t>
      </w:r>
      <w:r>
        <w:t xml:space="preserve"> </w:t>
      </w:r>
      <w:r>
        <w:t xml:space="preserve">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w:t>
      </w:r>
      <w:r>
        <w:t xml:space="preserve"> </w:t>
      </w:r>
      <w:r>
        <w:rPr>
          <w:bCs/>
          <w:b/>
        </w:rPr>
        <w:t xml:space="preserve">This thesis calls what a revenue-only measure leaves out the invisible wedge.</w:t>
      </w:r>
      <w:r>
        <w:t xml:space="preserve"> </w:t>
      </w:r>
      <w:r>
        <w:t xml:space="preserve">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w:t>
      </w:r>
      <w:r>
        <w:t xml:space="preserve"> </w:t>
      </w:r>
      <w:r>
        <w:rPr>
          <w:bCs/>
          <w:b/>
        </w:rPr>
        <w:t xml:space="preserve">However, it does not say when a figure stops moving with the activity it represents, or by how much.</w:t>
      </w:r>
      <w:r>
        <w:t xml:space="preserve"> </w:t>
      </w:r>
      <w:r>
        <w:t xml:space="preserve">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probably because they cover different sellers: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1"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rPr>
          <w:bCs/>
          <w:b/>
        </w:rPr>
        <w:t xml:space="preserve">Measuring what the current figures miss begins with one question: how much economic activity remains invisible when digital platforms are measured through their reported revenue, and when does that choice change the conclusion about growth?</w:t>
      </w:r>
      <w:r>
        <w:t xml:space="preserve"> </w:t>
      </w:r>
      <w:r>
        <w:t xml:space="preserve">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w:t>
      </w:r>
      <w:r>
        <w:t xml:space="preserve"> </w:t>
      </w:r>
      <w:r>
        <w:rPr>
          <w:bCs/>
          <w:b/>
        </w:rPr>
        <w:t xml:space="preserve">H1 says that a platform’s revenue grows in proportion to its transaction value.</w:t>
      </w:r>
      <w:r>
        <w:t xml:space="preserve"> </w:t>
      </w:r>
      <w:r>
        <w:rPr>
          <w:bCs/>
          <w:b/>
        </w:rPr>
        <w:t xml:space="preserve">H2 says that national e-commerce growth comes mainly from more businesses selling online, and less from higher sales per business.</w:t>
      </w:r>
      <w:r>
        <w:t xml:space="preserve"> </w:t>
      </w:r>
      <w:r>
        <w:t xml:space="preserve">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w:t>
      </w:r>
      <w:r>
        <w:t xml:space="preserve"> </w:t>
      </w:r>
      <w:r>
        <w:rPr>
          <w:bCs/>
          <w:b/>
        </w:rPr>
        <w:t xml:space="preserve">National growth came mainly from more sellers, as H2 states.</w:t>
      </w:r>
      <w:r>
        <w:t xml:space="preserve"> </w:t>
      </w:r>
      <w:r>
        <w:rPr>
          <w:bCs/>
          <w:b/>
        </w:rPr>
        <w:t xml:space="preserve">But the registered entry test fails, and about half of the 2023 rise in the count of sellers is not explained by first-time entry.</w:t>
      </w:r>
      <w:r>
        <w:t xml:space="preserve"> </w:t>
      </w:r>
      <w:r>
        <w:t xml:space="preserve">Finally, the thesis finds that the new marketplace tax can collect from at most about 1 in 20 online sellers.</w:t>
      </w:r>
    </w:p>
    <w:bookmarkEnd w:id="21"/>
    <w:bookmarkStart w:id="22"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2"/>
    <w:bookmarkStart w:id="23"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3"/>
    <w:bookmarkEnd w:id="24"/>
    <w:bookmarkStart w:id="29"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w:t>
      </w:r>
      <w:r>
        <w:t xml:space="preserve"> </w:t>
      </w:r>
      <w:r>
        <w:rPr>
          <w:bCs/>
          <w:b/>
        </w:rPr>
        <w:t xml:space="preserve">Each body of research explains why the figures differ, but none measures how far they differ in practice.</w:t>
      </w:r>
      <w:r>
        <w:t xml:space="preserve"> </w:t>
      </w:r>
      <w:r>
        <w:t xml:space="preserve">Section 2.4 sets out this research gap.</w:t>
      </w:r>
    </w:p>
    <w:bookmarkStart w:id="25"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w:t>
      </w:r>
      <w:r>
        <w:t xml:space="preserve"> </w:t>
      </w:r>
      <w:r>
        <w:rPr>
          <w:bCs/>
          <w:b/>
        </w:rPr>
        <w:t xml:space="preserve">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w:t>
      </w:r>
      <w:r>
        <w:t xml:space="preserve"> </w:t>
      </w:r>
      <w:r>
        <w:rPr>
          <w:bCs/>
          <w:b/>
        </w:rPr>
        <w:t xml:space="preserve">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w:t>
      </w:r>
      <w:r>
        <w:t xml:space="preserve"> </w:t>
      </w:r>
      <w:r>
        <w:rPr>
          <w:bCs/>
          <w:b/>
        </w:rPr>
        <w:t xml:space="preserve">Testing whether revenue stays a fair guide needs the reported revenue and transaction value of the same platforms, over several years and on one definition.</w:t>
      </w:r>
      <w:r>
        <w:t xml:space="preserve"> </w:t>
      </w:r>
      <w:r>
        <w:t xml:space="preserve">The studies reviewed here do not make that comparison, and none covers Indonesian platforms.</w:t>
      </w:r>
    </w:p>
    <w:bookmarkEnd w:id="25"/>
    <w:bookmarkStart w:id="26"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w:t>
      </w:r>
      <w:r>
        <w:t xml:space="preserve"> </w:t>
      </w:r>
      <w:r>
        <w:rPr>
          <w:bCs/>
          <w:b/>
        </w:rPr>
        <w:t xml:space="preserve">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w:t>
      </w:r>
      <w:r>
        <w:t xml:space="preserve"> </w:t>
      </w:r>
      <w:r>
        <w:rPr>
          <w:bCs/>
          <w:b/>
        </w:rPr>
        <w:t xml:space="preserve">Published totals cannot show whether a rise in the count reflects new sellers or a wider survey, because they do not record when each seller began.</w:t>
      </w:r>
      <w:r>
        <w:t xml:space="preserve"> </w:t>
      </w:r>
      <w:r>
        <w:t xml:space="preserve">That question needs the answers of the sellers themselves.</w:t>
      </w:r>
    </w:p>
    <w:bookmarkEnd w:id="26"/>
    <w:bookmarkStart w:id="27"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 and platform-mediated activity can create traces outside conventional records (Barrios, Hochberg and Yi 2022; Denes, Lagaras and Tsoutsoura 2025).</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w:t>
      </w:r>
      <w:r>
        <w:t xml:space="preserve"> </w:t>
      </w:r>
      <w:r>
        <w:rPr>
          <w:bCs/>
          <w:b/>
        </w:rPr>
        <w:t xml:space="preserve">How far a rule built on platform records can reach depends on how much selling happens on platforms.</w:t>
      </w:r>
      <w:r>
        <w:t xml:space="preserve"> </w:t>
      </w:r>
      <w:r>
        <w:t xml:space="preserve">The studies reviewed here do not estimate that share for Indonesia.</w:t>
      </w:r>
    </w:p>
    <w:bookmarkEnd w:id="27"/>
    <w:bookmarkStart w:id="28"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8"/>
    <w:bookmarkEnd w:id="29"/>
    <w:bookmarkStart w:id="39"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w:t>
      </w:r>
      <w:r>
        <w:t xml:space="preserve"> </w:t>
      </w:r>
      <w:r>
        <w:rPr>
          <w:bCs/>
          <w:b/>
        </w:rPr>
        <w:t xml:space="preserve">Revenue sits inside platform commerce, because a platform keeps only part of each sale.</w:t>
      </w:r>
      <w:r>
        <w:t xml:space="preserve"> </w:t>
      </w:r>
      <w:r>
        <w:rPr>
          <w:bCs/>
          <w:b/>
        </w:rPr>
        <w:t xml:space="preserve">Platform commerce sits inside all online commerce, because many sellers trade outside platforms.</w:t>
      </w:r>
      <w:r>
        <w:t xml:space="preserve"> </w:t>
      </w:r>
      <w:r>
        <w:t xml:space="preserve">The first hypothesis, H1, tests the inner link between revenue and platform commerce. The second, H2, tests the outer link between platform commerce and national online commerce.</w:t>
      </w:r>
    </w:p>
    <w:p>
      <w:pPr>
        <w:pStyle w:val="BodyText"/>
        <w:keepNext/>
        <w:spacing w:before="114" w:after="0" w:line="240" w:lineRule="auto"/>
        <w:jc w:val="center"/>
      </w:pPr>
      <w:r>
        <w:drawing>
          <wp:inline>
            <wp:extent cx="5537082" cy="3024000"/>
            <wp:effectExtent b="0" l="0" r="0" t="0"/>
            <wp:docPr descr="" title="" id="31" name="Picture"/>
            <a:graphic>
              <a:graphicData uri="http://schemas.openxmlformats.org/drawingml/2006/picture">
                <pic:pic>
                  <pic:nvPicPr>
                    <pic:cNvPr descr="figures/fig3_1_two_links.png" id="32" name="Picture"/>
                    <pic:cNvPicPr>
                      <a:picLocks noChangeArrowheads="1" noChangeAspect="1"/>
                    </pic:cNvPicPr>
                  </pic:nvPicPr>
                  <pic:blipFill>
                    <a:blip r:embed="rId30"/>
                    <a:stretch>
                      <a:fillRect/>
                    </a:stretch>
                  </pic:blipFill>
                  <pic:spPr bwMode="auto">
                    <a:xfrm>
                      <a:off x="0" y="0"/>
                      <a:ext cx="5537082" cy="3024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3.1. Three nested quantities and the two links.</w:t>
      </w:r>
      <w:r>
        <w:rPr>
          <w:sz w:val="16"/>
        </w:rPr>
        <w:t xml:space="preserve"> </w:t>
      </w:r>
      <w:r>
        <w:rPr>
          <w:sz w:val="16"/>
        </w:rPr>
        <w:t xml:space="preserve">Revenue sits inside platform commerce, which sits inside all online commerce. H1 tests the inner link and H2 the outer link.</w:t>
      </w:r>
    </w:p>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3"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3"/>
    <w:bookmarkStart w:id="34"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5.1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w:t>
      </w:r>
      <w:r>
        <w:t xml:space="preserve"> </w:t>
      </w:r>
      <w:r>
        <w:rPr>
          <w:bCs/>
          <w:b/>
        </w:rPr>
        <w:t xml:space="preserve">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w:t>
      </w:r>
      <w:r>
        <w:t xml:space="preserve"> </w:t>
      </w:r>
      <w:r>
        <w:rPr>
          <w:bCs/>
          <w:b/>
        </w:rPr>
        <w:t xml:space="preserve">So a large ecosystem ratio means that ordinary changes in fees or discounts can produce large swings in reported revenue growth.</w:t>
      </w:r>
    </w:p>
    <w:p>
      <w:pPr>
        <w:pStyle w:val="BodyText"/>
      </w:pPr>
      <w:r>
        <w:t xml:space="preserve">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(5)</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4"/>
    <w:bookmarkStart w:id="35"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Equation"/>
      </w:pPr>
      <w:r>
        <w:tab/>
        <w:t>g(R</w:t>
      </w:r>
      <w:r>
        <w:rPr>
          <w:vertAlign w:val="subscript"/>
        </w:rPr>
        <w:t xml:space="preserve">it</w:t>
      </w:r>
      <w:r>
        <w:t xml:space="preserve">) = a + b g(V</w:t>
      </w:r>
      <w:r>
        <w:rPr>
          <w:vertAlign w:val="subscript"/>
        </w:rPr>
        <w:t xml:space="preserve">it</w:t>
      </w:r>
      <w:r>
        <w:t xml:space="preserve">) + c Indonesia_i + d (Indonesia_i × g(V</w:t>
      </w:r>
      <w:r>
        <w:rPr>
          <w:vertAlign w:val="subscript"/>
        </w:rPr>
        <w:t xml:space="preserve">it</w:t>
      </w:r>
      <w:r>
        <w:t xml:space="preserve">)) + u</w:t>
      </w:r>
      <w:r>
        <w:rPr>
          <w:vertAlign w:val="subscript"/>
        </w:rPr>
        <w:t xml:space="preserve">it</w:t>
      </w:r>
      <w:r>
        <w:tab/>
        <w:t>(6)</w:t>
      </w:r>
    </w:p>
    <w:p>
      <w:pPr>
        <w:pStyle w:val="BodyText"/>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Equation"/>
      </w:pPr>
      <w:r>
        <w:tab/>
        <w:t>Y</w:t>
      </w:r>
      <w:r>
        <w:rPr>
          <w:vertAlign w:val="subscript"/>
        </w:rPr>
        <w:t xml:space="preserve">it</w:t>
      </w:r>
      <w:r>
        <w:t xml:space="preserve"> </w:t>
      </w:r>
      <w:r>
        <w:t xml:space="preserve">= </w:t>
      </w:r>
      <w:r>
        <w:rPr>
          <w:rFonts w:ascii="Cambria" w:hAnsi="Cambria" w:cs="Cambria" w:eastAsia="Cambria"/>
        </w:rPr>
        <w:t xml:space="preserve">α</w:t>
      </w:r>
      <w:r>
        <w:t xml:space="preserve"> + </w:t>
      </w:r>
      <w:r>
        <w:rPr>
          <w:rFonts w:ascii="Cambria" w:hAnsi="Cambria" w:cs="Cambria" w:eastAsia="Cambria"/>
        </w:rPr>
        <w:t xml:space="preserve">β</w:t>
      </w:r>
      <w:r>
        <w:t xml:space="preserve">1 Indonesia_i + </w:t>
      </w:r>
      <w:r>
        <w:rPr>
          <w:rFonts w:ascii="Cambria" w:hAnsi="Cambria" w:cs="Cambria" w:eastAsia="Cambria"/>
        </w:rPr>
        <w:t xml:space="preserve">β</w:t>
      </w:r>
      <w:r>
        <w:t xml:space="preserve">2 ln(1 + Listed</w:t>
      </w:r>
      <w:r>
        <w:rPr>
          <w:vertAlign w:val="subscript"/>
        </w:rPr>
        <w:t xml:space="preserve">it</w:t>
      </w:r>
      <w:r>
        <w:t xml:space="preserve">) + </w:t>
      </w:r>
      <w:r>
        <w:rPr>
          <w:rFonts w:ascii="Cambria" w:hAnsi="Cambria" w:cs="Cambria" w:eastAsia="Cambria"/>
        </w:rPr>
        <w:t xml:space="preserve">β</w:t>
      </w:r>
      <w:r>
        <w:t xml:space="preserve">3 ln(Assets</w:t>
      </w:r>
      <w:r>
        <w:rPr>
          <w:vertAlign w:val="subscript"/>
        </w:rPr>
        <w:t xml:space="preserve">it</w:t>
      </w:r>
      <w:r>
        <w:t xml:space="preserve">) + </w:t>
      </w:r>
      <w:r>
        <w:rPr>
          <w:rFonts w:ascii="Cambria" w:hAnsi="Cambria" w:cs="Cambria" w:eastAsia="Cambria"/>
        </w:rPr>
        <w:t xml:space="preserve">β</w:t>
      </w:r>
      <w:r>
        <w:t xml:space="preserve">4′ Type_i + </w:t>
      </w:r>
      <w:r>
        <w:rPr>
          <w:rFonts w:ascii="Cambria" w:hAnsi="Cambria" w:cs="Cambria" w:eastAsia="Cambria"/>
        </w:rPr>
        <w:t xml:space="preserve">γ</w:t>
      </w:r>
      <w:r>
        <w:t xml:space="preserve">′ Macro</w:t>
      </w:r>
      <w:r>
        <w:rPr>
          <w:vertAlign w:val="subscript"/>
        </w:rPr>
        <w:t xml:space="preserve">it</w:t>
      </w:r>
      <w:r>
        <w:t xml:space="preserve"> </w:t>
      </w:r>
      <w:r>
        <w:t xml:space="preserve">+ </w:t>
      </w:r>
      <w:r>
        <w:rPr>
          <w:rFonts w:ascii="Cambria" w:hAnsi="Cambria" w:cs="Cambria" w:eastAsia="Cambria"/>
        </w:rPr>
        <w:t xml:space="preserve">δ</w:t>
      </w:r>
      <w:r>
        <w:rPr>
          <w:vertAlign w:val="subscript"/>
        </w:rPr>
        <w:t xml:space="preserve">t</w:t>
      </w:r>
      <w:r>
        <w:t xml:space="preserve"> </w:t>
      </w:r>
      <w:r>
        <w:t xml:space="preserve">+ </w:t>
      </w:r>
      <w:r>
        <w:rPr>
          <w:rFonts w:ascii="Cambria" w:hAnsi="Cambria" w:cs="Cambria" w:eastAsia="Cambria"/>
        </w:rPr>
        <w:t xml:space="preserve">ε</w:t>
      </w:r>
      <w:r>
        <w:rPr>
          <w:vertAlign w:val="subscript"/>
        </w:rPr>
        <w:t xml:space="preserve">it</w:t>
      </w:r>
      <w:r>
        <w:tab/>
        <w:t>(7)</w:t>
      </w:r>
    </w:p>
    <w:p>
      <w:pPr>
        <w:pStyle w:val="BodyText"/>
      </w:pPr>
      <w:r>
        <w:t xml:space="preserve">where Y</w:t>
      </w:r>
      <w:r>
        <w:rPr>
          <w:vertAlign w:val="subscript"/>
        </w:rPr>
        <w:t xml:space="preserve">it</w:t>
      </w:r>
      <w:r>
        <w:t xml:space="preserve"> </w:t>
      </w:r>
      <w:r>
        <w:t xml:space="preserve">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w:t>
      </w:r>
      <w:r>
        <w:rPr>
          <w:rFonts w:ascii="Cambria" w:hAnsi="Cambria" w:cs="Cambria" w:eastAsia="Cambria"/>
        </w:rPr>
        <w:t xml:space="preserve">δ</w:t>
      </w:r>
      <w:r>
        <w:t xml:space="preserve">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5"/>
    <w:bookmarkStart w:id="36"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an ordinary least squares (OLS) regression of revenue growth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Equation"/>
      </w:pPr>
      <w:r>
        <w:tab/>
        <w:t>1 + g(Y</w:t>
      </w:r>
      <w:r>
        <w:rPr>
          <w:vertAlign w:val="subscript"/>
        </w:rPr>
        <w:t xml:space="preserve">t</w:t>
      </w:r>
      <w:r>
        <w:t xml:space="preserve">) = (1 + g(N</w:t>
      </w:r>
      <w:r>
        <w:rPr>
          <w:vertAlign w:val="subscript"/>
        </w:rPr>
        <w:t xml:space="preserve">t</w:t>
      </w:r>
      <w:r>
        <w:t xml:space="preserve">)) × (1 + g(Y</w:t>
      </w:r>
      <w:r>
        <w:rPr>
          <w:vertAlign w:val="subscript"/>
        </w:rPr>
        <w:t xml:space="preserve">t</w:t>
      </w:r>
      <w:r>
        <w:t xml:space="preserve"> </w:t>
      </w:r>
      <w:r>
        <w:t xml:space="preserve">/ N</w:t>
      </w:r>
      <w:r>
        <w:rPr>
          <w:vertAlign w:val="subscript"/>
        </w:rPr>
        <w:t xml:space="preserve">t</w:t>
      </w:r>
      <w:r>
        <w:t>))</w:t>
        <w:tab/>
        <w:t>(8)</w:t>
      </w:r>
    </w:p>
    <w:p>
      <w:pPr>
        <w:pStyle w:val="BodyText"/>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6"/>
    <w:bookmarkStart w:id="37"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w:t>
      </w:r>
      <w:r>
        <w:t xml:space="preserve"> </w:t>
      </w:r>
      <w:r>
        <w:rPr>
          <w:bCs/>
          <w:b/>
        </w:rPr>
        <w:t xml:space="preserve">The survey can, because it asks every seller in which year it began selling online.</w:t>
      </w:r>
      <w:r>
        <w:t xml:space="preserve"> </w:t>
      </w:r>
      <w:r>
        <w:t xml:space="preserve">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w:t>
      </w:r>
      <w:r>
        <w:t xml:space="preserve"> </w:t>
      </w:r>
      <w:r>
        <w:rPr>
          <w:bCs/>
          <w:b/>
        </w:rPr>
        <w:t xml:space="preserve">The threshold is the smallest share of new sellers that can produce the rise.</w:t>
      </w:r>
      <w:r>
        <w:t xml:space="preserve"> </w:t>
      </w:r>
      <w:r>
        <w:t xml:space="preserve">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7"/>
    <w:bookmarkStart w:id="38"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r>
      <w:r>
        <w:rPr>
          <w:rFonts w:ascii="Cambria" w:hAnsi="Cambria" w:cs="Cambria" w:eastAsia="Cambria"/>
        </w:rPr>
        <w:t xml:space="preserve">Δ</w:t>
      </w:r>
      <w:r>
        <w:t xml:space="preserve">ln MV</w:t>
      </w:r>
      <w:r>
        <w:rPr>
          <w:vertAlign w:val="subscript"/>
        </w:rPr>
        <w:t xml:space="preserve">it</w:t>
      </w:r>
      <w:r>
        <w:t xml:space="preserve"> </w:t>
      </w:r>
      <w:r>
        <w:t xml:space="preserve">= </w:t>
      </w:r>
      <w:r>
        <w:rPr>
          <w:rFonts w:ascii="Cambria" w:hAnsi="Cambria" w:cs="Cambria" w:eastAsia="Cambria"/>
        </w:rPr>
        <w:t xml:space="preserve">β</w:t>
      </w:r>
      <w:r>
        <w:rPr>
          <w:vertAlign w:val="subscript"/>
        </w:rPr>
        <w:t xml:space="preserve">V</w:t>
      </w:r>
      <w:r>
        <w:t xml:space="preserve"> </w:t>
      </w:r>
      <w:r>
        <w:rPr>
          <w:rFonts w:ascii="Cambria" w:hAnsi="Cambria" w:cs="Cambria" w:eastAsia="Cambria"/>
        </w:rPr>
        <w:t xml:space="preserve">Δ</w:t>
      </w:r>
      <w:r>
        <w:t xml:space="preserve">ln V</w:t>
      </w:r>
      <w:r>
        <w:rPr>
          <w:vertAlign w:val="subscript"/>
        </w:rPr>
        <w:t xml:space="preserve">it</w:t>
      </w:r>
      <w:r>
        <w:t xml:space="preserve"> </w:t>
      </w:r>
      <w:r>
        <w:t xml:space="preserve">+ </w:t>
      </w:r>
      <w:r>
        <w:rPr>
          <w:rFonts w:ascii="Cambria" w:hAnsi="Cambria" w:cs="Cambria" w:eastAsia="Cambria"/>
        </w:rPr>
        <w:t xml:space="preserve">β</w:t>
      </w:r>
      <w:r>
        <w:rPr>
          <w:vertAlign w:val="subscript"/>
        </w:rPr>
        <w:t xml:space="preserve">m</w:t>
      </w:r>
      <w:r>
        <w:t xml:space="preserve"> </w:t>
      </w:r>
      <w:r>
        <w:rPr>
          <w:rFonts w:ascii="Cambria" w:hAnsi="Cambria" w:cs="Cambria" w:eastAsia="Cambria"/>
        </w:rPr>
        <w:t xml:space="preserve">Δ</w:t>
      </w:r>
      <w:r>
        <w:t xml:space="preserve">ln m</w:t>
      </w:r>
      <w:r>
        <w:rPr>
          <w:vertAlign w:val="subscript"/>
        </w:rPr>
        <w:t xml:space="preserve">it</w:t>
      </w:r>
      <w:r>
        <w:t xml:space="preserve"> </w:t>
      </w:r>
      <w:r>
        <w:t>+ year effect + error</w:t>
        <w:tab/>
        <w:t>(9)</w:t>
      </w:r>
    </w:p>
    <w:p>
      <w:pPr>
        <w:pStyle w:val="BodyText"/>
      </w:pPr>
      <w:r>
        <w:t xml:space="preserve">where </w:t>
      </w:r>
      <w:r>
        <w:rPr>
          <w:rFonts w:ascii="Cambria" w:hAnsi="Cambria" w:cs="Cambria" w:eastAsia="Cambria"/>
        </w:rPr>
        <w:t xml:space="preserve">β</w:t>
      </w:r>
      <w:r>
        <w:rPr>
          <w:vertAlign w:val="subscript"/>
        </w:rPr>
        <w:t xml:space="preserve">V</w:t>
      </w:r>
      <w:r>
        <w:t xml:space="preserve"> </w:t>
      </w:r>
      <w:r>
        <w:t xml:space="preserve">shows how market value moves with transaction value, and </w:t>
      </w:r>
      <w:r>
        <w:rPr>
          <w:rFonts w:ascii="Cambria" w:hAnsi="Cambria" w:cs="Cambria" w:eastAsia="Cambria"/>
        </w:rPr>
        <w:t xml:space="preserve">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w:t>
      </w:r>
      <w:r>
        <w:rPr>
          <w:rFonts w:ascii="Cambria" w:hAnsi="Cambria" w:cs="Cambria" w:eastAsia="Cambria"/>
        </w:rPr>
        <w:t xml:space="preserve">β</w:t>
      </w:r>
      <w:r>
        <w:rPr>
          <w:vertAlign w:val="subscript"/>
        </w:rPr>
        <w:t xml:space="preserve">V</w:t>
      </w:r>
      <w:r>
        <w:t xml:space="preserve"> </w:t>
      </w:r>
      <w:r>
        <w:t xml:space="preserve">is positive. The second is that markets value growth from more commerce more than growth from a higher take rate, so </w:t>
      </w:r>
      <w:r>
        <w:rPr>
          <w:rFonts w:ascii="Cambria" w:hAnsi="Cambria" w:cs="Cambria" w:eastAsia="Cambria"/>
        </w:rPr>
        <w:t xml:space="preserve">β</w:t>
      </w:r>
      <w:r>
        <w:rPr>
          <w:vertAlign w:val="subscript"/>
        </w:rPr>
        <w:t xml:space="preserve">V</w:t>
      </w:r>
      <w:r>
        <w:t xml:space="preserve"> </w:t>
      </w:r>
      <w:r>
        <w:t xml:space="preserve">is larger than </w:t>
      </w:r>
      <w:r>
        <w:rPr>
          <w:rFonts w:ascii="Cambria" w:hAnsi="Cambria" w:cs="Cambria" w:eastAsia="Cambria"/>
        </w:rPr>
        <w:t xml:space="preserve">β</w:t>
      </w:r>
      <w:r>
        <w:rPr>
          <w:vertAlign w:val="subscript"/>
        </w:rPr>
        <w:t xml:space="preserve">m</w:t>
      </w:r>
      <w:r>
        <w:t xml:space="preserve">.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8"/>
    <w:bookmarkEnd w:id="39"/>
    <w:bookmarkStart w:id="51" w:name="chapter-4.-data-and-methods"/>
    <w:p>
      <w:pPr>
        <w:pStyle w:val="Heading1"/>
      </w:pPr>
      <w:r>
        <w:t xml:space="preserve">Chapter 4. Data and Methods</w:t>
      </w:r>
    </w:p>
    <w:p>
      <w:pPr>
        <w:pStyle w:val="FirstParagraph"/>
      </w:pPr>
      <w:r>
        <w:rPr>
          <w:bCs/>
          <w:b/>
        </w:rPr>
        <w:t xml:space="preserve">The figures this thesis compares come from sources that were never designed to be read together.</w:t>
      </w:r>
      <w:r>
        <w:t xml:space="preserve"> </w:t>
      </w:r>
      <w:r>
        <w:t xml:space="preserve">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rPr>
          <w:bCs/>
          <w:b/>
        </w:rPr>
        <w:t xml:space="preserve">Setting the two sides against each other for one country is what makes the tests possible.</w:t>
      </w:r>
      <w:r>
        <w:t xml:space="preserve"> </w:t>
      </w:r>
      <w:r>
        <w:t xml:space="preserve">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0"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40"/>
    <w:bookmarkStart w:id="41"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1"/>
    <w:bookmarkStart w:id="42"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w:t>
      </w:r>
      <w:r>
        <w:t xml:space="preserve"> </w:t>
      </w:r>
      <w:r>
        <w:rPr>
          <w:bCs/>
          <w:b/>
        </w:rPr>
        <w:t xml:space="preserve">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42"/>
    <w:bookmarkStart w:id="43"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3"/>
    <w:bookmarkStart w:id="44"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4"/>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5"/>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w:t>
      </w:r>
      <w:r>
        <w:t xml:space="preserve"> </w:t>
      </w:r>
      <w:r>
        <w:rPr>
          <w:bCs/>
          <w:b/>
        </w:rPr>
        <w:t xml:space="preserve">A registered test was written down, dated and stored in the repository before the data were opened.</w:t>
      </w:r>
      <w:r>
        <w:t xml:space="preserve"> </w:t>
      </w:r>
      <w:r>
        <w:t xml:space="preserve">This applies to the entry test, the scenario rules for value, the comparison with Bank Indonesia and the market-value test, among others. Appendix D lists them with their dates.</w:t>
      </w:r>
      <w:r>
        <w:t xml:space="preserve"> </w:t>
      </w:r>
      <w:r>
        <w:rPr>
          <w:bCs/>
          <w:b/>
        </w:rPr>
        <w:t xml:space="preserve">An exploratory test was designed after some results were seen.</w:t>
      </w:r>
      <w:r>
        <w:t xml:space="preserve"> </w:t>
      </w:r>
      <w:r>
        <w:t xml:space="preserve">The test with the larger groups in Section 4.3 belongs here, because it was set up after a first test on the three marketplaces.</w:t>
      </w:r>
      <w:r>
        <w:t xml:space="preserve"> </w:t>
      </w:r>
      <w:r>
        <w:rPr>
          <w:bCs/>
          <w:b/>
        </w:rPr>
        <w:t xml:space="preserve">A descriptive result reports numbers without a test.</w:t>
      </w:r>
    </w:p>
    <w:p>
      <w:pPr>
        <w:pStyle w:val="BodyText"/>
      </w:pPr>
      <w:r>
        <w:t xml:space="preserve">The World Bank indicators, the Bank for International Settlements policy rates and the total assets from the filings with the US Securities and Exchange Commission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2" w:name="how-much-revenue-leaves-out"/>
    <w:p>
      <w:pPr>
        <w:pStyle w:val="Heading2"/>
      </w:pPr>
      <w:r>
        <w:t xml:space="preserve">5.1 How much revenue leaves out</w:t>
      </w:r>
    </w:p>
    <w:p>
      <w:pPr>
        <w:pStyle w:val="FirstParagraph"/>
      </w:pPr>
      <w:r>
        <w:rPr>
          <w:bCs/>
          <w:b/>
        </w:rPr>
        <w:t xml:space="preserve">Revenue showed only a small part of what Indonesia’s major platforms carried.</w:t>
      </w:r>
      <w:r>
        <w:t xml:space="preserve"> </w:t>
      </w:r>
      <w:r>
        <w:t xml:space="preserve">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5.1 shows each platform.</w:t>
      </w:r>
    </w:p>
    <w:p>
      <w:pPr>
        <w:pStyle w:val="BodyText"/>
        <w:keepNext/>
        <w:spacing w:before="140" w:after="56" w:lineRule="exact" w:line="246"/>
        <w:jc w:val="left"/>
      </w:pPr>
      <w:r>
        <w:rPr>
          <w:b/>
          <w:sz w:val="17"/>
        </w:rPr>
        <w:t>Table 5.1.</w:t>
      </w:r>
      <w:r>
        <w:rPr>
          <w:b w:val="0"/>
          <w:sz w:val="17"/>
        </w:rPr>
        <w:t xml:space="preserve"> The invisible wedge of three platforms, 2023 (US$ billion)</w:t>
      </w:r>
    </w:p>
    <w:p>
      <w:pPr>
        <w:pStyle w:val="BodyText"/>
        <w:keepNext/>
        <w:spacing w:before="40" w:after="70" w:lineRule="exact" w:line="220"/>
        <w:jc w:val="left"/>
      </w:pPr>
      <w:r>
        <w:rPr>
          <w:color w:val="222222"/>
          <w:sz w:val="16"/>
        </w:rPr>
        <w:t xml:space="preserve">This table reports transaction value, revenue, the wedge (transaction value less revenue) and the ecosystem ratio (the wedge divided by revenue) for Tokopedia, Shopee in Indonesia and Grab in Indonesia in 2023. The last column states how each platform’s amounts are obtained. The total row is the sum of the three platforms and is not a national total.</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1340"/>
        <w:gridCol w:w="1398"/>
        <w:gridCol w:w="990"/>
        <w:gridCol w:w="816"/>
        <w:gridCol w:w="1224"/>
        <w:gridCol w:w="4429"/>
      </w:tblGrid>
      <w:tr>
        <w:trPr>
          <w:tblHeader w:val="true"/>
          <w:cantSplit/>
          <w:tblHeader/>
        </w:trPr>
        <w:tc>
          <w:tcPr>
            <w:tcW w:w="1340" w:type="dxa"/>
            <w:tcBorders>
              <w:bottom w:val="single" w:sz="4" w:space="0" w:color="111111"/>
            </w:tcBorders>
          </w:tcPr>
          <w:p>
            <w:pPr>
              <w:pStyle w:val="Compact"/>
              <w:keepNext/>
              <w:spacing w:before="0" w:after="0" w:lineRule="exact" w:line="200"/>
              <w:jc w:val="left"/>
            </w:pPr>
            <w:r>
              <w:rPr>
                <w:b/>
                <w:sz w:val="16"/>
              </w:rPr>
              <w:t xml:space="preserve">Platform</w:t>
            </w:r>
          </w:p>
        </w:tc>
        <w:tc>
          <w:tcPr>
            <w:tcW w:w="1398" w:type="dxa"/>
            <w:tcBorders>
              <w:bottom w:val="single" w:sz="4" w:space="0" w:color="111111"/>
            </w:tcBorders>
          </w:tcPr>
          <w:p>
            <w:pPr>
              <w:pStyle w:val="Compact"/>
              <w:keepNext/>
              <w:spacing w:before="0" w:after="0" w:lineRule="exact" w:line="200"/>
              <w:jc w:val="left"/>
            </w:pPr>
            <w:r>
              <w:rPr>
                <w:b/>
                <w:sz w:val="16"/>
              </w:rPr>
              <w:t xml:space="preserve">Transaction value</w:t>
            </w:r>
          </w:p>
        </w:tc>
        <w:tc>
          <w:tcPr>
            <w:tcW w:w="990" w:type="dxa"/>
            <w:tcBorders>
              <w:bottom w:val="single" w:sz="4" w:space="0" w:color="111111"/>
            </w:tcBorders>
          </w:tcPr>
          <w:p>
            <w:pPr>
              <w:pStyle w:val="Compact"/>
              <w:keepNext/>
              <w:spacing w:before="0" w:after="0" w:lineRule="exact" w:line="200"/>
              <w:jc w:val="left"/>
            </w:pPr>
            <w:r>
              <w:rPr>
                <w:b/>
                <w:sz w:val="16"/>
              </w:rPr>
              <w:t xml:space="preserve">Revenue</w:t>
            </w:r>
          </w:p>
        </w:tc>
        <w:tc>
          <w:tcPr>
            <w:tcW w:w="816" w:type="dxa"/>
            <w:tcBorders>
              <w:bottom w:val="single" w:sz="4" w:space="0" w:color="111111"/>
            </w:tcBorders>
          </w:tcPr>
          <w:p>
            <w:pPr>
              <w:pStyle w:val="Compact"/>
              <w:keepNext/>
              <w:spacing w:before="0" w:after="0" w:lineRule="exact" w:line="200"/>
              <w:jc w:val="left"/>
            </w:pPr>
            <w:r>
              <w:rPr>
                <w:b/>
                <w:sz w:val="16"/>
              </w:rPr>
              <w:t xml:space="preserve">Wedge</w:t>
            </w:r>
          </w:p>
        </w:tc>
        <w:tc>
          <w:tcPr>
            <w:tcW w:w="1224" w:type="dxa"/>
            <w:tcBorders>
              <w:bottom w:val="single" w:sz="4" w:space="0" w:color="111111"/>
            </w:tcBorders>
          </w:tcPr>
          <w:p>
            <w:pPr>
              <w:pStyle w:val="Compact"/>
              <w:keepNext/>
              <w:spacing w:before="0" w:after="0" w:lineRule="exact" w:line="200"/>
              <w:jc w:val="left"/>
            </w:pPr>
            <w:r>
              <w:rPr>
                <w:b/>
                <w:sz w:val="16"/>
              </w:rPr>
              <w:t xml:space="preserve">Ecosystem ratio</w:t>
            </w:r>
          </w:p>
        </w:tc>
        <w:tc>
          <w:tcPr>
            <w:tcW w:w="4429" w:type="dxa"/>
            <w:tcBorders>
              <w:bottom w:val="single" w:sz="4" w:space="0" w:color="111111"/>
            </w:tcBorders>
          </w:tcPr>
          <w:p>
            <w:pPr>
              <w:pStyle w:val="Compact"/>
              <w:keepNext/>
              <w:spacing w:before="0" w:after="0" w:lineRule="exact" w:line="200"/>
              <w:jc w:val="left"/>
            </w:pPr>
            <w:r>
              <w:rPr>
                <w:b/>
                <w:sz w:val="16"/>
              </w:rPr>
              <w:t xml:space="preserve">How it is labelled</w:t>
            </w:r>
          </w:p>
        </w:tc>
      </w:tr>
      <w:tr>
        <w:trPr>
          <w:cantSplit/>
        </w:trPr>
        <w:tc>
          <w:tcPr>
            <w:tcW w:w="1340" w:type="dxa"/>
          </w:tcPr>
          <w:p>
            <w:pPr>
              <w:pStyle w:val="Compact"/>
              <w:keepNext/>
              <w:spacing w:before="0" w:after="0" w:lineRule="exact" w:line="200"/>
              <w:jc w:val="left"/>
            </w:pPr>
            <w:r>
              <w:rPr>
                <w:sz w:val="16"/>
              </w:rPr>
              <w:t xml:space="preserve">Tokopedia</w:t>
            </w:r>
          </w:p>
        </w:tc>
        <w:tc>
          <w:tcPr>
            <w:tcW w:w="1398" w:type="dxa"/>
          </w:tcPr>
          <w:p>
            <w:pPr>
              <w:pStyle w:val="Compact"/>
              <w:keepNext/>
              <w:spacing w:before="0" w:after="0" w:lineRule="exact" w:line="200"/>
              <w:jc w:val="left"/>
            </w:pPr>
            <w:r>
              <w:rPr>
                <w:sz w:val="16"/>
              </w:rPr>
              <w:t xml:space="preserve">16.33</w:t>
            </w:r>
          </w:p>
        </w:tc>
        <w:tc>
          <w:tcPr>
            <w:tcW w:w="990" w:type="dxa"/>
          </w:tcPr>
          <w:p>
            <w:pPr>
              <w:pStyle w:val="Compact"/>
              <w:keepNext/>
              <w:spacing w:before="0" w:after="0" w:lineRule="exact" w:line="200"/>
              <w:jc w:val="left"/>
            </w:pPr>
            <w:r>
              <w:rPr>
                <w:sz w:val="16"/>
              </w:rPr>
              <w:t xml:space="preserve">0.41</w:t>
            </w:r>
          </w:p>
        </w:tc>
        <w:tc>
          <w:tcPr>
            <w:tcW w:w="816" w:type="dxa"/>
          </w:tcPr>
          <w:p>
            <w:pPr>
              <w:pStyle w:val="Compact"/>
              <w:keepNext/>
              <w:spacing w:before="0" w:after="0" w:lineRule="exact" w:line="200"/>
              <w:jc w:val="left"/>
            </w:pPr>
            <w:r>
              <w:rPr>
                <w:sz w:val="16"/>
              </w:rPr>
              <w:t xml:space="preserve">15.93</w:t>
            </w:r>
          </w:p>
        </w:tc>
        <w:tc>
          <w:tcPr>
            <w:tcW w:w="1224" w:type="dxa"/>
          </w:tcPr>
          <w:p>
            <w:pPr>
              <w:pStyle w:val="Compact"/>
              <w:keepNext/>
              <w:spacing w:before="0" w:after="0" w:lineRule="exact" w:line="200"/>
              <w:jc w:val="left"/>
            </w:pPr>
            <w:r>
              <w:rPr>
                <w:sz w:val="16"/>
              </w:rPr>
              <w:t xml:space="preserve">39.3</w:t>
            </w:r>
          </w:p>
        </w:tc>
        <w:tc>
          <w:tcPr>
            <w:tcW w:w="4429" w:type="dxa"/>
          </w:tcPr>
          <w:p>
            <w:pPr>
              <w:pStyle w:val="Compact"/>
              <w:keepNext/>
              <w:spacing w:before="0" w:after="0" w:lineRule="exact" w:line="200"/>
              <w:jc w:val="left"/>
            </w:pPr>
            <w:r>
              <w:rPr>
                <w:sz w:val="16"/>
              </w:rPr>
              <w:t xml:space="preserve">Both direct segment disclosure</w:t>
            </w:r>
          </w:p>
        </w:tc>
      </w:tr>
      <w:tr>
        <w:trPr>
          <w:cantSplit/>
        </w:trPr>
        <w:tc>
          <w:tcPr>
            <w:tcW w:w="1340" w:type="dxa"/>
          </w:tcPr>
          <w:p>
            <w:pPr>
              <w:pStyle w:val="Compact"/>
              <w:keepNext/>
              <w:spacing w:before="0" w:after="0" w:lineRule="exact" w:line="200"/>
              <w:jc w:val="left"/>
            </w:pPr>
            <w:r>
              <w:rPr>
                <w:sz w:val="16"/>
              </w:rPr>
              <w:t xml:space="preserve">Shopee, Indonesia</w:t>
            </w:r>
          </w:p>
        </w:tc>
        <w:tc>
          <w:tcPr>
            <w:tcW w:w="1398" w:type="dxa"/>
          </w:tcPr>
          <w:p>
            <w:pPr>
              <w:pStyle w:val="Compact"/>
              <w:keepNext/>
              <w:spacing w:before="0" w:after="0" w:lineRule="exact" w:line="200"/>
              <w:jc w:val="left"/>
            </w:pPr>
            <w:r>
              <w:rPr>
                <w:sz w:val="16"/>
              </w:rPr>
              <w:t xml:space="preserve">21.52</w:t>
            </w:r>
          </w:p>
        </w:tc>
        <w:tc>
          <w:tcPr>
            <w:tcW w:w="990" w:type="dxa"/>
          </w:tcPr>
          <w:p>
            <w:pPr>
              <w:pStyle w:val="Compact"/>
              <w:keepNext/>
              <w:spacing w:before="0" w:after="0" w:lineRule="exact" w:line="200"/>
              <w:jc w:val="left"/>
            </w:pPr>
            <w:r>
              <w:rPr>
                <w:sz w:val="16"/>
              </w:rPr>
              <w:t xml:space="preserve">2.15</w:t>
            </w:r>
          </w:p>
        </w:tc>
        <w:tc>
          <w:tcPr>
            <w:tcW w:w="816" w:type="dxa"/>
          </w:tcPr>
          <w:p>
            <w:pPr>
              <w:pStyle w:val="Compact"/>
              <w:keepNext/>
              <w:spacing w:before="0" w:after="0" w:lineRule="exact" w:line="200"/>
              <w:jc w:val="left"/>
            </w:pPr>
            <w:r>
              <w:rPr>
                <w:sz w:val="16"/>
              </w:rPr>
              <w:t xml:space="preserve">19.37</w:t>
            </w:r>
          </w:p>
        </w:tc>
        <w:tc>
          <w:tcPr>
            <w:tcW w:w="1224" w:type="dxa"/>
          </w:tcPr>
          <w:p>
            <w:pPr>
              <w:pStyle w:val="Compact"/>
              <w:keepNext/>
              <w:spacing w:before="0" w:after="0" w:lineRule="exact" w:line="200"/>
              <w:jc w:val="left"/>
            </w:pPr>
            <w:r>
              <w:rPr>
                <w:sz w:val="16"/>
              </w:rPr>
              <w:t xml:space="preserve">9.0</w:t>
            </w:r>
          </w:p>
        </w:tc>
        <w:tc>
          <w:tcPr>
            <w:tcW w:w="4429" w:type="dxa"/>
          </w:tcPr>
          <w:p>
            <w:pPr>
              <w:pStyle w:val="Compact"/>
              <w:keepNext/>
              <w:spacing w:before="0" w:after="0" w:lineRule="exact" w:line="200"/>
              <w:jc w:val="left"/>
            </w:pPr>
            <w:r>
              <w:rPr>
                <w:sz w:val="16"/>
              </w:rPr>
              <w:t xml:space="preserve">Transaction value is an outside estimate (Momentum Works); revenue is derived at an assumed take rate of 10 percent</w:t>
            </w:r>
          </w:p>
        </w:tc>
      </w:tr>
      <w:tr>
        <w:trPr>
          <w:cantSplit/>
        </w:trPr>
        <w:tc>
          <w:tcPr>
            <w:tcW w:w="1340" w:type="dxa"/>
          </w:tcPr>
          <w:p>
            <w:pPr>
              <w:pStyle w:val="Compact"/>
              <w:keepNext/>
              <w:spacing w:before="0" w:after="0" w:lineRule="exact" w:line="200"/>
              <w:jc w:val="left"/>
            </w:pPr>
            <w:r>
              <w:rPr>
                <w:sz w:val="16"/>
              </w:rPr>
              <w:t xml:space="preserve">Grab, Indonesia</w:t>
            </w:r>
          </w:p>
        </w:tc>
        <w:tc>
          <w:tcPr>
            <w:tcW w:w="1398" w:type="dxa"/>
          </w:tcPr>
          <w:p>
            <w:pPr>
              <w:pStyle w:val="Compact"/>
              <w:keepNext/>
              <w:spacing w:before="0" w:after="0" w:lineRule="exact" w:line="200"/>
              <w:jc w:val="left"/>
            </w:pPr>
            <w:r>
              <w:rPr>
                <w:sz w:val="16"/>
              </w:rPr>
              <w:t xml:space="preserve">5.38</w:t>
            </w:r>
          </w:p>
        </w:tc>
        <w:tc>
          <w:tcPr>
            <w:tcW w:w="990" w:type="dxa"/>
          </w:tcPr>
          <w:p>
            <w:pPr>
              <w:pStyle w:val="Compact"/>
              <w:keepNext/>
              <w:spacing w:before="0" w:after="0" w:lineRule="exact" w:line="200"/>
              <w:jc w:val="left"/>
            </w:pPr>
            <w:r>
              <w:rPr>
                <w:sz w:val="16"/>
              </w:rPr>
              <w:t xml:space="preserve">0.60</w:t>
            </w:r>
          </w:p>
        </w:tc>
        <w:tc>
          <w:tcPr>
            <w:tcW w:w="816" w:type="dxa"/>
          </w:tcPr>
          <w:p>
            <w:pPr>
              <w:pStyle w:val="Compact"/>
              <w:keepNext/>
              <w:spacing w:before="0" w:after="0" w:lineRule="exact" w:line="200"/>
              <w:jc w:val="left"/>
            </w:pPr>
            <w:r>
              <w:rPr>
                <w:sz w:val="16"/>
              </w:rPr>
              <w:t xml:space="preserve">4.78</w:t>
            </w:r>
          </w:p>
        </w:tc>
        <w:tc>
          <w:tcPr>
            <w:tcW w:w="1224" w:type="dxa"/>
          </w:tcPr>
          <w:p>
            <w:pPr>
              <w:pStyle w:val="Compact"/>
              <w:keepNext/>
              <w:spacing w:before="0" w:after="0" w:lineRule="exact" w:line="200"/>
              <w:jc w:val="left"/>
            </w:pPr>
            <w:r>
              <w:rPr>
                <w:sz w:val="16"/>
              </w:rPr>
              <w:t xml:space="preserve">7.9</w:t>
            </w:r>
          </w:p>
        </w:tc>
        <w:tc>
          <w:tcPr>
            <w:tcW w:w="4429" w:type="dxa"/>
          </w:tcPr>
          <w:p>
            <w:pPr>
              <w:pStyle w:val="Compact"/>
              <w:keepNext/>
              <w:spacing w:before="0" w:after="0" w:lineRule="exact" w:line="200"/>
              <w:jc w:val="left"/>
            </w:pPr>
            <w:r>
              <w:rPr>
                <w:sz w:val="16"/>
              </w:rPr>
              <w:t xml:space="preserve">Revenue is a direct country disclosure; transaction value is derived from Grab’s company-wide ratio</w:t>
            </w:r>
          </w:p>
        </w:tc>
      </w:tr>
      <w:tr>
        <w:trPr>
          <w:cantSplit/>
        </w:trPr>
        <w:tc>
          <w:tcPr>
            <w:tcW w:w="1340" w:type="dxa"/>
          </w:tcPr>
          <w:p>
            <w:pPr>
              <w:pStyle w:val="Compact"/>
              <w:spacing w:before="0" w:after="0" w:lineRule="exact" w:line="200"/>
              <w:jc w:val="left"/>
            </w:pPr>
            <w:r>
              <w:rPr>
                <w:sz w:val="16"/>
              </w:rPr>
              <w:t xml:space="preserve">Total</w:t>
            </w:r>
          </w:p>
        </w:tc>
        <w:tc>
          <w:tcPr>
            <w:tcW w:w="1398" w:type="dxa"/>
          </w:tcPr>
          <w:p>
            <w:pPr>
              <w:pStyle w:val="Compact"/>
              <w:spacing w:before="0" w:after="0" w:lineRule="exact" w:line="200"/>
              <w:jc w:val="left"/>
            </w:pPr>
            <w:r>
              <w:rPr>
                <w:sz w:val="16"/>
              </w:rPr>
              <w:t xml:space="preserve">43.23</w:t>
            </w:r>
          </w:p>
        </w:tc>
        <w:tc>
          <w:tcPr>
            <w:tcW w:w="990" w:type="dxa"/>
          </w:tcPr>
          <w:p>
            <w:pPr>
              <w:pStyle w:val="Compact"/>
              <w:spacing w:before="0" w:after="0" w:lineRule="exact" w:line="200"/>
              <w:jc w:val="left"/>
            </w:pPr>
            <w:r>
              <w:rPr>
                <w:sz w:val="16"/>
              </w:rPr>
              <w:t xml:space="preserve">3.16</w:t>
            </w:r>
          </w:p>
        </w:tc>
        <w:tc>
          <w:tcPr>
            <w:tcW w:w="816" w:type="dxa"/>
          </w:tcPr>
          <w:p>
            <w:pPr>
              <w:pStyle w:val="Compact"/>
              <w:spacing w:before="0" w:after="0" w:lineRule="exact" w:line="200"/>
              <w:jc w:val="left"/>
            </w:pPr>
            <w:r>
              <w:rPr>
                <w:sz w:val="16"/>
              </w:rPr>
              <w:t xml:space="preserve">40.07</w:t>
            </w:r>
          </w:p>
        </w:tc>
        <w:tc>
          <w:tcPr>
            <w:tcW w:w="1224" w:type="dxa"/>
          </w:tcPr>
          <w:p>
            <w:pPr>
              <w:pStyle w:val="Compact"/>
              <w:spacing w:before="0" w:after="0" w:lineRule="exact" w:line="200"/>
              <w:jc w:val="left"/>
            </w:pPr>
            <w:r>
              <w:rPr>
                <w:sz w:val="16"/>
              </w:rPr>
              <w:t xml:space="preserve">12.7</w:t>
            </w:r>
          </w:p>
        </w:tc>
        <w:tc>
          <w:tcPr>
            <w:tcW w:w="4429" w:type="dxa"/>
          </w:tcPr>
          <w:p>
            <w:pPr>
              <w:pStyle w:val="Compact"/>
              <w:spacing w:before="0" w:after="0" w:lineRule="exact" w:line="200"/>
              <w:jc w:val="left"/>
            </w:pPr>
            <w:r>
              <w:rPr>
                <w:sz w:val="16"/>
              </w:rPr>
              <w:t xml:space="preserve">Sum of three platforms, not a national total</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rPr>
          <w:bCs/>
          <w:b/>
        </w:rPr>
        <w:t xml:space="preserve">Revenue followed transaction value abroad and did not in Indonesia and the region, so the thesis rejects H1 for the Indonesian and regional platforms.</w:t>
      </w:r>
      <w:r>
        <w:t xml:space="preserve"> </w:t>
      </w:r>
      <w:r>
        <w:t xml:space="preserve">Table 5.2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BodyText"/>
        <w:keepNext/>
        <w:spacing w:before="140" w:after="56" w:lineRule="exact" w:line="246"/>
        <w:jc w:val="left"/>
      </w:pPr>
      <w:r>
        <w:rPr>
          <w:b/>
          <w:sz w:val="17"/>
        </w:rPr>
        <w:t>Table 5.2.</w:t>
      </w:r>
      <w:r>
        <w:rPr>
          <w:b w:val="0"/>
          <w:sz w:val="17"/>
        </w:rPr>
        <w:t xml:space="preserve"> Summary statistics and correlations</w:t>
      </w:r>
    </w:p>
    <w:p>
      <w:pPr>
        <w:pStyle w:val="BodyText"/>
        <w:keepNext/>
        <w:spacing w:before="40" w:after="70" w:lineRule="exact" w:line="220"/>
        <w:jc w:val="left"/>
      </w:pPr>
      <w:r>
        <w:rPr>
          <w:color w:val="222222"/>
          <w:sz w:val="16"/>
        </w:rP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BodyText"/>
        <w:keepNext/>
        <w:spacing w:before="40" w:after="70" w:lineRule="exact" w:line="220"/>
        <w:jc w:val="left"/>
      </w:pPr>
      <w:r>
        <w:rPr>
          <w:iCs/>
          <w:i/>
          <w:color w:val="222222"/>
          <w:sz w:val="16"/>
        </w:rPr>
        <w:t xml:space="preserve">Panel A. Summary statistics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2331"/>
        <w:gridCol w:w="1690"/>
        <w:gridCol w:w="816"/>
        <w:gridCol w:w="816"/>
        <w:gridCol w:w="816"/>
        <w:gridCol w:w="990"/>
        <w:gridCol w:w="932"/>
        <w:gridCol w:w="816"/>
        <w:gridCol w:w="990"/>
      </w:tblGrid>
      <w:tr>
        <w:trPr>
          <w:tblHeader w:val="true"/>
          <w:cantSplit/>
          <w:tblHeader/>
        </w:trPr>
        <w:tc>
          <w:tcPr>
            <w:tcW w:w="2331" w:type="dxa"/>
            <w:tcBorders>
              <w:bottom w:val="single" w:sz="4" w:space="0" w:color="111111"/>
            </w:tcBorders>
          </w:tcPr>
          <w:p>
            <w:pPr>
              <w:pStyle w:val="Compact"/>
              <w:keepNext/>
              <w:spacing w:before="0" w:after="0" w:lineRule="exact" w:line="200"/>
              <w:jc w:val="left"/>
            </w:pPr>
            <w:r>
              <w:rPr>
                <w:b/>
                <w:sz w:val="16"/>
              </w:rPr>
              <w:t xml:space="preserve">Variable</w:t>
            </w:r>
          </w:p>
        </w:tc>
        <w:tc>
          <w:tcPr>
            <w:tcW w:w="4138" w:type="dxa"/>
            <w:gridSpan w:val="4"/>
            <w:tcBorders>
              <w:bottom w:val="single" w:sz="4" w:space="0" w:color="111111"/>
            </w:tcBorders>
          </w:tcPr>
          <w:p>
            <w:pPr>
              <w:pStyle w:val="Compact"/>
              <w:keepNext/>
              <w:spacing w:before="0" w:after="0" w:lineRule="exact" w:line="200"/>
              <w:jc w:val="center"/>
            </w:pPr>
            <w:r>
              <w:rPr>
                <w:b/>
                <w:sz w:val="16"/>
              </w:rPr>
              <w:t xml:space="preserve">Indonesian and regional</w:t>
            </w:r>
          </w:p>
        </w:tc>
        <w:tc>
          <w:tcPr>
            <w:tcW w:w="3728" w:type="dxa"/>
            <w:gridSpan w:val="4"/>
            <w:tcBorders>
              <w:bottom w:val="single" w:sz="4" w:space="0" w:color="111111"/>
            </w:tcBorders>
          </w:tcPr>
          <w:p>
            <w:pPr>
              <w:pStyle w:val="Compact"/>
              <w:keepNext/>
              <w:spacing w:before="0" w:after="0" w:lineRule="exact" w:line="200"/>
              <w:jc w:val="center"/>
            </w:pPr>
            <w:r>
              <w:rPr>
                <w:b/>
                <w:sz w:val="16"/>
              </w:rPr>
              <w:t xml:space="preserve">Foreign</w:t>
            </w:r>
          </w:p>
        </w:tc>
      </w:tr>
      <w:tr>
        <w:trPr>
          <w:cantSplit/>
        </w:trPr>
        <w:tc>
          <w:tcPr>
            <w:tcW w:w="2331" w:type="dxa"/>
          </w:tcPr>
          <w:p>
            <w:pPr>
              <w:pStyle w:val="Compact"/>
              <w:keepNext/>
              <w:spacing w:before="0" w:after="0" w:lineRule="exact" w:line="200"/>
              <w:jc w:val="left"/>
            </w:pPr>
          </w:p>
        </w:tc>
        <w:tc>
          <w:tcPr>
            <w:tcW w:w="1690" w:type="dxa"/>
          </w:tcPr>
          <w:p>
            <w:pPr>
              <w:pStyle w:val="Compact"/>
              <w:keepNext/>
              <w:spacing w:before="0" w:after="0" w:lineRule="exact" w:line="200"/>
              <w:jc w:val="left"/>
            </w:pPr>
            <w:r>
              <w:rPr>
                <w:bCs/>
                <w:b/>
                <w:sz w:val="16"/>
              </w:rPr>
              <w:t xml:space="preserve">N</w:t>
            </w:r>
          </w:p>
        </w:tc>
        <w:tc>
          <w:tcPr>
            <w:tcW w:w="816" w:type="dxa"/>
          </w:tcPr>
          <w:p>
            <w:pPr>
              <w:pStyle w:val="Compact"/>
              <w:keepNext/>
              <w:spacing w:before="0" w:after="0" w:lineRule="exact" w:line="200"/>
              <w:jc w:val="left"/>
            </w:pPr>
            <w:r>
              <w:rPr>
                <w:bCs/>
                <w:b/>
                <w:sz w:val="16"/>
              </w:rPr>
              <w:t xml:space="preserve">Mean</w:t>
            </w:r>
          </w:p>
        </w:tc>
        <w:tc>
          <w:tcPr>
            <w:tcW w:w="816" w:type="dxa"/>
          </w:tcPr>
          <w:p>
            <w:pPr>
              <w:pStyle w:val="Compact"/>
              <w:keepNext/>
              <w:spacing w:before="0" w:after="0" w:lineRule="exact" w:line="200"/>
              <w:jc w:val="left"/>
            </w:pPr>
            <w:r>
              <w:rPr>
                <w:bCs/>
                <w:b/>
                <w:sz w:val="16"/>
              </w:rPr>
              <w:t xml:space="preserve">P50</w:t>
            </w:r>
          </w:p>
        </w:tc>
        <w:tc>
          <w:tcPr>
            <w:tcW w:w="816" w:type="dxa"/>
          </w:tcPr>
          <w:p>
            <w:pPr>
              <w:pStyle w:val="Compact"/>
              <w:keepNext/>
              <w:spacing w:before="0" w:after="0" w:lineRule="exact" w:line="200"/>
              <w:jc w:val="left"/>
            </w:pPr>
            <w:r>
              <w:rPr>
                <w:bCs/>
                <w:b/>
                <w:sz w:val="16"/>
              </w:rPr>
              <w:t xml:space="preserve">SD</w:t>
            </w:r>
          </w:p>
        </w:tc>
        <w:tc>
          <w:tcPr>
            <w:tcW w:w="990" w:type="dxa"/>
          </w:tcPr>
          <w:p>
            <w:pPr>
              <w:pStyle w:val="Compact"/>
              <w:keepNext/>
              <w:spacing w:before="0" w:after="0" w:lineRule="exact" w:line="200"/>
              <w:jc w:val="left"/>
            </w:pPr>
            <w:r>
              <w:rPr>
                <w:bCs/>
                <w:b/>
                <w:sz w:val="16"/>
              </w:rPr>
              <w:t xml:space="preserve">N</w:t>
            </w:r>
          </w:p>
        </w:tc>
        <w:tc>
          <w:tcPr>
            <w:tcW w:w="932" w:type="dxa"/>
          </w:tcPr>
          <w:p>
            <w:pPr>
              <w:pStyle w:val="Compact"/>
              <w:keepNext/>
              <w:spacing w:before="0" w:after="0" w:lineRule="exact" w:line="200"/>
              <w:jc w:val="left"/>
            </w:pPr>
            <w:r>
              <w:rPr>
                <w:bCs/>
                <w:b/>
                <w:sz w:val="16"/>
              </w:rPr>
              <w:t xml:space="preserve">Mean</w:t>
            </w:r>
          </w:p>
        </w:tc>
        <w:tc>
          <w:tcPr>
            <w:tcW w:w="816" w:type="dxa"/>
          </w:tcPr>
          <w:p>
            <w:pPr>
              <w:pStyle w:val="Compact"/>
              <w:keepNext/>
              <w:spacing w:before="0" w:after="0" w:lineRule="exact" w:line="200"/>
              <w:jc w:val="left"/>
            </w:pPr>
            <w:r>
              <w:rPr>
                <w:bCs/>
                <w:b/>
                <w:sz w:val="16"/>
              </w:rPr>
              <w:t xml:space="preserve">P50</w:t>
            </w:r>
          </w:p>
        </w:tc>
        <w:tc>
          <w:tcPr>
            <w:tcW w:w="990" w:type="dxa"/>
          </w:tcPr>
          <w:p>
            <w:pPr>
              <w:pStyle w:val="Compact"/>
              <w:keepNext/>
              <w:spacing w:before="0" w:after="0" w:lineRule="exact" w:line="200"/>
              <w:jc w:val="left"/>
            </w:pPr>
            <w:r>
              <w:rPr>
                <w:bCs/>
                <w:b/>
                <w:sz w:val="16"/>
              </w:rPr>
              <w:t xml:space="preserve">SD</w:t>
            </w:r>
          </w:p>
        </w:tc>
      </w:tr>
      <w:tr>
        <w:trPr>
          <w:cantSplit/>
        </w:trPr>
        <w:tc>
          <w:tcPr>
            <w:tcW w:w="2331" w:type="dxa"/>
          </w:tcPr>
          <w:p>
            <w:pPr>
              <w:pStyle w:val="Compact"/>
              <w:keepNext/>
              <w:spacing w:before="0" w:after="0" w:lineRule="exact" w:line="200"/>
              <w:jc w:val="left"/>
            </w:pPr>
            <w:r>
              <w:rPr>
                <w:sz w:val="16"/>
              </w:rPr>
              <w:t xml:space="preserve">Wedge, US$ million</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7,834</w:t>
            </w:r>
          </w:p>
        </w:tc>
        <w:tc>
          <w:tcPr>
            <w:tcW w:w="816" w:type="dxa"/>
          </w:tcPr>
          <w:p>
            <w:pPr>
              <w:pStyle w:val="Compact"/>
              <w:keepNext/>
              <w:spacing w:before="0" w:after="0" w:lineRule="exact" w:line="200"/>
              <w:jc w:val="left"/>
            </w:pPr>
            <w:r>
              <w:rPr>
                <w:sz w:val="16"/>
              </w:rPr>
              <w:t xml:space="preserve">6,999</w:t>
            </w:r>
          </w:p>
        </w:tc>
        <w:tc>
          <w:tcPr>
            <w:tcW w:w="816" w:type="dxa"/>
          </w:tcPr>
          <w:p>
            <w:pPr>
              <w:pStyle w:val="Compact"/>
              <w:keepNext/>
              <w:spacing w:before="0" w:after="0" w:lineRule="exact" w:line="200"/>
              <w:jc w:val="left"/>
            </w:pPr>
            <w:r>
              <w:rPr>
                <w:sz w:val="16"/>
              </w:rPr>
              <w:t xml:space="preserve">5,311</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50,439</w:t>
            </w:r>
          </w:p>
        </w:tc>
        <w:tc>
          <w:tcPr>
            <w:tcW w:w="816" w:type="dxa"/>
          </w:tcPr>
          <w:p>
            <w:pPr>
              <w:pStyle w:val="Compact"/>
              <w:keepNext/>
              <w:spacing w:before="0" w:after="0" w:lineRule="exact" w:line="200"/>
              <w:jc w:val="left"/>
            </w:pPr>
            <w:r>
              <w:rPr>
                <w:sz w:val="16"/>
              </w:rPr>
              <w:t xml:space="preserve">3,732</w:t>
            </w:r>
          </w:p>
        </w:tc>
        <w:tc>
          <w:tcPr>
            <w:tcW w:w="990" w:type="dxa"/>
          </w:tcPr>
          <w:p>
            <w:pPr>
              <w:pStyle w:val="Compact"/>
              <w:keepNext/>
              <w:spacing w:before="0" w:after="0" w:lineRule="exact" w:line="200"/>
              <w:jc w:val="left"/>
            </w:pPr>
            <w:r>
              <w:rPr>
                <w:sz w:val="16"/>
              </w:rPr>
              <w:t xml:space="preserve">142,180</w:t>
            </w:r>
          </w:p>
        </w:tc>
      </w:tr>
      <w:tr>
        <w:trPr>
          <w:cantSplit/>
        </w:trPr>
        <w:tc>
          <w:tcPr>
            <w:tcW w:w="2331" w:type="dxa"/>
          </w:tcPr>
          <w:p>
            <w:pPr>
              <w:pStyle w:val="Compact"/>
              <w:keepNext/>
              <w:spacing w:before="0" w:after="0" w:lineRule="exact" w:line="200"/>
              <w:jc w:val="left"/>
            </w:pPr>
            <w:r>
              <w:rPr>
                <w:sz w:val="16"/>
              </w:rPr>
              <w:t xml:space="preserve">Ecosystem ratio</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25.08</w:t>
            </w:r>
          </w:p>
        </w:tc>
        <w:tc>
          <w:tcPr>
            <w:tcW w:w="816" w:type="dxa"/>
          </w:tcPr>
          <w:p>
            <w:pPr>
              <w:pStyle w:val="Compact"/>
              <w:keepNext/>
              <w:spacing w:before="0" w:after="0" w:lineRule="exact" w:line="200"/>
              <w:jc w:val="left"/>
            </w:pPr>
            <w:r>
              <w:rPr>
                <w:sz w:val="16"/>
              </w:rPr>
              <w:t xml:space="preserve">34.66</w:t>
            </w:r>
          </w:p>
        </w:tc>
        <w:tc>
          <w:tcPr>
            <w:tcW w:w="816" w:type="dxa"/>
          </w:tcPr>
          <w:p>
            <w:pPr>
              <w:pStyle w:val="Compact"/>
              <w:keepNext/>
              <w:spacing w:before="0" w:after="0" w:lineRule="exact" w:line="200"/>
              <w:jc w:val="left"/>
            </w:pPr>
            <w:r>
              <w:rPr>
                <w:sz w:val="16"/>
              </w:rPr>
              <w:t xml:space="preserve">14.95</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8.84</w:t>
            </w:r>
          </w:p>
        </w:tc>
        <w:tc>
          <w:tcPr>
            <w:tcW w:w="816" w:type="dxa"/>
          </w:tcPr>
          <w:p>
            <w:pPr>
              <w:pStyle w:val="Compact"/>
              <w:keepNext/>
              <w:spacing w:before="0" w:after="0" w:lineRule="exact" w:line="200"/>
              <w:jc w:val="left"/>
            </w:pPr>
            <w:r>
              <w:rPr>
                <w:sz w:val="16"/>
              </w:rPr>
              <w:t xml:space="preserve">5.50</w:t>
            </w:r>
          </w:p>
        </w:tc>
        <w:tc>
          <w:tcPr>
            <w:tcW w:w="990" w:type="dxa"/>
          </w:tcPr>
          <w:p>
            <w:pPr>
              <w:pStyle w:val="Compact"/>
              <w:keepNext/>
              <w:spacing w:before="0" w:after="0" w:lineRule="exact" w:line="200"/>
              <w:jc w:val="left"/>
            </w:pPr>
            <w:r>
              <w:rPr>
                <w:sz w:val="16"/>
              </w:rPr>
              <w:t xml:space="preserve">9.56</w:t>
            </w:r>
          </w:p>
        </w:tc>
      </w:tr>
      <w:tr>
        <w:trPr>
          <w:cantSplit/>
        </w:trPr>
        <w:tc>
          <w:tcPr>
            <w:tcW w:w="2331" w:type="dxa"/>
          </w:tcPr>
          <w:p>
            <w:pPr>
              <w:pStyle w:val="Compact"/>
              <w:keepNext/>
              <w:spacing w:before="0" w:after="0" w:lineRule="exact" w:line="200"/>
              <w:jc w:val="left"/>
            </w:pPr>
            <w:r>
              <w:rPr>
                <w:sz w:val="16"/>
              </w:rPr>
              <w:t xml:space="preserve">Revenue growth, g(R)</w:t>
            </w:r>
          </w:p>
        </w:tc>
        <w:tc>
          <w:tcPr>
            <w:tcW w:w="1690" w:type="dxa"/>
          </w:tcPr>
          <w:p>
            <w:pPr>
              <w:pStyle w:val="Compact"/>
              <w:keepNext/>
              <w:spacing w:before="0" w:after="0" w:lineRule="exact" w:line="200"/>
              <w:jc w:val="left"/>
            </w:pPr>
            <w:r>
              <w:rPr>
                <w:sz w:val="16"/>
              </w:rPr>
              <w:t xml:space="preserve">15</w:t>
            </w:r>
          </w:p>
        </w:tc>
        <w:tc>
          <w:tcPr>
            <w:tcW w:w="816" w:type="dxa"/>
          </w:tcPr>
          <w:p>
            <w:pPr>
              <w:pStyle w:val="Compact"/>
              <w:keepNext/>
              <w:spacing w:before="0" w:after="0" w:lineRule="exact" w:line="200"/>
              <w:jc w:val="left"/>
            </w:pPr>
            <w:r>
              <w:rPr>
                <w:sz w:val="16"/>
              </w:rPr>
              <w:t xml:space="preserve">0.53</w:t>
            </w:r>
          </w:p>
        </w:tc>
        <w:tc>
          <w:tcPr>
            <w:tcW w:w="816" w:type="dxa"/>
          </w:tcPr>
          <w:p>
            <w:pPr>
              <w:pStyle w:val="Compact"/>
              <w:keepNext/>
              <w:spacing w:before="0" w:after="0" w:lineRule="exact" w:line="200"/>
              <w:jc w:val="left"/>
            </w:pPr>
            <w:r>
              <w:rPr>
                <w:sz w:val="16"/>
              </w:rPr>
              <w:t xml:space="preserve">0.38</w:t>
            </w:r>
          </w:p>
        </w:tc>
        <w:tc>
          <w:tcPr>
            <w:tcW w:w="816" w:type="dxa"/>
          </w:tcPr>
          <w:p>
            <w:pPr>
              <w:pStyle w:val="Compact"/>
              <w:keepNext/>
              <w:spacing w:before="0" w:after="0" w:lineRule="exact" w:line="200"/>
              <w:jc w:val="left"/>
            </w:pPr>
            <w:r>
              <w:rPr>
                <w:sz w:val="16"/>
              </w:rPr>
              <w:t xml:space="preserve">0.44</w:t>
            </w:r>
          </w:p>
        </w:tc>
        <w:tc>
          <w:tcPr>
            <w:tcW w:w="990" w:type="dxa"/>
          </w:tcPr>
          <w:p>
            <w:pPr>
              <w:pStyle w:val="Compact"/>
              <w:keepNext/>
              <w:spacing w:before="0" w:after="0" w:lineRule="exact" w:line="200"/>
              <w:jc w:val="left"/>
            </w:pPr>
            <w:r>
              <w:rPr>
                <w:sz w:val="16"/>
              </w:rPr>
              <w:t xml:space="preserve">166</w:t>
            </w:r>
          </w:p>
        </w:tc>
        <w:tc>
          <w:tcPr>
            <w:tcW w:w="932" w:type="dxa"/>
          </w:tcPr>
          <w:p>
            <w:pPr>
              <w:pStyle w:val="Compact"/>
              <w:keepNext/>
              <w:spacing w:before="0" w:after="0" w:lineRule="exact" w:line="200"/>
              <w:jc w:val="left"/>
            </w:pPr>
            <w:r>
              <w:rPr>
                <w:sz w:val="16"/>
              </w:rPr>
              <w:t xml:space="preserve">0.32</w:t>
            </w:r>
          </w:p>
        </w:tc>
        <w:tc>
          <w:tcPr>
            <w:tcW w:w="816" w:type="dxa"/>
          </w:tcPr>
          <w:p>
            <w:pPr>
              <w:pStyle w:val="Compact"/>
              <w:keepNext/>
              <w:spacing w:before="0" w:after="0" w:lineRule="exact" w:line="200"/>
              <w:jc w:val="left"/>
            </w:pPr>
            <w:r>
              <w:rPr>
                <w:sz w:val="16"/>
              </w:rPr>
              <w:t xml:space="preserve">0.21</w:t>
            </w:r>
          </w:p>
        </w:tc>
        <w:tc>
          <w:tcPr>
            <w:tcW w:w="990" w:type="dxa"/>
          </w:tcPr>
          <w:p>
            <w:pPr>
              <w:pStyle w:val="Compact"/>
              <w:keepNext/>
              <w:spacing w:before="0" w:after="0" w:lineRule="exact" w:line="200"/>
              <w:jc w:val="left"/>
            </w:pPr>
            <w:r>
              <w:rPr>
                <w:sz w:val="16"/>
              </w:rPr>
              <w:t xml:space="preserve">0.44</w:t>
            </w:r>
          </w:p>
        </w:tc>
      </w:tr>
      <w:tr>
        <w:trPr>
          <w:cantSplit/>
        </w:trPr>
        <w:tc>
          <w:tcPr>
            <w:tcW w:w="2331" w:type="dxa"/>
          </w:tcPr>
          <w:p>
            <w:pPr>
              <w:pStyle w:val="Compact"/>
              <w:keepNext/>
              <w:spacing w:before="0" w:after="0" w:lineRule="exact" w:line="200"/>
              <w:jc w:val="left"/>
            </w:pPr>
            <w:r>
              <w:rPr>
                <w:sz w:val="16"/>
              </w:rPr>
              <w:t xml:space="preserve">Transaction value growth, g(V)</w:t>
            </w:r>
          </w:p>
        </w:tc>
        <w:tc>
          <w:tcPr>
            <w:tcW w:w="1690" w:type="dxa"/>
          </w:tcPr>
          <w:p>
            <w:pPr>
              <w:pStyle w:val="Compact"/>
              <w:keepNext/>
              <w:spacing w:before="0" w:after="0" w:lineRule="exact" w:line="200"/>
              <w:jc w:val="left"/>
            </w:pPr>
            <w:r>
              <w:rPr>
                <w:sz w:val="16"/>
              </w:rPr>
              <w:t xml:space="preserve">15</w:t>
            </w:r>
          </w:p>
        </w:tc>
        <w:tc>
          <w:tcPr>
            <w:tcW w:w="816" w:type="dxa"/>
          </w:tcPr>
          <w:p>
            <w:pPr>
              <w:pStyle w:val="Compact"/>
              <w:keepNext/>
              <w:spacing w:before="0" w:after="0" w:lineRule="exact" w:line="200"/>
              <w:jc w:val="left"/>
            </w:pPr>
            <w:r>
              <w:rPr>
                <w:sz w:val="16"/>
              </w:rPr>
              <w:t xml:space="preserve">0.22</w:t>
            </w:r>
          </w:p>
        </w:tc>
        <w:tc>
          <w:tcPr>
            <w:tcW w:w="816" w:type="dxa"/>
          </w:tcPr>
          <w:p>
            <w:pPr>
              <w:pStyle w:val="Compact"/>
              <w:keepNext/>
              <w:spacing w:before="0" w:after="0" w:lineRule="exact" w:line="200"/>
              <w:jc w:val="left"/>
            </w:pPr>
            <w:r>
              <w:rPr>
                <w:sz w:val="16"/>
              </w:rPr>
              <w:t xml:space="preserve">0.16</w:t>
            </w:r>
          </w:p>
        </w:tc>
        <w:tc>
          <w:tcPr>
            <w:tcW w:w="816" w:type="dxa"/>
          </w:tcPr>
          <w:p>
            <w:pPr>
              <w:pStyle w:val="Compact"/>
              <w:keepNext/>
              <w:spacing w:before="0" w:after="0" w:lineRule="exact" w:line="200"/>
              <w:jc w:val="left"/>
            </w:pPr>
            <w:r>
              <w:rPr>
                <w:sz w:val="16"/>
              </w:rPr>
              <w:t xml:space="preserve">0.34</w:t>
            </w:r>
          </w:p>
        </w:tc>
        <w:tc>
          <w:tcPr>
            <w:tcW w:w="990" w:type="dxa"/>
          </w:tcPr>
          <w:p>
            <w:pPr>
              <w:pStyle w:val="Compact"/>
              <w:keepNext/>
              <w:spacing w:before="0" w:after="0" w:lineRule="exact" w:line="200"/>
              <w:jc w:val="left"/>
            </w:pPr>
            <w:r>
              <w:rPr>
                <w:sz w:val="16"/>
              </w:rPr>
              <w:t xml:space="preserve">166</w:t>
            </w:r>
          </w:p>
        </w:tc>
        <w:tc>
          <w:tcPr>
            <w:tcW w:w="932" w:type="dxa"/>
          </w:tcPr>
          <w:p>
            <w:pPr>
              <w:pStyle w:val="Compact"/>
              <w:keepNext/>
              <w:spacing w:before="0" w:after="0" w:lineRule="exact" w:line="200"/>
              <w:jc w:val="left"/>
            </w:pPr>
            <w:r>
              <w:rPr>
                <w:sz w:val="16"/>
              </w:rPr>
              <w:t xml:space="preserve">0.26</w:t>
            </w:r>
          </w:p>
        </w:tc>
        <w:tc>
          <w:tcPr>
            <w:tcW w:w="816" w:type="dxa"/>
          </w:tcPr>
          <w:p>
            <w:pPr>
              <w:pStyle w:val="Compact"/>
              <w:keepNext/>
              <w:spacing w:before="0" w:after="0" w:lineRule="exact" w:line="200"/>
              <w:jc w:val="left"/>
            </w:pPr>
            <w:r>
              <w:rPr>
                <w:sz w:val="16"/>
              </w:rPr>
              <w:t xml:space="preserve">0.16</w:t>
            </w:r>
          </w:p>
        </w:tc>
        <w:tc>
          <w:tcPr>
            <w:tcW w:w="990" w:type="dxa"/>
          </w:tcPr>
          <w:p>
            <w:pPr>
              <w:pStyle w:val="Compact"/>
              <w:keepNext/>
              <w:spacing w:before="0" w:after="0" w:lineRule="exact" w:line="200"/>
              <w:jc w:val="left"/>
            </w:pPr>
            <w:r>
              <w:rPr>
                <w:sz w:val="16"/>
              </w:rPr>
              <w:t xml:space="preserve">0.40</w:t>
            </w:r>
          </w:p>
        </w:tc>
      </w:tr>
      <w:tr>
        <w:trPr>
          <w:cantSplit/>
        </w:trPr>
        <w:tc>
          <w:tcPr>
            <w:tcW w:w="2331" w:type="dxa"/>
          </w:tcPr>
          <w:p>
            <w:pPr>
              <w:pStyle w:val="Compact"/>
              <w:keepNext/>
              <w:spacing w:before="0" w:after="0" w:lineRule="exact" w:line="200"/>
              <w:jc w:val="left"/>
            </w:pPr>
            <w:r>
              <w:rPr>
                <w:sz w:val="16"/>
              </w:rPr>
              <w:t xml:space="preserve">Total assets, US$ million</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4,300</w:t>
            </w:r>
          </w:p>
        </w:tc>
        <w:tc>
          <w:tcPr>
            <w:tcW w:w="816" w:type="dxa"/>
          </w:tcPr>
          <w:p>
            <w:pPr>
              <w:pStyle w:val="Compact"/>
              <w:keepNext/>
              <w:spacing w:before="0" w:after="0" w:lineRule="exact" w:line="200"/>
              <w:jc w:val="left"/>
            </w:pPr>
            <w:r>
              <w:rPr>
                <w:sz w:val="16"/>
              </w:rPr>
              <w:t xml:space="preserve">2,751</w:t>
            </w:r>
          </w:p>
        </w:tc>
        <w:tc>
          <w:tcPr>
            <w:tcW w:w="816" w:type="dxa"/>
          </w:tcPr>
          <w:p>
            <w:pPr>
              <w:pStyle w:val="Compact"/>
              <w:keepNext/>
              <w:spacing w:before="0" w:after="0" w:lineRule="exact" w:line="200"/>
              <w:jc w:val="left"/>
            </w:pPr>
            <w:r>
              <w:rPr>
                <w:sz w:val="16"/>
              </w:rPr>
              <w:t xml:space="preserve">3,727</w:t>
            </w:r>
          </w:p>
        </w:tc>
        <w:tc>
          <w:tcPr>
            <w:tcW w:w="990" w:type="dxa"/>
          </w:tcPr>
          <w:p>
            <w:pPr>
              <w:pStyle w:val="Compact"/>
              <w:keepNext/>
              <w:spacing w:before="0" w:after="0" w:lineRule="exact" w:line="200"/>
              <w:jc w:val="left"/>
            </w:pPr>
            <w:r>
              <w:rPr>
                <w:sz w:val="16"/>
              </w:rPr>
              <w:t xml:space="preserve">182</w:t>
            </w:r>
          </w:p>
        </w:tc>
        <w:tc>
          <w:tcPr>
            <w:tcW w:w="932" w:type="dxa"/>
          </w:tcPr>
          <w:p>
            <w:pPr>
              <w:pStyle w:val="Compact"/>
              <w:keepNext/>
              <w:spacing w:before="0" w:after="0" w:lineRule="exact" w:line="200"/>
              <w:jc w:val="left"/>
            </w:pPr>
            <w:r>
              <w:rPr>
                <w:sz w:val="16"/>
              </w:rPr>
              <w:t xml:space="preserve">13,252</w:t>
            </w:r>
          </w:p>
        </w:tc>
        <w:tc>
          <w:tcPr>
            <w:tcW w:w="816" w:type="dxa"/>
          </w:tcPr>
          <w:p>
            <w:pPr>
              <w:pStyle w:val="Compact"/>
              <w:keepNext/>
              <w:spacing w:before="0" w:after="0" w:lineRule="exact" w:line="200"/>
              <w:jc w:val="left"/>
            </w:pPr>
            <w:r>
              <w:rPr>
                <w:sz w:val="16"/>
              </w:rPr>
              <w:t xml:space="preserve">1,461</w:t>
            </w:r>
          </w:p>
        </w:tc>
        <w:tc>
          <w:tcPr>
            <w:tcW w:w="990" w:type="dxa"/>
          </w:tcPr>
          <w:p>
            <w:pPr>
              <w:pStyle w:val="Compact"/>
              <w:keepNext/>
              <w:spacing w:before="0" w:after="0" w:lineRule="exact" w:line="200"/>
              <w:jc w:val="left"/>
            </w:pPr>
            <w:r>
              <w:rPr>
                <w:sz w:val="16"/>
              </w:rPr>
              <w:t xml:space="preserve">35,325</w:t>
            </w:r>
          </w:p>
        </w:tc>
      </w:tr>
      <w:tr>
        <w:trPr>
          <w:cantSplit/>
        </w:trPr>
        <w:tc>
          <w:tcPr>
            <w:tcW w:w="2331" w:type="dxa"/>
          </w:tcPr>
          <w:p>
            <w:pPr>
              <w:pStyle w:val="Compact"/>
              <w:keepNext/>
              <w:spacing w:before="0" w:after="0" w:lineRule="exact" w:line="200"/>
              <w:jc w:val="left"/>
            </w:pPr>
            <w:r>
              <w:rPr>
                <w:sz w:val="16"/>
              </w:rPr>
              <w:t xml:space="preserve">Years since listing</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1.10</w:t>
            </w:r>
          </w:p>
        </w:tc>
        <w:tc>
          <w:tcPr>
            <w:tcW w:w="816" w:type="dxa"/>
          </w:tcPr>
          <w:p>
            <w:pPr>
              <w:pStyle w:val="Compact"/>
              <w:keepNext/>
              <w:spacing w:before="0" w:after="0" w:lineRule="exact" w:line="200"/>
              <w:jc w:val="left"/>
            </w:pPr>
            <w:r>
              <w:rPr>
                <w:sz w:val="16"/>
              </w:rPr>
              <w:t xml:space="preserve">1.00</w:t>
            </w:r>
          </w:p>
        </w:tc>
        <w:tc>
          <w:tcPr>
            <w:tcW w:w="816" w:type="dxa"/>
          </w:tcPr>
          <w:p>
            <w:pPr>
              <w:pStyle w:val="Compact"/>
              <w:keepNext/>
              <w:spacing w:before="0" w:after="0" w:lineRule="exact" w:line="200"/>
              <w:jc w:val="left"/>
            </w:pPr>
            <w:r>
              <w:rPr>
                <w:sz w:val="16"/>
              </w:rPr>
              <w:t xml:space="preserve">1.12</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6.38</w:t>
            </w:r>
          </w:p>
        </w:tc>
        <w:tc>
          <w:tcPr>
            <w:tcW w:w="816" w:type="dxa"/>
          </w:tcPr>
          <w:p>
            <w:pPr>
              <w:pStyle w:val="Compact"/>
              <w:keepNext/>
              <w:spacing w:before="0" w:after="0" w:lineRule="exact" w:line="200"/>
              <w:jc w:val="left"/>
            </w:pPr>
            <w:r>
              <w:rPr>
                <w:sz w:val="16"/>
              </w:rPr>
              <w:t xml:space="preserve">4.00</w:t>
            </w:r>
          </w:p>
        </w:tc>
        <w:tc>
          <w:tcPr>
            <w:tcW w:w="990" w:type="dxa"/>
          </w:tcPr>
          <w:p>
            <w:pPr>
              <w:pStyle w:val="Compact"/>
              <w:keepNext/>
              <w:spacing w:before="0" w:after="0" w:lineRule="exact" w:line="200"/>
              <w:jc w:val="left"/>
            </w:pPr>
            <w:r>
              <w:rPr>
                <w:sz w:val="16"/>
              </w:rPr>
              <w:t xml:space="preserve">7.21</w:t>
            </w:r>
          </w:p>
        </w:tc>
      </w:tr>
      <w:tr>
        <w:trPr>
          <w:cantSplit/>
        </w:trPr>
        <w:tc>
          <w:tcPr>
            <w:tcW w:w="2331" w:type="dxa"/>
          </w:tcPr>
          <w:p>
            <w:pPr>
              <w:pStyle w:val="Compact"/>
              <w:keepNext/>
              <w:spacing w:before="0" w:after="0" w:lineRule="exact" w:line="200"/>
              <w:jc w:val="left"/>
            </w:pPr>
            <w:r>
              <w:rPr>
                <w:sz w:val="16"/>
              </w:rPr>
              <w:t xml:space="preserve">GDP growth, percent</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4.20</w:t>
            </w:r>
          </w:p>
        </w:tc>
        <w:tc>
          <w:tcPr>
            <w:tcW w:w="816" w:type="dxa"/>
          </w:tcPr>
          <w:p>
            <w:pPr>
              <w:pStyle w:val="Compact"/>
              <w:keepNext/>
              <w:spacing w:before="0" w:after="0" w:lineRule="exact" w:line="200"/>
              <w:jc w:val="left"/>
            </w:pPr>
            <w:r>
              <w:rPr>
                <w:sz w:val="16"/>
              </w:rPr>
              <w:t xml:space="preserve">5.05</w:t>
            </w:r>
          </w:p>
        </w:tc>
        <w:tc>
          <w:tcPr>
            <w:tcW w:w="816" w:type="dxa"/>
          </w:tcPr>
          <w:p>
            <w:pPr>
              <w:pStyle w:val="Compact"/>
              <w:keepNext/>
              <w:spacing w:before="0" w:after="0" w:lineRule="exact" w:line="200"/>
              <w:jc w:val="left"/>
            </w:pPr>
            <w:r>
              <w:rPr>
                <w:sz w:val="16"/>
              </w:rPr>
              <w:t xml:space="preserve">2.21</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3.06</w:t>
            </w:r>
          </w:p>
        </w:tc>
        <w:tc>
          <w:tcPr>
            <w:tcW w:w="816" w:type="dxa"/>
          </w:tcPr>
          <w:p>
            <w:pPr>
              <w:pStyle w:val="Compact"/>
              <w:keepNext/>
              <w:spacing w:before="0" w:after="0" w:lineRule="exact" w:line="200"/>
              <w:jc w:val="left"/>
            </w:pPr>
            <w:r>
              <w:rPr>
                <w:sz w:val="16"/>
              </w:rPr>
              <w:t xml:space="preserve">2.79</w:t>
            </w:r>
          </w:p>
        </w:tc>
        <w:tc>
          <w:tcPr>
            <w:tcW w:w="990" w:type="dxa"/>
          </w:tcPr>
          <w:p>
            <w:pPr>
              <w:pStyle w:val="Compact"/>
              <w:keepNext/>
              <w:spacing w:before="0" w:after="0" w:lineRule="exact" w:line="200"/>
              <w:jc w:val="left"/>
            </w:pPr>
            <w:r>
              <w:rPr>
                <w:sz w:val="16"/>
              </w:rPr>
              <w:t xml:space="preserve">3.00</w:t>
            </w:r>
          </w:p>
        </w:tc>
      </w:tr>
      <w:tr>
        <w:trPr>
          <w:cantSplit/>
        </w:trPr>
        <w:tc>
          <w:tcPr>
            <w:tcW w:w="2331" w:type="dxa"/>
          </w:tcPr>
          <w:p>
            <w:pPr>
              <w:pStyle w:val="Compact"/>
              <w:keepNext/>
              <w:spacing w:before="0" w:after="0" w:lineRule="exact" w:line="200"/>
              <w:jc w:val="left"/>
            </w:pPr>
            <w:r>
              <w:rPr>
                <w:sz w:val="16"/>
              </w:rPr>
              <w:t xml:space="preserve">Inflation, percent</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2.91</w:t>
            </w:r>
          </w:p>
        </w:tc>
        <w:tc>
          <w:tcPr>
            <w:tcW w:w="816" w:type="dxa"/>
          </w:tcPr>
          <w:p>
            <w:pPr>
              <w:pStyle w:val="Compact"/>
              <w:keepNext/>
              <w:spacing w:before="0" w:after="0" w:lineRule="exact" w:line="200"/>
              <w:jc w:val="left"/>
            </w:pPr>
            <w:r>
              <w:rPr>
                <w:sz w:val="16"/>
              </w:rPr>
              <w:t xml:space="preserve">2.93</w:t>
            </w:r>
          </w:p>
        </w:tc>
        <w:tc>
          <w:tcPr>
            <w:tcW w:w="816" w:type="dxa"/>
          </w:tcPr>
          <w:p>
            <w:pPr>
              <w:pStyle w:val="Compact"/>
              <w:keepNext/>
              <w:spacing w:before="0" w:after="0" w:lineRule="exact" w:line="200"/>
              <w:jc w:val="left"/>
            </w:pPr>
            <w:r>
              <w:rPr>
                <w:sz w:val="16"/>
              </w:rPr>
              <w:t xml:space="preserve">1.08</w:t>
            </w:r>
          </w:p>
        </w:tc>
        <w:tc>
          <w:tcPr>
            <w:tcW w:w="990" w:type="dxa"/>
          </w:tcPr>
          <w:p>
            <w:pPr>
              <w:pStyle w:val="Compact"/>
              <w:keepNext/>
              <w:spacing w:before="0" w:after="0" w:lineRule="exact" w:line="200"/>
              <w:jc w:val="left"/>
            </w:pPr>
            <w:r>
              <w:rPr>
                <w:sz w:val="16"/>
              </w:rPr>
              <w:t xml:space="preserve">179</w:t>
            </w:r>
          </w:p>
        </w:tc>
        <w:tc>
          <w:tcPr>
            <w:tcW w:w="932" w:type="dxa"/>
          </w:tcPr>
          <w:p>
            <w:pPr>
              <w:pStyle w:val="Compact"/>
              <w:keepNext/>
              <w:spacing w:before="0" w:after="0" w:lineRule="exact" w:line="200"/>
              <w:jc w:val="left"/>
            </w:pPr>
            <w:r>
              <w:rPr>
                <w:sz w:val="16"/>
              </w:rPr>
              <w:t xml:space="preserve">8.55</w:t>
            </w:r>
          </w:p>
        </w:tc>
        <w:tc>
          <w:tcPr>
            <w:tcW w:w="816" w:type="dxa"/>
          </w:tcPr>
          <w:p>
            <w:pPr>
              <w:pStyle w:val="Compact"/>
              <w:keepNext/>
              <w:spacing w:before="0" w:after="0" w:lineRule="exact" w:line="200"/>
              <w:jc w:val="left"/>
            </w:pPr>
            <w:r>
              <w:rPr>
                <w:sz w:val="16"/>
              </w:rPr>
              <w:t xml:space="preserve">2.95</w:t>
            </w:r>
          </w:p>
        </w:tc>
        <w:tc>
          <w:tcPr>
            <w:tcW w:w="990" w:type="dxa"/>
          </w:tcPr>
          <w:p>
            <w:pPr>
              <w:pStyle w:val="Compact"/>
              <w:keepNext/>
              <w:spacing w:before="0" w:after="0" w:lineRule="exact" w:line="200"/>
              <w:jc w:val="left"/>
            </w:pPr>
            <w:r>
              <w:rPr>
                <w:sz w:val="16"/>
              </w:rPr>
              <w:t xml:space="preserve">21.84</w:t>
            </w:r>
          </w:p>
        </w:tc>
      </w:tr>
      <w:tr>
        <w:trPr>
          <w:cantSplit/>
        </w:trPr>
        <w:tc>
          <w:tcPr>
            <w:tcW w:w="2331" w:type="dxa"/>
          </w:tcPr>
          <w:p>
            <w:pPr>
              <w:pStyle w:val="Compact"/>
              <w:keepNext/>
              <w:spacing w:before="0" w:after="0" w:lineRule="exact" w:line="200"/>
              <w:jc w:val="left"/>
            </w:pPr>
            <w:r>
              <w:rPr>
                <w:sz w:val="16"/>
              </w:rPr>
              <w:t xml:space="preserve">Household spending growth, percent</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3.77</w:t>
            </w:r>
          </w:p>
        </w:tc>
        <w:tc>
          <w:tcPr>
            <w:tcW w:w="816" w:type="dxa"/>
          </w:tcPr>
          <w:p>
            <w:pPr>
              <w:pStyle w:val="Compact"/>
              <w:keepNext/>
              <w:spacing w:before="0" w:after="0" w:lineRule="exact" w:line="200"/>
              <w:jc w:val="left"/>
            </w:pPr>
            <w:r>
              <w:rPr>
                <w:sz w:val="16"/>
              </w:rPr>
              <w:t xml:space="preserve">4.95</w:t>
            </w:r>
          </w:p>
        </w:tc>
        <w:tc>
          <w:tcPr>
            <w:tcW w:w="816" w:type="dxa"/>
          </w:tcPr>
          <w:p>
            <w:pPr>
              <w:pStyle w:val="Compact"/>
              <w:keepNext/>
              <w:spacing w:before="0" w:after="0" w:lineRule="exact" w:line="200"/>
              <w:jc w:val="left"/>
            </w:pPr>
            <w:r>
              <w:rPr>
                <w:sz w:val="16"/>
              </w:rPr>
              <w:t xml:space="preserve">2.45</w:t>
            </w:r>
          </w:p>
        </w:tc>
        <w:tc>
          <w:tcPr>
            <w:tcW w:w="990" w:type="dxa"/>
          </w:tcPr>
          <w:p>
            <w:pPr>
              <w:pStyle w:val="Compact"/>
              <w:keepNext/>
              <w:spacing w:before="0" w:after="0" w:lineRule="exact" w:line="200"/>
              <w:jc w:val="left"/>
            </w:pPr>
            <w:r>
              <w:rPr>
                <w:sz w:val="16"/>
              </w:rPr>
              <w:t xml:space="preserve">174</w:t>
            </w:r>
          </w:p>
        </w:tc>
        <w:tc>
          <w:tcPr>
            <w:tcW w:w="932" w:type="dxa"/>
          </w:tcPr>
          <w:p>
            <w:pPr>
              <w:pStyle w:val="Compact"/>
              <w:keepNext/>
              <w:spacing w:before="0" w:after="0" w:lineRule="exact" w:line="200"/>
              <w:jc w:val="left"/>
            </w:pPr>
            <w:r>
              <w:rPr>
                <w:sz w:val="16"/>
              </w:rPr>
              <w:t xml:space="preserve">3.55</w:t>
            </w:r>
          </w:p>
        </w:tc>
        <w:tc>
          <w:tcPr>
            <w:tcW w:w="816" w:type="dxa"/>
          </w:tcPr>
          <w:p>
            <w:pPr>
              <w:pStyle w:val="Compact"/>
              <w:keepNext/>
              <w:spacing w:before="0" w:after="0" w:lineRule="exact" w:line="200"/>
              <w:jc w:val="left"/>
            </w:pPr>
            <w:r>
              <w:rPr>
                <w:sz w:val="16"/>
              </w:rPr>
              <w:t xml:space="preserve">2.95</w:t>
            </w:r>
          </w:p>
        </w:tc>
        <w:tc>
          <w:tcPr>
            <w:tcW w:w="990" w:type="dxa"/>
          </w:tcPr>
          <w:p>
            <w:pPr>
              <w:pStyle w:val="Compact"/>
              <w:keepNext/>
              <w:spacing w:before="0" w:after="0" w:lineRule="exact" w:line="200"/>
              <w:jc w:val="left"/>
            </w:pPr>
            <w:r>
              <w:rPr>
                <w:sz w:val="16"/>
              </w:rPr>
              <w:t xml:space="preserve">4.21</w:t>
            </w:r>
          </w:p>
        </w:tc>
      </w:tr>
      <w:tr>
        <w:trPr>
          <w:cantSplit/>
        </w:trPr>
        <w:tc>
          <w:tcPr>
            <w:tcW w:w="2331" w:type="dxa"/>
          </w:tcPr>
          <w:p>
            <w:pPr>
              <w:pStyle w:val="Compact"/>
              <w:spacing w:before="0" w:after="0" w:lineRule="exact" w:line="200"/>
              <w:jc w:val="left"/>
            </w:pPr>
            <w:r>
              <w:rPr>
                <w:sz w:val="16"/>
              </w:rPr>
              <w:t xml:space="preserve">Policy rate, percent</w:t>
            </w:r>
          </w:p>
        </w:tc>
        <w:tc>
          <w:tcPr>
            <w:tcW w:w="1690" w:type="dxa"/>
          </w:tcPr>
          <w:p>
            <w:pPr>
              <w:pStyle w:val="Compact"/>
              <w:spacing w:before="0" w:after="0" w:lineRule="exact" w:line="200"/>
              <w:jc w:val="left"/>
            </w:pPr>
            <w:r>
              <w:rPr>
                <w:sz w:val="16"/>
              </w:rPr>
              <w:t xml:space="preserve">20</w:t>
            </w:r>
          </w:p>
        </w:tc>
        <w:tc>
          <w:tcPr>
            <w:tcW w:w="816" w:type="dxa"/>
          </w:tcPr>
          <w:p>
            <w:pPr>
              <w:pStyle w:val="Compact"/>
              <w:spacing w:before="0" w:after="0" w:lineRule="exact" w:line="200"/>
              <w:jc w:val="left"/>
            </w:pPr>
            <w:r>
              <w:rPr>
                <w:sz w:val="16"/>
              </w:rPr>
              <w:t xml:space="preserve">4.85</w:t>
            </w:r>
          </w:p>
        </w:tc>
        <w:tc>
          <w:tcPr>
            <w:tcW w:w="816" w:type="dxa"/>
          </w:tcPr>
          <w:p>
            <w:pPr>
              <w:pStyle w:val="Compact"/>
              <w:spacing w:before="0" w:after="0" w:lineRule="exact" w:line="200"/>
              <w:jc w:val="left"/>
            </w:pPr>
            <w:r>
              <w:rPr>
                <w:sz w:val="16"/>
              </w:rPr>
              <w:t xml:space="preserve">4.76</w:t>
            </w:r>
          </w:p>
        </w:tc>
        <w:tc>
          <w:tcPr>
            <w:tcW w:w="816" w:type="dxa"/>
          </w:tcPr>
          <w:p>
            <w:pPr>
              <w:pStyle w:val="Compact"/>
              <w:spacing w:before="0" w:after="0" w:lineRule="exact" w:line="200"/>
              <w:jc w:val="left"/>
            </w:pPr>
            <w:r>
              <w:rPr>
                <w:sz w:val="16"/>
              </w:rPr>
              <w:t xml:space="preserve">1.01</w:t>
            </w:r>
          </w:p>
        </w:tc>
        <w:tc>
          <w:tcPr>
            <w:tcW w:w="990" w:type="dxa"/>
          </w:tcPr>
          <w:p>
            <w:pPr>
              <w:pStyle w:val="Compact"/>
              <w:spacing w:before="0" w:after="0" w:lineRule="exact" w:line="200"/>
              <w:jc w:val="left"/>
            </w:pPr>
            <w:r>
              <w:rPr>
                <w:sz w:val="16"/>
              </w:rPr>
              <w:t xml:space="preserve">183</w:t>
            </w:r>
          </w:p>
        </w:tc>
        <w:tc>
          <w:tcPr>
            <w:tcW w:w="932" w:type="dxa"/>
          </w:tcPr>
          <w:p>
            <w:pPr>
              <w:pStyle w:val="Compact"/>
              <w:spacing w:before="0" w:after="0" w:lineRule="exact" w:line="200"/>
              <w:jc w:val="left"/>
            </w:pPr>
            <w:r>
              <w:rPr>
                <w:sz w:val="16"/>
              </w:rPr>
              <w:t xml:space="preserve">6.24</w:t>
            </w:r>
          </w:p>
        </w:tc>
        <w:tc>
          <w:tcPr>
            <w:tcW w:w="816" w:type="dxa"/>
          </w:tcPr>
          <w:p>
            <w:pPr>
              <w:pStyle w:val="Compact"/>
              <w:spacing w:before="0" w:after="0" w:lineRule="exact" w:line="200"/>
              <w:jc w:val="left"/>
            </w:pPr>
            <w:r>
              <w:rPr>
                <w:sz w:val="16"/>
              </w:rPr>
              <w:t xml:space="preserve">3.91</w:t>
            </w:r>
          </w:p>
        </w:tc>
        <w:tc>
          <w:tcPr>
            <w:tcW w:w="990" w:type="dxa"/>
          </w:tcPr>
          <w:p>
            <w:pPr>
              <w:pStyle w:val="Compact"/>
              <w:spacing w:before="0" w:after="0" w:lineRule="exact" w:line="200"/>
              <w:jc w:val="left"/>
            </w:pPr>
            <w:r>
              <w:rPr>
                <w:sz w:val="16"/>
              </w:rPr>
              <w:t xml:space="preserve">12.34</w:t>
            </w:r>
          </w:p>
        </w:tc>
      </w:tr>
    </w:tbl>
    <w:p>
      <w:pPr>
        <w:pStyle w:val="BodyText"/>
        <w:keepNext/>
        <w:spacing w:before="40" w:after="70" w:lineRule="exact" w:line="220"/>
        <w:jc w:val="left"/>
      </w:pPr>
      <w:r>
        <w:rPr>
          <w:iCs/>
          <w:i/>
          <w:color w:val="222222"/>
          <w:sz w:val="16"/>
        </w:rPr>
        <w:t xml:space="preserve">Panel B. Pairwise correlations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1864"/>
        <w:gridCol w:w="932"/>
        <w:gridCol w:w="1041"/>
        <w:gridCol w:w="1041"/>
        <w:gridCol w:w="1041"/>
        <w:gridCol w:w="932"/>
        <w:gridCol w:w="1041"/>
        <w:gridCol w:w="767"/>
        <w:gridCol w:w="932"/>
        <w:gridCol w:w="603"/>
      </w:tblGrid>
      <w:tr>
        <w:trPr>
          <w:tblHeader w:val="true"/>
          <w:cantSplit/>
          <w:tblHeader/>
        </w:trPr>
        <w:tc>
          <w:tcPr>
            <w:tcW w:w="1864" w:type="dxa"/>
            <w:tcBorders>
              <w:bottom w:val="single" w:sz="4" w:space="0" w:color="111111"/>
            </w:tcBorders>
          </w:tcPr>
          <w:p>
            <w:pPr>
              <w:pStyle w:val="Compact"/>
              <w:keepNext/>
              <w:spacing w:before="0" w:after="0" w:lineRule="exact" w:line="200"/>
              <w:jc w:val="left"/>
            </w:pPr>
            <w:r>
              <w:rPr>
                <w:b/>
                <w:sz w:val="16"/>
              </w:rPr>
              <w:t xml:space="preserve">Variables</w:t>
            </w:r>
          </w:p>
        </w:tc>
        <w:tc>
          <w:tcPr>
            <w:tcW w:w="932" w:type="dxa"/>
            <w:tcBorders>
              <w:bottom w:val="single" w:sz="4" w:space="0" w:color="111111"/>
            </w:tcBorders>
          </w:tcPr>
          <w:p>
            <w:pPr>
              <w:pStyle w:val="Compact"/>
              <w:keepNext/>
              <w:spacing w:before="0" w:after="0" w:lineRule="exact" w:line="200"/>
              <w:jc w:val="left"/>
            </w:pPr>
            <w:r>
              <w:rPr>
                <w:b/>
                <w:sz w:val="16"/>
              </w:rPr>
              <w:t xml:space="preserve">(1)</w:t>
            </w:r>
          </w:p>
        </w:tc>
        <w:tc>
          <w:tcPr>
            <w:tcW w:w="1041" w:type="dxa"/>
            <w:tcBorders>
              <w:bottom w:val="single" w:sz="4" w:space="0" w:color="111111"/>
            </w:tcBorders>
          </w:tcPr>
          <w:p>
            <w:pPr>
              <w:pStyle w:val="Compact"/>
              <w:keepNext/>
              <w:spacing w:before="0" w:after="0" w:lineRule="exact" w:line="200"/>
              <w:jc w:val="left"/>
            </w:pPr>
            <w:r>
              <w:rPr>
                <w:b/>
                <w:sz w:val="16"/>
              </w:rPr>
              <w:t xml:space="preserve">(2)</w:t>
            </w:r>
          </w:p>
        </w:tc>
        <w:tc>
          <w:tcPr>
            <w:tcW w:w="1041" w:type="dxa"/>
            <w:tcBorders>
              <w:bottom w:val="single" w:sz="4" w:space="0" w:color="111111"/>
            </w:tcBorders>
          </w:tcPr>
          <w:p>
            <w:pPr>
              <w:pStyle w:val="Compact"/>
              <w:keepNext/>
              <w:spacing w:before="0" w:after="0" w:lineRule="exact" w:line="200"/>
              <w:jc w:val="left"/>
            </w:pPr>
            <w:r>
              <w:rPr>
                <w:b/>
                <w:sz w:val="16"/>
              </w:rPr>
              <w:t xml:space="preserve">(3)</w:t>
            </w:r>
          </w:p>
        </w:tc>
        <w:tc>
          <w:tcPr>
            <w:tcW w:w="1041" w:type="dxa"/>
            <w:tcBorders>
              <w:bottom w:val="single" w:sz="4" w:space="0" w:color="111111"/>
            </w:tcBorders>
          </w:tcPr>
          <w:p>
            <w:pPr>
              <w:pStyle w:val="Compact"/>
              <w:keepNext/>
              <w:spacing w:before="0" w:after="0" w:lineRule="exact" w:line="200"/>
              <w:jc w:val="left"/>
            </w:pPr>
            <w:r>
              <w:rPr>
                <w:b/>
                <w:sz w:val="16"/>
              </w:rPr>
              <w:t xml:space="preserve">(4)</w:t>
            </w:r>
          </w:p>
        </w:tc>
        <w:tc>
          <w:tcPr>
            <w:tcW w:w="932" w:type="dxa"/>
            <w:tcBorders>
              <w:bottom w:val="single" w:sz="4" w:space="0" w:color="111111"/>
            </w:tcBorders>
          </w:tcPr>
          <w:p>
            <w:pPr>
              <w:pStyle w:val="Compact"/>
              <w:keepNext/>
              <w:spacing w:before="0" w:after="0" w:lineRule="exact" w:line="200"/>
              <w:jc w:val="left"/>
            </w:pPr>
            <w:r>
              <w:rPr>
                <w:b/>
                <w:sz w:val="16"/>
              </w:rPr>
              <w:t xml:space="preserve">(5)</w:t>
            </w:r>
          </w:p>
        </w:tc>
        <w:tc>
          <w:tcPr>
            <w:tcW w:w="1041" w:type="dxa"/>
            <w:tcBorders>
              <w:bottom w:val="single" w:sz="4" w:space="0" w:color="111111"/>
            </w:tcBorders>
          </w:tcPr>
          <w:p>
            <w:pPr>
              <w:pStyle w:val="Compact"/>
              <w:keepNext/>
              <w:spacing w:before="0" w:after="0" w:lineRule="exact" w:line="200"/>
              <w:jc w:val="left"/>
            </w:pPr>
            <w:r>
              <w:rPr>
                <w:b/>
                <w:sz w:val="16"/>
              </w:rPr>
              <w:t xml:space="preserve">(6)</w:t>
            </w:r>
          </w:p>
        </w:tc>
        <w:tc>
          <w:tcPr>
            <w:tcW w:w="767" w:type="dxa"/>
            <w:tcBorders>
              <w:bottom w:val="single" w:sz="4" w:space="0" w:color="111111"/>
            </w:tcBorders>
          </w:tcPr>
          <w:p>
            <w:pPr>
              <w:pStyle w:val="Compact"/>
              <w:keepNext/>
              <w:spacing w:before="0" w:after="0" w:lineRule="exact" w:line="200"/>
              <w:jc w:val="left"/>
            </w:pPr>
            <w:r>
              <w:rPr>
                <w:b/>
                <w:sz w:val="16"/>
              </w:rPr>
              <w:t xml:space="preserve">(7)</w:t>
            </w:r>
          </w:p>
        </w:tc>
        <w:tc>
          <w:tcPr>
            <w:tcW w:w="932" w:type="dxa"/>
            <w:tcBorders>
              <w:bottom w:val="single" w:sz="4" w:space="0" w:color="111111"/>
            </w:tcBorders>
          </w:tcPr>
          <w:p>
            <w:pPr>
              <w:pStyle w:val="Compact"/>
              <w:keepNext/>
              <w:spacing w:before="0" w:after="0" w:lineRule="exact" w:line="200"/>
              <w:jc w:val="left"/>
            </w:pPr>
            <w:r>
              <w:rPr>
                <w:b/>
                <w:sz w:val="16"/>
              </w:rPr>
              <w:t xml:space="preserve">(8)</w:t>
            </w:r>
          </w:p>
        </w:tc>
        <w:tc>
          <w:tcPr>
            <w:tcW w:w="603" w:type="dxa"/>
            <w:tcBorders>
              <w:bottom w:val="single" w:sz="4" w:space="0" w:color="111111"/>
            </w:tcBorders>
          </w:tcPr>
          <w:p>
            <w:pPr>
              <w:pStyle w:val="Compact"/>
              <w:keepNext/>
              <w:spacing w:before="0" w:after="0" w:lineRule="exact" w:line="200"/>
              <w:jc w:val="left"/>
            </w:pPr>
            <w:r>
              <w:rPr>
                <w:b/>
                <w:sz w:val="16"/>
              </w:rPr>
              <w:t xml:space="preserve">(9)</w:t>
            </w:r>
          </w:p>
        </w:tc>
      </w:tr>
      <w:tr>
        <w:trPr>
          <w:cantSplit/>
        </w:trPr>
        <w:tc>
          <w:tcPr>
            <w:tcW w:w="1864" w:type="dxa"/>
          </w:tcPr>
          <w:p>
            <w:pPr>
              <w:pStyle w:val="Compact"/>
              <w:keepNext/>
              <w:spacing w:before="0" w:after="0" w:lineRule="exact" w:line="200"/>
              <w:jc w:val="left"/>
            </w:pPr>
            <w:r>
              <w:rPr>
                <w:sz w:val="16"/>
              </w:rPr>
              <w:t xml:space="preserve">(1) ln(Wedge)</w:t>
            </w:r>
          </w:p>
        </w:tc>
        <w:tc>
          <w:tcPr>
            <w:tcW w:w="932"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(2) Ecosystem ratio</w:t>
            </w:r>
          </w:p>
        </w:tc>
        <w:tc>
          <w:tcPr>
            <w:tcW w:w="932" w:type="dxa"/>
          </w:tcPr>
          <w:p>
            <w:pPr>
              <w:pStyle w:val="Compact"/>
              <w:keepNext/>
              <w:spacing w:before="0" w:after="0" w:lineRule="exact" w:line="200"/>
              <w:jc w:val="left"/>
            </w:pPr>
            <w:r>
              <w:rPr>
                <w:sz w:val="16"/>
              </w:rPr>
              <w:t xml:space="preserve">0.37∗∗∗</w:t>
            </w:r>
          </w:p>
        </w:tc>
        <w:tc>
          <w:tcPr>
            <w:tcW w:w="1041"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(3) g(R)</w:t>
            </w:r>
          </w:p>
        </w:tc>
        <w:tc>
          <w:tcPr>
            <w:tcW w:w="932" w:type="dxa"/>
          </w:tcPr>
          <w:p>
            <w:pPr>
              <w:pStyle w:val="Compact"/>
              <w:keepNext/>
              <w:spacing w:before="0" w:after="0" w:lineRule="exact" w:line="200"/>
              <w:jc w:val="left"/>
            </w:pPr>
            <w:r>
              <w:rPr>
                <w:sz w:val="16"/>
              </w:rPr>
              <w:t xml:space="preserve">0.13∗</w:t>
            </w:r>
          </w:p>
        </w:tc>
        <w:tc>
          <w:tcPr>
            <w:tcW w:w="1041" w:type="dxa"/>
          </w:tcPr>
          <w:p>
            <w:pPr>
              <w:pStyle w:val="Compact"/>
              <w:keepNext/>
              <w:spacing w:before="0" w:after="0" w:lineRule="exact" w:line="200"/>
              <w:jc w:val="left"/>
            </w:pPr>
            <w:r>
              <w:rPr>
                <w:sz w:val="16"/>
              </w:rPr>
              <w:t xml:space="preserve">0.18∗∗</w:t>
            </w:r>
          </w:p>
        </w:tc>
        <w:tc>
          <w:tcPr>
            <w:tcW w:w="1041"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(4) g(V)</w:t>
            </w:r>
          </w:p>
        </w:tc>
        <w:tc>
          <w:tcPr>
            <w:tcW w:w="932" w:type="dxa"/>
          </w:tcPr>
          <w:p>
            <w:pPr>
              <w:pStyle w:val="Compact"/>
              <w:keepNext/>
              <w:spacing w:before="0" w:after="0" w:lineRule="exact" w:line="200"/>
              <w:jc w:val="left"/>
            </w:pPr>
            <w:r>
              <w:rPr>
                <w:sz w:val="16"/>
              </w:rPr>
              <w:t xml:space="preserve">0.05</w:t>
            </w:r>
          </w:p>
        </w:tc>
        <w:tc>
          <w:tcPr>
            <w:tcW w:w="1041" w:type="dxa"/>
          </w:tcPr>
          <w:p>
            <w:pPr>
              <w:pStyle w:val="Compact"/>
              <w:keepNext/>
              <w:spacing w:before="0" w:after="0" w:lineRule="exact" w:line="200"/>
              <w:jc w:val="left"/>
            </w:pPr>
            <w:r>
              <w:rPr>
                <w:sz w:val="16"/>
              </w:rPr>
              <w:t xml:space="preserve">0.15∗</w:t>
            </w:r>
          </w:p>
        </w:tc>
        <w:tc>
          <w:tcPr>
            <w:tcW w:w="1041" w:type="dxa"/>
          </w:tcPr>
          <w:p>
            <w:pPr>
              <w:pStyle w:val="Compact"/>
              <w:keepNext/>
              <w:spacing w:before="0" w:after="0" w:lineRule="exact" w:line="200"/>
              <w:jc w:val="left"/>
            </w:pPr>
            <w:r>
              <w:rPr>
                <w:sz w:val="16"/>
              </w:rPr>
              <w:t xml:space="preserve">0.84∗∗∗</w:t>
            </w:r>
          </w:p>
        </w:tc>
        <w:tc>
          <w:tcPr>
            <w:tcW w:w="1041" w:type="dxa"/>
          </w:tcPr>
          <w:p>
            <w:pPr>
              <w:pStyle w:val="Compact"/>
              <w:keepNext/>
              <w:spacing w:before="0" w:after="0" w:lineRule="exact" w:line="200"/>
              <w:jc w:val="left"/>
            </w:pPr>
            <w:r>
              <w:rPr>
                <w:sz w:val="16"/>
              </w:rPr>
              <w:t xml:space="preserve">1</w:t>
            </w: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(5) ln(Assets)</w:t>
            </w:r>
          </w:p>
        </w:tc>
        <w:tc>
          <w:tcPr>
            <w:tcW w:w="932" w:type="dxa"/>
          </w:tcPr>
          <w:p>
            <w:pPr>
              <w:pStyle w:val="Compact"/>
              <w:keepNext/>
              <w:spacing w:before="0" w:after="0" w:lineRule="exact" w:line="200"/>
              <w:jc w:val="left"/>
            </w:pPr>
            <w:r>
              <w:rPr>
                <w:sz w:val="16"/>
              </w:rPr>
              <w:t xml:space="preserve">0.88∗∗∗</w:t>
            </w:r>
          </w:p>
        </w:tc>
        <w:tc>
          <w:tcPr>
            <w:tcW w:w="1041" w:type="dxa"/>
          </w:tcPr>
          <w:p>
            <w:pPr>
              <w:pStyle w:val="Compact"/>
              <w:keepNext/>
              <w:spacing w:before="0" w:after="0" w:lineRule="exact" w:line="200"/>
              <w:jc w:val="left"/>
            </w:pPr>
            <w:r>
              <w:rPr>
                <w:sz w:val="16"/>
              </w:rPr>
              <w:t xml:space="preserve">0.10</w:t>
            </w:r>
          </w:p>
        </w:tc>
        <w:tc>
          <w:tcPr>
            <w:tcW w:w="1041" w:type="dxa"/>
          </w:tcPr>
          <w:p>
            <w:pPr>
              <w:pStyle w:val="Compact"/>
              <w:keepNext/>
              <w:spacing w:before="0" w:after="0" w:lineRule="exact" w:line="200"/>
              <w:jc w:val="left"/>
            </w:pPr>
            <w:r>
              <w:rPr>
                <w:sz w:val="16"/>
              </w:rPr>
              <w:t xml:space="preserve">0.10</w:t>
            </w:r>
          </w:p>
        </w:tc>
        <w:tc>
          <w:tcPr>
            <w:tcW w:w="1041" w:type="dxa"/>
          </w:tcPr>
          <w:p>
            <w:pPr>
              <w:pStyle w:val="Compact"/>
              <w:keepNext/>
              <w:spacing w:before="0" w:after="0" w:lineRule="exact" w:line="200"/>
              <w:jc w:val="left"/>
            </w:pPr>
            <w:r>
              <w:rPr>
                <w:sz w:val="16"/>
              </w:rPr>
              <w:t xml:space="preserve">0.01</w:t>
            </w:r>
          </w:p>
        </w:tc>
        <w:tc>
          <w:tcPr>
            <w:tcW w:w="932"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(6) ln(1+YearsListed)</w:t>
            </w:r>
          </w:p>
        </w:tc>
        <w:tc>
          <w:tcPr>
            <w:tcW w:w="932" w:type="dxa"/>
          </w:tcPr>
          <w:p>
            <w:pPr>
              <w:pStyle w:val="Compact"/>
              <w:keepNext/>
              <w:spacing w:before="0" w:after="0" w:lineRule="exact" w:line="200"/>
              <w:jc w:val="left"/>
            </w:pPr>
            <w:r>
              <w:rPr>
                <w:sz w:val="16"/>
              </w:rPr>
              <w:t xml:space="preserve">0.44∗∗∗</w:t>
            </w:r>
          </w:p>
        </w:tc>
        <w:tc>
          <w:tcPr>
            <w:tcW w:w="1041" w:type="dxa"/>
          </w:tcPr>
          <w:p>
            <w:pPr>
              <w:pStyle w:val="Compact"/>
              <w:keepNext/>
              <w:spacing w:before="0" w:after="0" w:lineRule="exact" w:line="200"/>
              <w:jc w:val="left"/>
            </w:pPr>
            <w:r>
              <w:rPr>
                <w:sz w:val="16"/>
              </w:rPr>
              <w:t xml:space="preserve">-0.20∗∗∗</w:t>
            </w:r>
          </w:p>
        </w:tc>
        <w:tc>
          <w:tcPr>
            <w:tcW w:w="1041" w:type="dxa"/>
          </w:tcPr>
          <w:p>
            <w:pPr>
              <w:pStyle w:val="Compact"/>
              <w:keepNext/>
              <w:spacing w:before="0" w:after="0" w:lineRule="exact" w:line="200"/>
              <w:jc w:val="left"/>
            </w:pPr>
            <w:r>
              <w:rPr>
                <w:sz w:val="16"/>
              </w:rPr>
              <w:t xml:space="preserve">-0.30∗∗∗</w:t>
            </w:r>
          </w:p>
        </w:tc>
        <w:tc>
          <w:tcPr>
            <w:tcW w:w="1041" w:type="dxa"/>
          </w:tcPr>
          <w:p>
            <w:pPr>
              <w:pStyle w:val="Compact"/>
              <w:keepNext/>
              <w:spacing w:before="0" w:after="0" w:lineRule="exact" w:line="200"/>
              <w:jc w:val="left"/>
            </w:pPr>
            <w:r>
              <w:rPr>
                <w:sz w:val="16"/>
              </w:rPr>
              <w:t xml:space="preserve">-0.35∗∗∗</w:t>
            </w:r>
          </w:p>
        </w:tc>
        <w:tc>
          <w:tcPr>
            <w:tcW w:w="932" w:type="dxa"/>
          </w:tcPr>
          <w:p>
            <w:pPr>
              <w:pStyle w:val="Compact"/>
              <w:keepNext/>
              <w:spacing w:before="0" w:after="0" w:lineRule="exact" w:line="200"/>
              <w:jc w:val="left"/>
            </w:pPr>
            <w:r>
              <w:rPr>
                <w:sz w:val="16"/>
              </w:rPr>
              <w:t xml:space="preserve">0.46∗∗∗</w:t>
            </w:r>
          </w:p>
        </w:tc>
        <w:tc>
          <w:tcPr>
            <w:tcW w:w="1041" w:type="dxa"/>
          </w:tcPr>
          <w:p>
            <w:pPr>
              <w:pStyle w:val="Compact"/>
              <w:keepNext/>
              <w:spacing w:before="0" w:after="0" w:lineRule="exact" w:line="200"/>
              <w:jc w:val="left"/>
            </w:pPr>
            <w:r>
              <w:rPr>
                <w:sz w:val="16"/>
              </w:rPr>
              <w:t xml:space="preserve">1</w:t>
            </w: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(7) IndonesiaRegion</w:t>
            </w:r>
          </w:p>
        </w:tc>
        <w:tc>
          <w:tcPr>
            <w:tcW w:w="932" w:type="dxa"/>
          </w:tcPr>
          <w:p>
            <w:pPr>
              <w:pStyle w:val="Compact"/>
              <w:keepNext/>
              <w:spacing w:before="0" w:after="0" w:lineRule="exact" w:line="200"/>
              <w:jc w:val="left"/>
            </w:pPr>
            <w:r>
              <w:rPr>
                <w:sz w:val="16"/>
              </w:rPr>
              <w:t xml:space="preserve">0.02</w:t>
            </w:r>
          </w:p>
        </w:tc>
        <w:tc>
          <w:tcPr>
            <w:tcW w:w="1041" w:type="dxa"/>
          </w:tcPr>
          <w:p>
            <w:pPr>
              <w:pStyle w:val="Compact"/>
              <w:keepNext/>
              <w:spacing w:before="0" w:after="0" w:lineRule="exact" w:line="200"/>
              <w:jc w:val="left"/>
            </w:pPr>
            <w:r>
              <w:rPr>
                <w:sz w:val="16"/>
              </w:rPr>
              <w:t xml:space="preserve">0.42∗∗∗</w:t>
            </w:r>
          </w:p>
        </w:tc>
        <w:tc>
          <w:tcPr>
            <w:tcW w:w="1041" w:type="dxa"/>
          </w:tcPr>
          <w:p>
            <w:pPr>
              <w:pStyle w:val="Compact"/>
              <w:keepNext/>
              <w:spacing w:before="0" w:after="0" w:lineRule="exact" w:line="200"/>
              <w:jc w:val="left"/>
            </w:pPr>
            <w:r>
              <w:rPr>
                <w:sz w:val="16"/>
              </w:rPr>
              <w:t xml:space="preserve">0.13∗</w:t>
            </w:r>
          </w:p>
        </w:tc>
        <w:tc>
          <w:tcPr>
            <w:tcW w:w="1041" w:type="dxa"/>
          </w:tcPr>
          <w:p>
            <w:pPr>
              <w:pStyle w:val="Compact"/>
              <w:keepNext/>
              <w:spacing w:before="0" w:after="0" w:lineRule="exact" w:line="200"/>
              <w:jc w:val="left"/>
            </w:pPr>
            <w:r>
              <w:rPr>
                <w:sz w:val="16"/>
              </w:rPr>
              <w:t xml:space="preserve">-0.03</w:t>
            </w:r>
          </w:p>
        </w:tc>
        <w:tc>
          <w:tcPr>
            <w:tcW w:w="932" w:type="dxa"/>
          </w:tcPr>
          <w:p>
            <w:pPr>
              <w:pStyle w:val="Compact"/>
              <w:keepNext/>
              <w:spacing w:before="0" w:after="0" w:lineRule="exact" w:line="200"/>
              <w:jc w:val="left"/>
            </w:pPr>
            <w:r>
              <w:rPr>
                <w:sz w:val="16"/>
              </w:rPr>
              <w:t xml:space="preserve">0.04</w:t>
            </w:r>
          </w:p>
        </w:tc>
        <w:tc>
          <w:tcPr>
            <w:tcW w:w="1041" w:type="dxa"/>
          </w:tcPr>
          <w:p>
            <w:pPr>
              <w:pStyle w:val="Compact"/>
              <w:keepNext/>
              <w:spacing w:before="0" w:after="0" w:lineRule="exact" w:line="200"/>
              <w:jc w:val="left"/>
            </w:pPr>
            <w:r>
              <w:rPr>
                <w:sz w:val="16"/>
              </w:rPr>
              <w:t xml:space="preserve">-0.27∗∗∗</w:t>
            </w:r>
          </w:p>
        </w:tc>
        <w:tc>
          <w:tcPr>
            <w:tcW w:w="767" w:type="dxa"/>
          </w:tcPr>
          <w:p>
            <w:pPr>
              <w:pStyle w:val="Compact"/>
              <w:keepNext/>
              <w:spacing w:before="0" w:after="0" w:lineRule="exact" w:line="200"/>
              <w:jc w:val="left"/>
            </w:pPr>
            <w:r>
              <w:rPr>
                <w:sz w:val="16"/>
              </w:rPr>
              <w:t xml:space="preserve">1</w:t>
            </w: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(8) GDPGrowth</w:t>
            </w:r>
          </w:p>
        </w:tc>
        <w:tc>
          <w:tcPr>
            <w:tcW w:w="932" w:type="dxa"/>
          </w:tcPr>
          <w:p>
            <w:pPr>
              <w:pStyle w:val="Compact"/>
              <w:keepNext/>
              <w:spacing w:before="0" w:after="0" w:lineRule="exact" w:line="200"/>
              <w:jc w:val="left"/>
            </w:pPr>
            <w:r>
              <w:rPr>
                <w:sz w:val="16"/>
              </w:rPr>
              <w:t xml:space="preserve">0.10</w:t>
            </w:r>
          </w:p>
        </w:tc>
        <w:tc>
          <w:tcPr>
            <w:tcW w:w="1041" w:type="dxa"/>
          </w:tcPr>
          <w:p>
            <w:pPr>
              <w:pStyle w:val="Compact"/>
              <w:keepNext/>
              <w:spacing w:before="0" w:after="0" w:lineRule="exact" w:line="200"/>
              <w:jc w:val="left"/>
            </w:pPr>
            <w:r>
              <w:rPr>
                <w:sz w:val="16"/>
              </w:rPr>
              <w:t xml:space="preserve">0.23∗∗∗</w:t>
            </w:r>
          </w:p>
        </w:tc>
        <w:tc>
          <w:tcPr>
            <w:tcW w:w="1041" w:type="dxa"/>
          </w:tcPr>
          <w:p>
            <w:pPr>
              <w:pStyle w:val="Compact"/>
              <w:keepNext/>
              <w:spacing w:before="0" w:after="0" w:lineRule="exact" w:line="200"/>
              <w:jc w:val="left"/>
            </w:pPr>
            <w:r>
              <w:rPr>
                <w:sz w:val="16"/>
              </w:rPr>
              <w:t xml:space="preserve">0.23∗∗∗</w:t>
            </w:r>
          </w:p>
        </w:tc>
        <w:tc>
          <w:tcPr>
            <w:tcW w:w="1041" w:type="dxa"/>
          </w:tcPr>
          <w:p>
            <w:pPr>
              <w:pStyle w:val="Compact"/>
              <w:keepNext/>
              <w:spacing w:before="0" w:after="0" w:lineRule="exact" w:line="200"/>
              <w:jc w:val="left"/>
            </w:pPr>
            <w:r>
              <w:rPr>
                <w:sz w:val="16"/>
              </w:rPr>
              <w:t xml:space="preserve">0.21∗∗∗</w:t>
            </w:r>
          </w:p>
        </w:tc>
        <w:tc>
          <w:tcPr>
            <w:tcW w:w="932" w:type="dxa"/>
          </w:tcPr>
          <w:p>
            <w:pPr>
              <w:pStyle w:val="Compact"/>
              <w:keepNext/>
              <w:spacing w:before="0" w:after="0" w:lineRule="exact" w:line="200"/>
              <w:jc w:val="left"/>
            </w:pPr>
            <w:r>
              <w:rPr>
                <w:sz w:val="16"/>
              </w:rPr>
              <w:t xml:space="preserve">0.06</w:t>
            </w:r>
          </w:p>
        </w:tc>
        <w:tc>
          <w:tcPr>
            <w:tcW w:w="1041" w:type="dxa"/>
          </w:tcPr>
          <w:p>
            <w:pPr>
              <w:pStyle w:val="Compact"/>
              <w:keepNext/>
              <w:spacing w:before="0" w:after="0" w:lineRule="exact" w:line="200"/>
              <w:jc w:val="left"/>
            </w:pPr>
            <w:r>
              <w:rPr>
                <w:sz w:val="16"/>
              </w:rPr>
              <w:t xml:space="preserve">-0.11</w:t>
            </w:r>
          </w:p>
        </w:tc>
        <w:tc>
          <w:tcPr>
            <w:tcW w:w="767" w:type="dxa"/>
          </w:tcPr>
          <w:p>
            <w:pPr>
              <w:pStyle w:val="Compact"/>
              <w:keepNext/>
              <w:spacing w:before="0" w:after="0" w:lineRule="exact" w:line="200"/>
              <w:jc w:val="left"/>
            </w:pPr>
            <w:r>
              <w:rPr>
                <w:sz w:val="16"/>
              </w:rPr>
              <w:t xml:space="preserve">0.11</w:t>
            </w:r>
          </w:p>
        </w:tc>
        <w:tc>
          <w:tcPr>
            <w:tcW w:w="932" w:type="dxa"/>
          </w:tcPr>
          <w:p>
            <w:pPr>
              <w:pStyle w:val="Compact"/>
              <w:keepNext/>
              <w:spacing w:before="0" w:after="0" w:lineRule="exact" w:line="200"/>
              <w:jc w:val="left"/>
            </w:pPr>
            <w:r>
              <w:rPr>
                <w:sz w:val="16"/>
              </w:rPr>
              <w:t xml:space="preserve">1</w:t>
            </w:r>
          </w:p>
        </w:tc>
        <w:tc>
          <w:tcPr>
            <w:tcW w:w="603" w:type="dxa"/>
          </w:tcPr>
          <w:p>
            <w:pPr>
              <w:pStyle w:val="Compact"/>
              <w:keepNext/>
              <w:spacing w:before="0" w:after="0" w:lineRule="exact" w:line="200"/>
              <w:jc w:val="left"/>
            </w:pPr>
          </w:p>
        </w:tc>
      </w:tr>
      <w:tr>
        <w:trPr>
          <w:cantSplit/>
        </w:trPr>
        <w:tc>
          <w:tcPr>
            <w:tcW w:w="1864" w:type="dxa"/>
          </w:tcPr>
          <w:p>
            <w:pPr>
              <w:pStyle w:val="Compact"/>
              <w:spacing w:before="0" w:after="0" w:lineRule="exact" w:line="200"/>
              <w:jc w:val="left"/>
            </w:pPr>
            <w:r>
              <w:rPr>
                <w:sz w:val="16"/>
              </w:rPr>
              <w:t xml:space="preserve">(9) PolicyRate</w:t>
            </w:r>
          </w:p>
        </w:tc>
        <w:tc>
          <w:tcPr>
            <w:tcW w:w="932" w:type="dxa"/>
          </w:tcPr>
          <w:p>
            <w:pPr>
              <w:pStyle w:val="Compact"/>
              <w:spacing w:before="0" w:after="0" w:lineRule="exact" w:line="200"/>
              <w:jc w:val="left"/>
            </w:pPr>
            <w:r>
              <w:rPr>
                <w:sz w:val="16"/>
              </w:rPr>
              <w:t xml:space="preserve">-0.02</w:t>
            </w:r>
          </w:p>
        </w:tc>
        <w:tc>
          <w:tcPr>
            <w:tcW w:w="1041" w:type="dxa"/>
          </w:tcPr>
          <w:p>
            <w:pPr>
              <w:pStyle w:val="Compact"/>
              <w:spacing w:before="0" w:after="0" w:lineRule="exact" w:line="200"/>
              <w:jc w:val="left"/>
            </w:pPr>
            <w:r>
              <w:rPr>
                <w:sz w:val="16"/>
              </w:rPr>
              <w:t xml:space="preserve">-0.06</w:t>
            </w:r>
          </w:p>
        </w:tc>
        <w:tc>
          <w:tcPr>
            <w:tcW w:w="1041" w:type="dxa"/>
          </w:tcPr>
          <w:p>
            <w:pPr>
              <w:pStyle w:val="Compact"/>
              <w:spacing w:before="0" w:after="0" w:lineRule="exact" w:line="200"/>
              <w:jc w:val="left"/>
            </w:pPr>
            <w:r>
              <w:rPr>
                <w:sz w:val="16"/>
              </w:rPr>
              <w:t xml:space="preserve">0.01</w:t>
            </w:r>
          </w:p>
        </w:tc>
        <w:tc>
          <w:tcPr>
            <w:tcW w:w="1041" w:type="dxa"/>
          </w:tcPr>
          <w:p>
            <w:pPr>
              <w:pStyle w:val="Compact"/>
              <w:spacing w:before="0" w:after="0" w:lineRule="exact" w:line="200"/>
              <w:jc w:val="left"/>
            </w:pPr>
            <w:r>
              <w:rPr>
                <w:sz w:val="16"/>
              </w:rPr>
              <w:t xml:space="preserve">0.02</w:t>
            </w:r>
          </w:p>
        </w:tc>
        <w:tc>
          <w:tcPr>
            <w:tcW w:w="932" w:type="dxa"/>
          </w:tcPr>
          <w:p>
            <w:pPr>
              <w:pStyle w:val="Compact"/>
              <w:spacing w:before="0" w:after="0" w:lineRule="exact" w:line="200"/>
              <w:jc w:val="left"/>
            </w:pPr>
            <w:r>
              <w:rPr>
                <w:sz w:val="16"/>
              </w:rPr>
              <w:t xml:space="preserve">-0.09</w:t>
            </w:r>
          </w:p>
        </w:tc>
        <w:tc>
          <w:tcPr>
            <w:tcW w:w="1041" w:type="dxa"/>
          </w:tcPr>
          <w:p>
            <w:pPr>
              <w:pStyle w:val="Compact"/>
              <w:spacing w:before="0" w:after="0" w:lineRule="exact" w:line="200"/>
              <w:jc w:val="left"/>
            </w:pPr>
            <w:r>
              <w:rPr>
                <w:sz w:val="16"/>
              </w:rPr>
              <w:t xml:space="preserve">-0.04</w:t>
            </w:r>
          </w:p>
        </w:tc>
        <w:tc>
          <w:tcPr>
            <w:tcW w:w="767" w:type="dxa"/>
          </w:tcPr>
          <w:p>
            <w:pPr>
              <w:pStyle w:val="Compact"/>
              <w:spacing w:before="0" w:after="0" w:lineRule="exact" w:line="200"/>
              <w:jc w:val="left"/>
            </w:pPr>
            <w:r>
              <w:rPr>
                <w:sz w:val="16"/>
              </w:rPr>
              <w:t xml:space="preserve">-0.04</w:t>
            </w:r>
          </w:p>
        </w:tc>
        <w:tc>
          <w:tcPr>
            <w:tcW w:w="932" w:type="dxa"/>
          </w:tcPr>
          <w:p>
            <w:pPr>
              <w:pStyle w:val="Compact"/>
              <w:spacing w:before="0" w:after="0" w:lineRule="exact" w:line="200"/>
              <w:jc w:val="left"/>
            </w:pPr>
            <w:r>
              <w:rPr>
                <w:sz w:val="16"/>
              </w:rPr>
              <w:t xml:space="preserve">-0.14∗∗</w:t>
            </w:r>
          </w:p>
        </w:tc>
        <w:tc>
          <w:tcPr>
            <w:tcW w:w="603" w:type="dxa"/>
          </w:tcPr>
          <w:p>
            <w:pPr>
              <w:pStyle w:val="Compact"/>
              <w:spacing w:before="0" w:after="0" w:lineRule="exact" w:line="200"/>
              <w:jc w:val="left"/>
            </w:pPr>
            <w:r>
              <w:rPr>
                <w:sz w:val="16"/>
              </w:rPr>
              <w:t xml:space="preserve">1</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5.3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w:t>
      </w:r>
      <w:r>
        <w:t xml:space="preserve"> </w:t>
      </w:r>
      <w:r>
        <w:rPr>
          <w:bCs/>
          <w:b/>
        </w:rPr>
        <w:t xml:space="preserve">In Indonesia and the region the slope is 0.40 (standard error 0.16) and differs from 1 (p = 0.02).</w:t>
      </w:r>
      <w:r>
        <w:t xml:space="preserve"> </w:t>
      </w:r>
      <w:r>
        <w:t xml:space="preserve">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p>
    <w:p>
      <w:pPr>
        <w:pStyle w:val="BodyText"/>
        <w:keepNext/>
        <w:spacing w:before="140" w:after="56" w:lineRule="exact" w:line="246"/>
        <w:jc w:val="left"/>
      </w:pPr>
      <w:r>
        <w:rPr>
          <w:b/>
          <w:sz w:val="17"/>
        </w:rPr>
        <w:t>Table 5.3.</w:t>
      </w:r>
      <w:r>
        <w:rPr>
          <w:b w:val="0"/>
          <w:sz w:val="17"/>
        </w:rPr>
        <w:t xml:space="preserve"> Revenue growth and transaction value growth</w:t>
      </w:r>
    </w:p>
    <w:p>
      <w:pPr>
        <w:pStyle w:val="BodyText"/>
        <w:keepNext/>
        <w:spacing w:before="40" w:after="70" w:lineRule="exact" w:line="220"/>
        <w:jc w:val="left"/>
      </w:pPr>
      <w:r>
        <w:rPr>
          <w:color w:val="222222"/>
          <w:sz w:val="16"/>
        </w:rP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3743"/>
        <w:gridCol w:w="1965"/>
        <w:gridCol w:w="1777"/>
        <w:gridCol w:w="2713"/>
      </w:tblGrid>
      <w:tr>
        <w:trPr>
          <w:tblHeader w:val="true"/>
          <w:cantSplit/>
          <w:tblHeader/>
        </w:trPr>
        <w:tc>
          <w:tcPr>
            <w:tcW w:w="3743" w:type="dxa"/>
            <w:tcBorders>
              <w:bottom w:val="single" w:sz="4" w:space="0" w:color="111111"/>
            </w:tcBorders>
          </w:tcPr>
          <w:p>
            <w:pPr>
              <w:pStyle w:val="Compact"/>
              <w:spacing w:before="0" w:after="0" w:lineRule="exact" w:line="200"/>
              <w:jc w:val="left"/>
            </w:pPr>
            <w:r>
              <w:rPr>
                <w:iCs/>
                <w:b/>
                <w:i/>
                <w:sz w:val="16"/>
              </w:rPr>
              <w:t xml:space="preserve">Dependent variable</w:t>
            </w:r>
          </w:p>
        </w:tc>
        <w:tc>
          <w:tcPr>
            <w:tcW w:w="1965" w:type="dxa"/>
            <w:tcBorders>
              <w:bottom w:val="single" w:sz="4" w:space="0" w:color="111111"/>
            </w:tcBorders>
          </w:tcPr>
          <w:p>
            <w:pPr>
              <w:pStyle w:val="Compact"/>
              <w:spacing w:before="0" w:after="0" w:lineRule="exact" w:line="200"/>
              <w:jc w:val="left"/>
            </w:pPr>
            <w:r>
              <w:rPr>
                <w:b/>
                <w:sz w:val="16"/>
              </w:rPr>
              <w:t xml:space="preserve">g(R)</w:t>
            </w:r>
          </w:p>
        </w:tc>
        <w:tc>
          <w:tcPr>
            <w:tcW w:w="1777" w:type="dxa"/>
            <w:tcBorders>
              <w:bottom w:val="single" w:sz="4" w:space="0" w:color="111111"/>
            </w:tcBorders>
          </w:tcPr>
          <w:p>
            <w:pPr>
              <w:pStyle w:val="Compact"/>
              <w:spacing w:before="0" w:after="0" w:lineRule="exact" w:line="200"/>
              <w:jc w:val="left"/>
            </w:pPr>
            <w:r>
              <w:rPr>
                <w:b/>
                <w:sz w:val="16"/>
              </w:rPr>
              <w:t xml:space="preserve">g(R)</w:t>
            </w:r>
          </w:p>
        </w:tc>
        <w:tc>
          <w:tcPr>
            <w:tcW w:w="2713" w:type="dxa"/>
            <w:tcBorders>
              <w:bottom w:val="single" w:sz="4" w:space="0" w:color="111111"/>
            </w:tcBorders>
          </w:tcPr>
          <w:p>
            <w:pPr>
              <w:pStyle w:val="Compact"/>
              <w:spacing w:before="0" w:after="0" w:lineRule="exact" w:line="200"/>
              <w:jc w:val="left"/>
            </w:pPr>
            <w:r>
              <w:rPr>
                <w:b/>
                <w:sz w:val="16"/>
              </w:rPr>
              <w:t xml:space="preserve">g(R)</w:t>
            </w:r>
          </w:p>
        </w:tc>
      </w:tr>
      <w:tr>
        <w:trPr>
          <w:cantSplit/>
        </w:trPr>
        <w:tc>
          <w:tcPr>
            <w:tcW w:w="3743" w:type="dxa"/>
          </w:tcPr>
          <w:p>
            <w:pPr>
              <w:pStyle w:val="Compact"/>
              <w:spacing w:before="0" w:after="0" w:lineRule="exact" w:line="200"/>
              <w:jc w:val="left"/>
            </w:pPr>
            <w:r>
              <w:rPr>
                <w:sz w:val="16"/>
              </w:rPr>
              <w:t xml:space="preserve">Sample</w:t>
            </w:r>
          </w:p>
        </w:tc>
        <w:tc>
          <w:tcPr>
            <w:tcW w:w="1965" w:type="dxa"/>
          </w:tcPr>
          <w:p>
            <w:pPr>
              <w:pStyle w:val="Compact"/>
              <w:spacing w:before="0" w:after="0" w:lineRule="exact" w:line="200"/>
              <w:jc w:val="left"/>
            </w:pPr>
            <w:r>
              <w:rPr>
                <w:sz w:val="16"/>
              </w:rPr>
              <w:t xml:space="preserve">All platforms</w:t>
            </w:r>
          </w:p>
        </w:tc>
        <w:tc>
          <w:tcPr>
            <w:tcW w:w="1777" w:type="dxa"/>
          </w:tcPr>
          <w:p>
            <w:pPr>
              <w:pStyle w:val="Compact"/>
              <w:spacing w:before="0" w:after="0" w:lineRule="exact" w:line="200"/>
              <w:jc w:val="left"/>
            </w:pPr>
            <w:r>
              <w:rPr>
                <w:sz w:val="16"/>
              </w:rPr>
              <w:t xml:space="preserve">Foreign</w:t>
            </w:r>
          </w:p>
        </w:tc>
        <w:tc>
          <w:tcPr>
            <w:tcW w:w="2713" w:type="dxa"/>
          </w:tcPr>
          <w:p>
            <w:pPr>
              <w:pStyle w:val="Compact"/>
              <w:spacing w:before="0" w:after="0" w:lineRule="exact" w:line="200"/>
              <w:jc w:val="left"/>
            </w:pPr>
            <w:r>
              <w:rPr>
                <w:sz w:val="16"/>
              </w:rPr>
              <w:t xml:space="preserve">Indonesian and regional</w:t>
            </w: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(1)</w:t>
            </w:r>
          </w:p>
        </w:tc>
        <w:tc>
          <w:tcPr>
            <w:tcW w:w="1777" w:type="dxa"/>
          </w:tcPr>
          <w:p>
            <w:pPr>
              <w:pStyle w:val="Compact"/>
              <w:spacing w:before="0" w:after="0" w:lineRule="exact" w:line="200"/>
              <w:jc w:val="left"/>
            </w:pPr>
            <w:r>
              <w:rPr>
                <w:sz w:val="16"/>
              </w:rPr>
              <w:t xml:space="preserve">(2)</w:t>
            </w:r>
          </w:p>
        </w:tc>
        <w:tc>
          <w:tcPr>
            <w:tcW w:w="2713" w:type="dxa"/>
          </w:tcPr>
          <w:p>
            <w:pPr>
              <w:pStyle w:val="Compact"/>
              <w:spacing w:before="0" w:after="0" w:lineRule="exact" w:line="200"/>
              <w:jc w:val="left"/>
            </w:pPr>
            <w:r>
              <w:rPr>
                <w:sz w:val="16"/>
              </w:rPr>
              <w:t xml:space="preserve">(3)</w:t>
            </w:r>
          </w:p>
        </w:tc>
      </w:tr>
      <w:tr>
        <w:trPr>
          <w:cantSplit/>
        </w:trPr>
        <w:tc>
          <w:tcPr>
            <w:tcW w:w="3743" w:type="dxa"/>
          </w:tcPr>
          <w:p>
            <w:pPr>
              <w:pStyle w:val="Compact"/>
              <w:spacing w:before="0" w:after="0" w:lineRule="exact" w:line="200"/>
              <w:jc w:val="left"/>
            </w:pPr>
            <w:r>
              <w:rPr>
                <w:sz w:val="16"/>
              </w:rPr>
              <w:t xml:space="preserve">g(V)</w:t>
            </w:r>
          </w:p>
        </w:tc>
        <w:tc>
          <w:tcPr>
            <w:tcW w:w="1965" w:type="dxa"/>
          </w:tcPr>
          <w:p>
            <w:pPr>
              <w:pStyle w:val="Compact"/>
              <w:spacing w:before="0" w:after="0" w:lineRule="exact" w:line="200"/>
              <w:jc w:val="left"/>
            </w:pPr>
            <w:r>
              <w:rPr>
                <w:sz w:val="16"/>
              </w:rPr>
              <w:t xml:space="preserve">0.986∗∗∗</w:t>
            </w:r>
          </w:p>
        </w:tc>
        <w:tc>
          <w:tcPr>
            <w:tcW w:w="1777" w:type="dxa"/>
          </w:tcPr>
          <w:p>
            <w:pPr>
              <w:pStyle w:val="Compact"/>
              <w:spacing w:before="0" w:after="0" w:lineRule="exact" w:line="200"/>
              <w:jc w:val="left"/>
            </w:pPr>
            <w:r>
              <w:rPr>
                <w:sz w:val="16"/>
              </w:rPr>
              <w:t xml:space="preserve">0.986∗∗∗</w:t>
            </w:r>
          </w:p>
        </w:tc>
        <w:tc>
          <w:tcPr>
            <w:tcW w:w="2713" w:type="dxa"/>
          </w:tcPr>
          <w:p>
            <w:pPr>
              <w:pStyle w:val="Compact"/>
              <w:spacing w:before="0" w:after="0" w:lineRule="exact" w:line="200"/>
              <w:jc w:val="left"/>
            </w:pPr>
            <w:r>
              <w:rPr>
                <w:sz w:val="16"/>
              </w:rPr>
              <w:t xml:space="preserve">0.399∗</w:t>
            </w: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(0.072)</w:t>
            </w:r>
          </w:p>
        </w:tc>
        <w:tc>
          <w:tcPr>
            <w:tcW w:w="1777" w:type="dxa"/>
          </w:tcPr>
          <w:p>
            <w:pPr>
              <w:pStyle w:val="Compact"/>
              <w:spacing w:before="0" w:after="0" w:lineRule="exact" w:line="200"/>
              <w:jc w:val="left"/>
            </w:pPr>
            <w:r>
              <w:rPr>
                <w:sz w:val="16"/>
              </w:rPr>
              <w:t xml:space="preserve">(0.072)</w:t>
            </w:r>
          </w:p>
        </w:tc>
        <w:tc>
          <w:tcPr>
            <w:tcW w:w="2713" w:type="dxa"/>
          </w:tcPr>
          <w:p>
            <w:pPr>
              <w:pStyle w:val="Compact"/>
              <w:spacing w:before="0" w:after="0" w:lineRule="exact" w:line="200"/>
              <w:jc w:val="left"/>
            </w:pPr>
            <w:r>
              <w:rPr>
                <w:sz w:val="16"/>
              </w:rPr>
              <w:t xml:space="preserve">(0.159)</w:t>
            </w:r>
          </w:p>
        </w:tc>
      </w:tr>
      <w:tr>
        <w:trPr>
          <w:cantSplit/>
        </w:trPr>
        <w:tc>
          <w:tcPr>
            <w:tcW w:w="3743" w:type="dxa"/>
          </w:tcPr>
          <w:p>
            <w:pPr>
              <w:pStyle w:val="Compact"/>
              <w:spacing w:before="0" w:after="0" w:lineRule="exact" w:line="200"/>
              <w:jc w:val="left"/>
            </w:pPr>
            <w:r>
              <w:rPr>
                <w:sz w:val="16"/>
              </w:rPr>
              <w:t xml:space="preserve">IndonesiaRegion</w:t>
            </w:r>
          </w:p>
        </w:tc>
        <w:tc>
          <w:tcPr>
            <w:tcW w:w="1965" w:type="dxa"/>
          </w:tcPr>
          <w:p>
            <w:pPr>
              <w:pStyle w:val="Compact"/>
              <w:spacing w:before="0" w:after="0" w:lineRule="exact" w:line="200"/>
              <w:jc w:val="left"/>
            </w:pPr>
            <w:r>
              <w:rPr>
                <w:sz w:val="16"/>
              </w:rPr>
              <w:t xml:space="preserve">0.379∗∗∗</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(0.060)</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r>
              <w:rPr>
                <w:sz w:val="16"/>
              </w:rPr>
              <w:t xml:space="preserve">IndonesiaRegion × g(V)</w:t>
            </w:r>
          </w:p>
        </w:tc>
        <w:tc>
          <w:tcPr>
            <w:tcW w:w="1965" w:type="dxa"/>
          </w:tcPr>
          <w:p>
            <w:pPr>
              <w:pStyle w:val="Compact"/>
              <w:spacing w:before="0" w:after="0" w:lineRule="exact" w:line="200"/>
              <w:jc w:val="left"/>
            </w:pPr>
            <w:r>
              <w:rPr>
                <w:sz w:val="16"/>
              </w:rPr>
              <w:t xml:space="preserve">-0.587∗∗∗</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(0.158)</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r>
              <w:rPr>
                <w:sz w:val="16"/>
              </w:rPr>
              <w:t xml:space="preserve">Constant</w:t>
            </w:r>
          </w:p>
        </w:tc>
        <w:tc>
          <w:tcPr>
            <w:tcW w:w="1965" w:type="dxa"/>
          </w:tcPr>
          <w:p>
            <w:pPr>
              <w:pStyle w:val="Compact"/>
              <w:spacing w:before="0" w:after="0" w:lineRule="exact" w:line="200"/>
              <w:jc w:val="left"/>
            </w:pPr>
            <w:r>
              <w:rPr>
                <w:sz w:val="16"/>
              </w:rPr>
              <w:t xml:space="preserve">0.059∗∗∗</w:t>
            </w:r>
          </w:p>
        </w:tc>
        <w:tc>
          <w:tcPr>
            <w:tcW w:w="1777" w:type="dxa"/>
          </w:tcPr>
          <w:p>
            <w:pPr>
              <w:pStyle w:val="Compact"/>
              <w:spacing w:before="0" w:after="0" w:lineRule="exact" w:line="200"/>
              <w:jc w:val="left"/>
            </w:pPr>
            <w:r>
              <w:rPr>
                <w:sz w:val="16"/>
              </w:rPr>
              <w:t xml:space="preserve">0.059∗∗∗</w:t>
            </w:r>
          </w:p>
        </w:tc>
        <w:tc>
          <w:tcPr>
            <w:tcW w:w="2713" w:type="dxa"/>
          </w:tcPr>
          <w:p>
            <w:pPr>
              <w:pStyle w:val="Compact"/>
              <w:spacing w:before="0" w:after="0" w:lineRule="exact" w:line="200"/>
              <w:jc w:val="left"/>
            </w:pPr>
            <w:r>
              <w:rPr>
                <w:sz w:val="16"/>
              </w:rPr>
              <w:t xml:space="preserve">0.439∗∗∗</w:t>
            </w: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(0.019)</w:t>
            </w:r>
          </w:p>
        </w:tc>
        <w:tc>
          <w:tcPr>
            <w:tcW w:w="1777" w:type="dxa"/>
          </w:tcPr>
          <w:p>
            <w:pPr>
              <w:pStyle w:val="Compact"/>
              <w:spacing w:before="0" w:after="0" w:lineRule="exact" w:line="200"/>
              <w:jc w:val="left"/>
            </w:pPr>
            <w:r>
              <w:rPr>
                <w:sz w:val="16"/>
              </w:rPr>
              <w:t xml:space="preserve">(0.019)</w:t>
            </w:r>
          </w:p>
        </w:tc>
        <w:tc>
          <w:tcPr>
            <w:tcW w:w="2713" w:type="dxa"/>
          </w:tcPr>
          <w:p>
            <w:pPr>
              <w:pStyle w:val="Compact"/>
              <w:spacing w:before="0" w:after="0" w:lineRule="exact" w:line="200"/>
              <w:jc w:val="left"/>
            </w:pPr>
            <w:r>
              <w:rPr>
                <w:sz w:val="16"/>
              </w:rPr>
              <w:t xml:space="preserve">(0.065)</w:t>
            </w:r>
          </w:p>
        </w:tc>
      </w:tr>
      <w:tr>
        <w:trPr>
          <w:cantSplit/>
        </w:trPr>
        <w:tc>
          <w:tcPr>
            <w:tcW w:w="3743" w:type="dxa"/>
          </w:tcPr>
          <w:p>
            <w:pPr>
              <w:pStyle w:val="Compact"/>
              <w:spacing w:before="0" w:after="0" w:lineRule="exact" w:line="200"/>
              <w:jc w:val="left"/>
            </w:pPr>
            <w:r>
              <w:rPr>
                <w:sz w:val="16"/>
              </w:rPr>
              <w:t xml:space="preserve">Observations</w:t>
            </w:r>
          </w:p>
        </w:tc>
        <w:tc>
          <w:tcPr>
            <w:tcW w:w="1965" w:type="dxa"/>
          </w:tcPr>
          <w:p>
            <w:pPr>
              <w:pStyle w:val="Compact"/>
              <w:spacing w:before="0" w:after="0" w:lineRule="exact" w:line="200"/>
              <w:jc w:val="left"/>
            </w:pPr>
            <w:r>
              <w:rPr>
                <w:sz w:val="16"/>
              </w:rPr>
              <w:t xml:space="preserve">181</w:t>
            </w:r>
          </w:p>
        </w:tc>
        <w:tc>
          <w:tcPr>
            <w:tcW w:w="1777" w:type="dxa"/>
          </w:tcPr>
          <w:p>
            <w:pPr>
              <w:pStyle w:val="Compact"/>
              <w:spacing w:before="0" w:after="0" w:lineRule="exact" w:line="200"/>
              <w:jc w:val="left"/>
            </w:pPr>
            <w:r>
              <w:rPr>
                <w:sz w:val="16"/>
              </w:rPr>
              <w:t xml:space="preserve">166</w:t>
            </w:r>
          </w:p>
        </w:tc>
        <w:tc>
          <w:tcPr>
            <w:tcW w:w="2713" w:type="dxa"/>
          </w:tcPr>
          <w:p>
            <w:pPr>
              <w:pStyle w:val="Compact"/>
              <w:spacing w:before="0" w:after="0" w:lineRule="exact" w:line="200"/>
              <w:jc w:val="left"/>
            </w:pPr>
            <w:r>
              <w:rPr>
                <w:sz w:val="16"/>
              </w:rPr>
              <w:t xml:space="preserve">15</w:t>
            </w:r>
          </w:p>
        </w:tc>
      </w:tr>
      <w:tr>
        <w:trPr>
          <w:cantSplit/>
        </w:trPr>
        <w:tc>
          <w:tcPr>
            <w:tcW w:w="3743" w:type="dxa"/>
          </w:tcPr>
          <w:p>
            <w:pPr>
              <w:pStyle w:val="Compact"/>
              <w:spacing w:before="0" w:after="0" w:lineRule="exact" w:line="200"/>
              <w:jc w:val="left"/>
            </w:pPr>
            <w:r>
              <w:rPr>
                <w:sz w:val="16"/>
              </w:rPr>
              <w:t xml:space="preserve">Platforms (clusters)</w:t>
            </w:r>
          </w:p>
        </w:tc>
        <w:tc>
          <w:tcPr>
            <w:tcW w:w="1965" w:type="dxa"/>
          </w:tcPr>
          <w:p>
            <w:pPr>
              <w:pStyle w:val="Compact"/>
              <w:spacing w:before="0" w:after="0" w:lineRule="exact" w:line="200"/>
              <w:jc w:val="left"/>
            </w:pPr>
            <w:r>
              <w:rPr>
                <w:sz w:val="16"/>
              </w:rPr>
              <w:t xml:space="preserve">31</w:t>
            </w:r>
          </w:p>
        </w:tc>
        <w:tc>
          <w:tcPr>
            <w:tcW w:w="1777" w:type="dxa"/>
          </w:tcPr>
          <w:p>
            <w:pPr>
              <w:pStyle w:val="Compact"/>
              <w:spacing w:before="0" w:after="0" w:lineRule="exact" w:line="200"/>
              <w:jc w:val="left"/>
            </w:pPr>
            <w:r>
              <w:rPr>
                <w:sz w:val="16"/>
              </w:rPr>
              <w:t xml:space="preserve">26</w:t>
            </w:r>
          </w:p>
        </w:tc>
        <w:tc>
          <w:tcPr>
            <w:tcW w:w="2713" w:type="dxa"/>
          </w:tcPr>
          <w:p>
            <w:pPr>
              <w:pStyle w:val="Compact"/>
              <w:spacing w:before="0" w:after="0" w:lineRule="exact" w:line="200"/>
              <w:jc w:val="left"/>
            </w:pPr>
            <w:r>
              <w:rPr>
                <w:sz w:val="16"/>
              </w:rPr>
              <w:t xml:space="preserve">5</w:t>
            </w:r>
          </w:p>
        </w:tc>
      </w:tr>
      <w:tr>
        <w:trPr>
          <w:cantSplit/>
        </w:trPr>
        <w:tc>
          <w:tcPr>
            <w:tcW w:w="3743" w:type="dxa"/>
          </w:tcPr>
          <w:p>
            <w:pPr>
              <w:pStyle w:val="Compact"/>
              <w:spacing w:before="0" w:after="0" w:lineRule="exact" w:line="200"/>
              <w:jc w:val="left"/>
            </w:pPr>
            <w:r>
              <w:rPr>
                <w:iCs/>
                <w:i/>
                <w:sz w:val="16"/>
              </w:rPr>
              <w:t xml:space="preserve">R</w:t>
            </w:r>
            <w:r>
              <w:rPr>
                <w:sz w:val="16"/>
                <w:vertAlign w:val="superscript"/>
              </w:rPr>
              <w:t xml:space="preserve">2</w:t>
            </w:r>
          </w:p>
        </w:tc>
        <w:tc>
          <w:tcPr>
            <w:tcW w:w="1965" w:type="dxa"/>
          </w:tcPr>
          <w:p>
            <w:pPr>
              <w:pStyle w:val="Compact"/>
              <w:spacing w:before="0" w:after="0" w:lineRule="exact" w:line="200"/>
              <w:jc w:val="left"/>
            </w:pPr>
            <w:r>
              <w:rPr>
                <w:sz w:val="16"/>
              </w:rPr>
              <w:t xml:space="preserve">0.750</w:t>
            </w:r>
          </w:p>
        </w:tc>
        <w:tc>
          <w:tcPr>
            <w:tcW w:w="1777" w:type="dxa"/>
          </w:tcPr>
          <w:p>
            <w:pPr>
              <w:pStyle w:val="Compact"/>
              <w:spacing w:before="0" w:after="0" w:lineRule="exact" w:line="200"/>
              <w:jc w:val="left"/>
            </w:pPr>
            <w:r>
              <w:rPr>
                <w:sz w:val="16"/>
              </w:rPr>
              <w:t xml:space="preserve">0.802</w:t>
            </w:r>
          </w:p>
        </w:tc>
        <w:tc>
          <w:tcPr>
            <w:tcW w:w="2713" w:type="dxa"/>
          </w:tcPr>
          <w:p>
            <w:pPr>
              <w:pStyle w:val="Compact"/>
              <w:spacing w:before="0" w:after="0" w:lineRule="exact" w:line="200"/>
              <w:jc w:val="left"/>
            </w:pPr>
            <w:r>
              <w:rPr>
                <w:sz w:val="16"/>
              </w:rPr>
              <w:t xml:space="preserve">0.094</w:t>
            </w:r>
          </w:p>
        </w:tc>
      </w:tr>
      <w:tr>
        <w:trPr>
          <w:cantSplit/>
        </w:trPr>
        <w:tc>
          <w:tcPr>
            <w:tcW w:w="3743" w:type="dxa"/>
          </w:tcPr>
          <w:p>
            <w:pPr>
              <w:pStyle w:val="Compact"/>
              <w:spacing w:before="0" w:after="0" w:lineRule="exact" w:line="200"/>
              <w:jc w:val="left"/>
            </w:pPr>
            <w:r>
              <w:rPr>
                <w:iCs/>
                <w:i/>
                <w:sz w:val="16"/>
              </w:rPr>
              <w:t xml:space="preserve">p</w:t>
            </w:r>
            <w:r>
              <w:rPr>
                <w:sz w:val="16"/>
              </w:rPr>
              <w:t xml:space="preserve">-value, slope on g(V) equal to 1</w:t>
            </w:r>
          </w:p>
        </w:tc>
        <w:tc>
          <w:tcPr>
            <w:tcW w:w="1965" w:type="dxa"/>
          </w:tcPr>
          <w:p>
            <w:pPr>
              <w:pStyle w:val="Compact"/>
              <w:spacing w:before="0" w:after="0" w:lineRule="exact" w:line="200"/>
              <w:jc w:val="left"/>
            </w:pPr>
            <w:r>
              <w:rPr>
                <w:sz w:val="16"/>
              </w:rPr>
              <w:t xml:space="preserve">0.845</w:t>
            </w:r>
          </w:p>
        </w:tc>
        <w:tc>
          <w:tcPr>
            <w:tcW w:w="1777" w:type="dxa"/>
          </w:tcPr>
          <w:p>
            <w:pPr>
              <w:pStyle w:val="Compact"/>
              <w:spacing w:before="0" w:after="0" w:lineRule="exact" w:line="200"/>
              <w:jc w:val="left"/>
            </w:pPr>
            <w:r>
              <w:rPr>
                <w:sz w:val="16"/>
              </w:rPr>
              <w:t xml:space="preserve">0.845</w:t>
            </w:r>
          </w:p>
        </w:tc>
        <w:tc>
          <w:tcPr>
            <w:tcW w:w="2713" w:type="dxa"/>
          </w:tcPr>
          <w:p>
            <w:pPr>
              <w:pStyle w:val="Compact"/>
              <w:spacing w:before="0" w:after="0" w:lineRule="exact" w:line="200"/>
              <w:jc w:val="left"/>
            </w:pPr>
            <w:r>
              <w:rPr>
                <w:sz w:val="16"/>
              </w:rPr>
              <w:t xml:space="preserve">0.019</w:t>
            </w:r>
          </w:p>
        </w:tc>
      </w:tr>
      <w:tr>
        <w:trPr>
          <w:cantSplit/>
        </w:trPr>
        <w:tc>
          <w:tcPr>
            <w:tcW w:w="3743" w:type="dxa"/>
          </w:tcPr>
          <w:p>
            <w:pPr>
              <w:pStyle w:val="Compact"/>
              <w:spacing w:before="0" w:after="0" w:lineRule="exact" w:line="200"/>
              <w:jc w:val="left"/>
            </w:pPr>
            <w:r>
              <w:rPr>
                <w:sz w:val="16"/>
              </w:rPr>
              <w:t xml:space="preserve">Pearson correlation, g(R) and g(V)</w:t>
            </w:r>
          </w:p>
        </w:tc>
        <w:tc>
          <w:tcPr>
            <w:tcW w:w="1965" w:type="dxa"/>
          </w:tcPr>
          <w:p>
            <w:pPr>
              <w:pStyle w:val="Compact"/>
              <w:spacing w:before="0" w:after="0" w:lineRule="exact" w:line="200"/>
              <w:jc w:val="left"/>
            </w:pPr>
            <w:r>
              <w:rPr>
                <w:sz w:val="16"/>
              </w:rPr>
              <w:t xml:space="preserve">0.843</w:t>
            </w:r>
          </w:p>
        </w:tc>
        <w:tc>
          <w:tcPr>
            <w:tcW w:w="1777" w:type="dxa"/>
          </w:tcPr>
          <w:p>
            <w:pPr>
              <w:pStyle w:val="Compact"/>
              <w:spacing w:before="0" w:after="0" w:lineRule="exact" w:line="200"/>
              <w:jc w:val="left"/>
            </w:pPr>
            <w:r>
              <w:rPr>
                <w:sz w:val="16"/>
              </w:rPr>
              <w:t xml:space="preserve">0.896</w:t>
            </w:r>
          </w:p>
        </w:tc>
        <w:tc>
          <w:tcPr>
            <w:tcW w:w="2713" w:type="dxa"/>
          </w:tcPr>
          <w:p>
            <w:pPr>
              <w:pStyle w:val="Compact"/>
              <w:spacing w:before="0" w:after="0" w:lineRule="exact" w:line="200"/>
              <w:jc w:val="left"/>
            </w:pPr>
            <w:r>
              <w:rPr>
                <w:sz w:val="16"/>
              </w:rPr>
              <w:t xml:space="preserve">0.307</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The slope on g(V) is 1 if revenue grows in proportion to transaction value. Source: company filings; author’s calculations. Exploratory.</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rPr>
          <w:bCs/>
          <w:b/>
        </w:rPr>
        <w:t xml:space="preserve">The test of the size of moves was set up after a first, narrower test, so it is exploratory.</w:t>
      </w:r>
      <w:r>
        <w:t xml:space="preserve"> </w:t>
      </w:r>
      <w:r>
        <w:t xml:space="preserve">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w:t>
      </w:r>
      <w:r>
        <w:t xml:space="preserve"> </w:t>
      </w:r>
      <w:r>
        <w:rPr>
          <w:bCs/>
          <w:b/>
        </w:rPr>
        <w:t xml:space="preserve">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5.4 shows that years since listing explains neither the wedge nor the ecosystem ratio.</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in its Panels A, B and C. The test shows that take rates moved, but not what the platforms changed to move them.</w:t>
      </w:r>
    </w:p>
    <w:p>
      <w:pPr>
        <w:pStyle w:val="BodyText"/>
        <w:keepNext/>
        <w:spacing w:before="114" w:after="0" w:line="240" w:lineRule="auto"/>
        <w:jc w:val="center"/>
      </w:pPr>
      <w:r>
        <w:drawing>
          <wp:inline>
            <wp:extent cx="4970429" cy="1800000"/>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4970429"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5.1. The thin take rate.</w:t>
      </w:r>
      <w:r>
        <w:rPr>
          <w:sz w:val="16"/>
        </w:rPr>
        <w:t xml:space="preserve"> </w:t>
      </w:r>
      <w:r>
        <w:rPr>
          <w:sz w:val="16"/>
        </w:rPr>
        <w:t xml:space="preserve">Each dot is one platform’s median over its years. Panel A: the share of each sale that the platform keeps, on a log scale. Panel B: the yearly change in that share, in percentage points. Panel C: the same change relative to the share itself, as a simple percentage change. Black bars mark group medians. The foreign group has 26 platforms here and 27 in the main test, because one platform has no pair of usable years for the change in points. Source: company filings; author’s calculations. Exploratory.</w:t>
      </w:r>
    </w:p>
    <w:bookmarkEnd w:id="56"/>
    <w:bookmarkStart w:id="60" w:name="X56de9ba7770ef3105b879e5bfcd70c78553d119"/>
    <w:p>
      <w:pPr>
        <w:pStyle w:val="Heading2"/>
      </w:pPr>
      <w:r>
        <w:t xml:space="preserve">5.3 What explains the wedge and the ecosystem ratio</w:t>
      </w:r>
    </w:p>
    <w:p>
      <w:pPr>
        <w:pStyle w:val="FirstParagraph"/>
      </w:pPr>
      <w:r>
        <w:rPr>
          <w:bCs/>
          <w:b/>
        </w:rPr>
        <w:t xml:space="preserve">Size explains the wedge, and pricing explains the ecosystem ratio.</w:t>
      </w:r>
      <w:r>
        <w:t xml:space="preserve"> </w:t>
      </w:r>
      <w:r>
        <w:t xml:space="preserve">Table 5.4 regresses each on the features of the platform and of its home market.</w:t>
      </w:r>
    </w:p>
    <w:p>
      <w:pPr>
        <w:pStyle w:val="BodyText"/>
        <w:keepNext/>
        <w:spacing w:before="140" w:after="56" w:lineRule="exact" w:line="246"/>
        <w:jc w:val="left"/>
      </w:pPr>
      <w:r>
        <w:rPr>
          <w:b/>
          <w:sz w:val="17"/>
        </w:rPr>
        <w:t>Table 5.4.</w:t>
      </w:r>
      <w:r>
        <w:rPr>
          <w:b w:val="0"/>
          <w:sz w:val="17"/>
        </w:rPr>
        <w:t xml:space="preserve"> What explains the wedge and the ecosystem ratio</w:t>
      </w:r>
    </w:p>
    <w:p>
      <w:pPr>
        <w:pStyle w:val="BodyText"/>
        <w:keepNext/>
        <w:spacing w:before="40" w:after="70" w:lineRule="exact" w:line="220"/>
        <w:jc w:val="left"/>
      </w:pPr>
      <w:r>
        <w:rPr>
          <w:color w:val="222222"/>
          <w:sz w:val="16"/>
        </w:rP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2326"/>
        <w:gridCol w:w="1252"/>
        <w:gridCol w:w="1252"/>
        <w:gridCol w:w="1252"/>
        <w:gridCol w:w="1371"/>
        <w:gridCol w:w="1371"/>
        <w:gridCol w:w="1371"/>
      </w:tblGrid>
      <w:tr>
        <w:trPr>
          <w:tblHeader w:val="true"/>
          <w:cantSplit/>
          <w:tblHeader/>
        </w:trPr>
        <w:tc>
          <w:tcPr>
            <w:tcW w:w="2326" w:type="dxa"/>
            <w:tcBorders>
              <w:bottom w:val="single" w:sz="4" w:space="0" w:color="111111"/>
            </w:tcBorders>
          </w:tcPr>
          <w:p>
            <w:pPr>
              <w:pStyle w:val="Compact"/>
              <w:spacing w:before="0" w:after="0" w:lineRule="exact" w:line="200"/>
              <w:jc w:val="left"/>
            </w:pPr>
            <w:r>
              <w:rPr>
                <w:iCs/>
                <w:b/>
                <w:i/>
                <w:sz w:val="16"/>
              </w:rPr>
              <w:t xml:space="preserve">Dependent variable</w:t>
            </w:r>
          </w:p>
        </w:tc>
        <w:tc>
          <w:tcPr>
            <w:tcW w:w="1252" w:type="dxa"/>
            <w:tcBorders>
              <w:bottom w:val="single" w:sz="4" w:space="0" w:color="111111"/>
            </w:tcBorders>
          </w:tcPr>
          <w:p>
            <w:pPr>
              <w:pStyle w:val="Compact"/>
              <w:spacing w:before="0" w:after="0" w:lineRule="exact" w:line="200"/>
              <w:jc w:val="left"/>
            </w:pPr>
            <w:r>
              <w:rPr>
                <w:b/>
                <w:sz w:val="16"/>
              </w:rPr>
              <w:t xml:space="preserve">ln(Wedge)</w:t>
            </w:r>
          </w:p>
        </w:tc>
        <w:tc>
          <w:tcPr>
            <w:tcW w:w="1252" w:type="dxa"/>
            <w:tcBorders>
              <w:bottom w:val="single" w:sz="4" w:space="0" w:color="111111"/>
            </w:tcBorders>
          </w:tcPr>
          <w:p>
            <w:pPr>
              <w:pStyle w:val="Compact"/>
              <w:spacing w:before="0" w:after="0" w:lineRule="exact" w:line="200"/>
              <w:jc w:val="left"/>
            </w:pPr>
            <w:r>
              <w:rPr>
                <w:b/>
                <w:sz w:val="16"/>
              </w:rPr>
              <w:t xml:space="preserve">ln(Wedge)</w:t>
            </w:r>
          </w:p>
        </w:tc>
        <w:tc>
          <w:tcPr>
            <w:tcW w:w="1252" w:type="dxa"/>
            <w:tcBorders>
              <w:bottom w:val="single" w:sz="4" w:space="0" w:color="111111"/>
            </w:tcBorders>
          </w:tcPr>
          <w:p>
            <w:pPr>
              <w:pStyle w:val="Compact"/>
              <w:spacing w:before="0" w:after="0" w:lineRule="exact" w:line="200"/>
              <w:jc w:val="left"/>
            </w:pPr>
            <w:r>
              <w:rPr>
                <w:b/>
                <w:sz w:val="16"/>
              </w:rPr>
              <w:t xml:space="preserve">ln(Wedge)</w:t>
            </w:r>
          </w:p>
        </w:tc>
        <w:tc>
          <w:tcPr>
            <w:tcW w:w="1371" w:type="dxa"/>
            <w:tcBorders>
              <w:bottom w:val="single" w:sz="4" w:space="0" w:color="111111"/>
            </w:tcBorders>
          </w:tcPr>
          <w:p>
            <w:pPr>
              <w:pStyle w:val="Compact"/>
              <w:spacing w:before="0" w:after="0" w:lineRule="exact" w:line="200"/>
              <w:jc w:val="left"/>
            </w:pPr>
            <w:r>
              <w:rPr>
                <w:b/>
                <w:sz w:val="16"/>
              </w:rPr>
              <w:t xml:space="preserve">Ecosystem ratio</w:t>
            </w:r>
          </w:p>
        </w:tc>
        <w:tc>
          <w:tcPr>
            <w:tcW w:w="1371" w:type="dxa"/>
            <w:tcBorders>
              <w:bottom w:val="single" w:sz="4" w:space="0" w:color="111111"/>
            </w:tcBorders>
          </w:tcPr>
          <w:p>
            <w:pPr>
              <w:pStyle w:val="Compact"/>
              <w:spacing w:before="0" w:after="0" w:lineRule="exact" w:line="200"/>
              <w:jc w:val="left"/>
            </w:pPr>
            <w:r>
              <w:rPr>
                <w:b/>
                <w:sz w:val="16"/>
              </w:rPr>
              <w:t xml:space="preserve">Ecosystem ratio</w:t>
            </w:r>
          </w:p>
        </w:tc>
        <w:tc>
          <w:tcPr>
            <w:tcW w:w="1371" w:type="dxa"/>
            <w:tcBorders>
              <w:bottom w:val="single" w:sz="4" w:space="0" w:color="111111"/>
            </w:tcBorders>
          </w:tcPr>
          <w:p>
            <w:pPr>
              <w:pStyle w:val="Compact"/>
              <w:spacing w:before="0" w:after="0" w:lineRule="exact" w:line="200"/>
              <w:jc w:val="left"/>
            </w:pPr>
            <w:r>
              <w:rPr>
                <w:b/>
                <w:sz w:val="16"/>
              </w:rPr>
              <w:t xml:space="preserve">Ecosystem ratio</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(1)</w:t>
            </w:r>
          </w:p>
        </w:tc>
        <w:tc>
          <w:tcPr>
            <w:tcW w:w="1252" w:type="dxa"/>
          </w:tcPr>
          <w:p>
            <w:pPr>
              <w:pStyle w:val="Compact"/>
              <w:spacing w:before="0" w:after="0" w:lineRule="exact" w:line="200"/>
              <w:jc w:val="left"/>
            </w:pPr>
            <w:r>
              <w:rPr>
                <w:sz w:val="16"/>
              </w:rPr>
              <w:t xml:space="preserve">(2)</w:t>
            </w:r>
          </w:p>
        </w:tc>
        <w:tc>
          <w:tcPr>
            <w:tcW w:w="1252" w:type="dxa"/>
          </w:tcPr>
          <w:p>
            <w:pPr>
              <w:pStyle w:val="Compact"/>
              <w:spacing w:before="0" w:after="0" w:lineRule="exact" w:line="200"/>
              <w:jc w:val="left"/>
            </w:pPr>
            <w:r>
              <w:rPr>
                <w:sz w:val="16"/>
              </w:rPr>
              <w:t xml:space="preserve">(3)</w:t>
            </w:r>
          </w:p>
        </w:tc>
        <w:tc>
          <w:tcPr>
            <w:tcW w:w="1371" w:type="dxa"/>
          </w:tcPr>
          <w:p>
            <w:pPr>
              <w:pStyle w:val="Compact"/>
              <w:spacing w:before="0" w:after="0" w:lineRule="exact" w:line="200"/>
              <w:jc w:val="left"/>
            </w:pPr>
            <w:r>
              <w:rPr>
                <w:sz w:val="16"/>
              </w:rPr>
              <w:t xml:space="preserve">(4)</w:t>
            </w:r>
          </w:p>
        </w:tc>
        <w:tc>
          <w:tcPr>
            <w:tcW w:w="1371" w:type="dxa"/>
          </w:tcPr>
          <w:p>
            <w:pPr>
              <w:pStyle w:val="Compact"/>
              <w:spacing w:before="0" w:after="0" w:lineRule="exact" w:line="200"/>
              <w:jc w:val="left"/>
            </w:pPr>
            <w:r>
              <w:rPr>
                <w:sz w:val="16"/>
              </w:rPr>
              <w:t xml:space="preserve">(5)</w:t>
            </w:r>
          </w:p>
        </w:tc>
        <w:tc>
          <w:tcPr>
            <w:tcW w:w="1371" w:type="dxa"/>
          </w:tcPr>
          <w:p>
            <w:pPr>
              <w:pStyle w:val="Compact"/>
              <w:spacing w:before="0" w:after="0" w:lineRule="exact" w:line="200"/>
              <w:jc w:val="left"/>
            </w:pPr>
            <w:r>
              <w:rPr>
                <w:sz w:val="16"/>
              </w:rPr>
              <w:t xml:space="preserve">(6)</w:t>
            </w:r>
          </w:p>
        </w:tc>
      </w:tr>
      <w:tr>
        <w:trPr>
          <w:cantSplit/>
        </w:trPr>
        <w:tc>
          <w:tcPr>
            <w:tcW w:w="2326" w:type="dxa"/>
          </w:tcPr>
          <w:p>
            <w:pPr>
              <w:pStyle w:val="Compact"/>
              <w:spacing w:before="0" w:after="0" w:lineRule="exact" w:line="200"/>
              <w:jc w:val="left"/>
            </w:pPr>
            <w:r>
              <w:rPr>
                <w:sz w:val="16"/>
              </w:rPr>
              <w:t xml:space="preserve">IndonesiaRegion</w:t>
            </w:r>
          </w:p>
        </w:tc>
        <w:tc>
          <w:tcPr>
            <w:tcW w:w="1252" w:type="dxa"/>
          </w:tcPr>
          <w:p>
            <w:pPr>
              <w:pStyle w:val="Compact"/>
              <w:spacing w:before="0" w:after="0" w:lineRule="exact" w:line="200"/>
              <w:jc w:val="left"/>
            </w:pPr>
            <w:r>
              <w:rPr>
                <w:sz w:val="16"/>
              </w:rPr>
              <w:t xml:space="preserve">-0.075</w:t>
            </w:r>
          </w:p>
        </w:tc>
        <w:tc>
          <w:tcPr>
            <w:tcW w:w="1252" w:type="dxa"/>
          </w:tcPr>
          <w:p>
            <w:pPr>
              <w:pStyle w:val="Compact"/>
              <w:spacing w:before="0" w:after="0" w:lineRule="exact" w:line="200"/>
              <w:jc w:val="left"/>
            </w:pPr>
            <w:r>
              <w:rPr>
                <w:sz w:val="16"/>
              </w:rPr>
              <w:t xml:space="preserve">-0.302</w:t>
            </w:r>
          </w:p>
        </w:tc>
        <w:tc>
          <w:tcPr>
            <w:tcW w:w="1252" w:type="dxa"/>
          </w:tcPr>
          <w:p>
            <w:pPr>
              <w:pStyle w:val="Compact"/>
              <w:spacing w:before="0" w:after="0" w:lineRule="exact" w:line="200"/>
              <w:jc w:val="left"/>
            </w:pPr>
            <w:r>
              <w:rPr>
                <w:sz w:val="16"/>
              </w:rPr>
              <w:t xml:space="preserve">0.080</w:t>
            </w:r>
          </w:p>
        </w:tc>
        <w:tc>
          <w:tcPr>
            <w:tcW w:w="1371" w:type="dxa"/>
          </w:tcPr>
          <w:p>
            <w:pPr>
              <w:pStyle w:val="Compact"/>
              <w:spacing w:before="0" w:after="0" w:lineRule="exact" w:line="200"/>
              <w:jc w:val="left"/>
            </w:pPr>
            <w:r>
              <w:rPr>
                <w:sz w:val="16"/>
              </w:rPr>
              <w:t xml:space="preserve">15.214∗∗∗</w:t>
            </w:r>
          </w:p>
        </w:tc>
        <w:tc>
          <w:tcPr>
            <w:tcW w:w="1371" w:type="dxa"/>
          </w:tcPr>
          <w:p>
            <w:pPr>
              <w:pStyle w:val="Compact"/>
              <w:spacing w:before="0" w:after="0" w:lineRule="exact" w:line="200"/>
              <w:jc w:val="left"/>
            </w:pPr>
            <w:r>
              <w:rPr>
                <w:sz w:val="16"/>
              </w:rPr>
              <w:t xml:space="preserve">12.939∗∗∗</w:t>
            </w:r>
          </w:p>
        </w:tc>
        <w:tc>
          <w:tcPr>
            <w:tcW w:w="1371" w:type="dxa"/>
          </w:tcPr>
          <w:p>
            <w:pPr>
              <w:pStyle w:val="Compact"/>
              <w:spacing w:before="0" w:after="0" w:lineRule="exact" w:line="200"/>
              <w:jc w:val="left"/>
            </w:pPr>
            <w:r>
              <w:rPr>
                <w:sz w:val="16"/>
              </w:rPr>
              <w:t xml:space="preserve">17.092∗∗∗</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(0.361)</w:t>
            </w:r>
          </w:p>
        </w:tc>
        <w:tc>
          <w:tcPr>
            <w:tcW w:w="1252" w:type="dxa"/>
          </w:tcPr>
          <w:p>
            <w:pPr>
              <w:pStyle w:val="Compact"/>
              <w:spacing w:before="0" w:after="0" w:lineRule="exact" w:line="200"/>
              <w:jc w:val="left"/>
            </w:pPr>
            <w:r>
              <w:rPr>
                <w:sz w:val="16"/>
              </w:rPr>
              <w:t xml:space="preserve">(0.349)</w:t>
            </w:r>
          </w:p>
        </w:tc>
        <w:tc>
          <w:tcPr>
            <w:tcW w:w="1252" w:type="dxa"/>
          </w:tcPr>
          <w:p>
            <w:pPr>
              <w:pStyle w:val="Compact"/>
              <w:spacing w:before="0" w:after="0" w:lineRule="exact" w:line="200"/>
              <w:jc w:val="left"/>
            </w:pPr>
            <w:r>
              <w:rPr>
                <w:sz w:val="16"/>
              </w:rPr>
              <w:t xml:space="preserve">(0.396)</w:t>
            </w:r>
          </w:p>
        </w:tc>
        <w:tc>
          <w:tcPr>
            <w:tcW w:w="1371" w:type="dxa"/>
          </w:tcPr>
          <w:p>
            <w:pPr>
              <w:pStyle w:val="Compact"/>
              <w:spacing w:before="0" w:after="0" w:lineRule="exact" w:line="200"/>
              <w:jc w:val="left"/>
            </w:pPr>
            <w:r>
              <w:rPr>
                <w:sz w:val="16"/>
              </w:rPr>
              <w:t xml:space="preserve">(3.857)</w:t>
            </w:r>
          </w:p>
        </w:tc>
        <w:tc>
          <w:tcPr>
            <w:tcW w:w="1371" w:type="dxa"/>
          </w:tcPr>
          <w:p>
            <w:pPr>
              <w:pStyle w:val="Compact"/>
              <w:spacing w:before="0" w:after="0" w:lineRule="exact" w:line="200"/>
              <w:jc w:val="left"/>
            </w:pPr>
            <w:r>
              <w:rPr>
                <w:sz w:val="16"/>
              </w:rPr>
              <w:t xml:space="preserve">(3.290)</w:t>
            </w:r>
          </w:p>
        </w:tc>
        <w:tc>
          <w:tcPr>
            <w:tcW w:w="1371" w:type="dxa"/>
          </w:tcPr>
          <w:p>
            <w:pPr>
              <w:pStyle w:val="Compact"/>
              <w:spacing w:before="0" w:after="0" w:lineRule="exact" w:line="200"/>
              <w:jc w:val="left"/>
            </w:pPr>
            <w:r>
              <w:rPr>
                <w:sz w:val="16"/>
              </w:rPr>
              <w:t xml:space="preserve">(3.168)</w:t>
            </w:r>
          </w:p>
        </w:tc>
      </w:tr>
      <w:tr>
        <w:trPr>
          <w:cantSplit/>
        </w:trPr>
        <w:tc>
          <w:tcPr>
            <w:tcW w:w="2326" w:type="dxa"/>
          </w:tcPr>
          <w:p>
            <w:pPr>
              <w:pStyle w:val="Compact"/>
              <w:spacing w:before="0" w:after="0" w:lineRule="exact" w:line="200"/>
              <w:jc w:val="left"/>
            </w:pPr>
            <w:r>
              <w:rPr>
                <w:sz w:val="16"/>
              </w:rPr>
              <w:t xml:space="preserve">ln(1+YearsListed)</w:t>
            </w:r>
          </w:p>
        </w:tc>
        <w:tc>
          <w:tcPr>
            <w:tcW w:w="1252" w:type="dxa"/>
          </w:tcPr>
          <w:p>
            <w:pPr>
              <w:pStyle w:val="Compact"/>
              <w:spacing w:before="0" w:after="0" w:lineRule="exact" w:line="200"/>
              <w:jc w:val="left"/>
            </w:pPr>
            <w:r>
              <w:rPr>
                <w:sz w:val="16"/>
              </w:rPr>
              <w:t xml:space="preserve">-0.066</w:t>
            </w:r>
          </w:p>
        </w:tc>
        <w:tc>
          <w:tcPr>
            <w:tcW w:w="1252" w:type="dxa"/>
          </w:tcPr>
          <w:p>
            <w:pPr>
              <w:pStyle w:val="Compact"/>
              <w:spacing w:before="0" w:after="0" w:lineRule="exact" w:line="200"/>
              <w:jc w:val="left"/>
            </w:pPr>
            <w:r>
              <w:rPr>
                <w:sz w:val="16"/>
              </w:rPr>
              <w:t xml:space="preserve">-0.068</w:t>
            </w:r>
          </w:p>
        </w:tc>
        <w:tc>
          <w:tcPr>
            <w:tcW w:w="1252" w:type="dxa"/>
          </w:tcPr>
          <w:p>
            <w:pPr>
              <w:pStyle w:val="Compact"/>
              <w:spacing w:before="0" w:after="0" w:lineRule="exact" w:line="200"/>
              <w:jc w:val="left"/>
            </w:pPr>
            <w:r>
              <w:rPr>
                <w:sz w:val="16"/>
              </w:rPr>
              <w:t xml:space="preserve">0.093</w:t>
            </w:r>
          </w:p>
        </w:tc>
        <w:tc>
          <w:tcPr>
            <w:tcW w:w="1371" w:type="dxa"/>
          </w:tcPr>
          <w:p>
            <w:pPr>
              <w:pStyle w:val="Compact"/>
              <w:spacing w:before="0" w:after="0" w:lineRule="exact" w:line="200"/>
              <w:jc w:val="left"/>
            </w:pPr>
            <w:r>
              <w:rPr>
                <w:sz w:val="16"/>
              </w:rPr>
              <w:t xml:space="preserve">-2.722</w:t>
            </w:r>
          </w:p>
        </w:tc>
        <w:tc>
          <w:tcPr>
            <w:tcW w:w="1371" w:type="dxa"/>
          </w:tcPr>
          <w:p>
            <w:pPr>
              <w:pStyle w:val="Compact"/>
              <w:spacing w:before="0" w:after="0" w:lineRule="exact" w:line="200"/>
              <w:jc w:val="left"/>
            </w:pPr>
            <w:r>
              <w:rPr>
                <w:sz w:val="16"/>
              </w:rPr>
              <w:t xml:space="preserve">-2.719∗</w:t>
            </w:r>
          </w:p>
        </w:tc>
        <w:tc>
          <w:tcPr>
            <w:tcW w:w="1371" w:type="dxa"/>
          </w:tcPr>
          <w:p>
            <w:pPr>
              <w:pStyle w:val="Compact"/>
              <w:spacing w:before="0" w:after="0" w:lineRule="exact" w:line="200"/>
              <w:jc w:val="left"/>
            </w:pPr>
            <w:r>
              <w:rPr>
                <w:sz w:val="16"/>
              </w:rPr>
              <w:t xml:space="preserve">-1.274</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(0.156)</w:t>
            </w:r>
          </w:p>
        </w:tc>
        <w:tc>
          <w:tcPr>
            <w:tcW w:w="1252" w:type="dxa"/>
          </w:tcPr>
          <w:p>
            <w:pPr>
              <w:pStyle w:val="Compact"/>
              <w:spacing w:before="0" w:after="0" w:lineRule="exact" w:line="200"/>
              <w:jc w:val="left"/>
            </w:pPr>
            <w:r>
              <w:rPr>
                <w:sz w:val="16"/>
              </w:rPr>
              <w:t xml:space="preserve">(0.141)</w:t>
            </w:r>
          </w:p>
        </w:tc>
        <w:tc>
          <w:tcPr>
            <w:tcW w:w="1252" w:type="dxa"/>
          </w:tcPr>
          <w:p>
            <w:pPr>
              <w:pStyle w:val="Compact"/>
              <w:spacing w:before="0" w:after="0" w:lineRule="exact" w:line="200"/>
              <w:jc w:val="left"/>
            </w:pPr>
            <w:r>
              <w:rPr>
                <w:sz w:val="16"/>
              </w:rPr>
              <w:t xml:space="preserve">(0.169)</w:t>
            </w:r>
          </w:p>
        </w:tc>
        <w:tc>
          <w:tcPr>
            <w:tcW w:w="1371" w:type="dxa"/>
          </w:tcPr>
          <w:p>
            <w:pPr>
              <w:pStyle w:val="Compact"/>
              <w:spacing w:before="0" w:after="0" w:lineRule="exact" w:line="200"/>
              <w:jc w:val="left"/>
            </w:pPr>
            <w:r>
              <w:rPr>
                <w:sz w:val="16"/>
              </w:rPr>
              <w:t xml:space="preserve">(1.623)</w:t>
            </w:r>
          </w:p>
        </w:tc>
        <w:tc>
          <w:tcPr>
            <w:tcW w:w="1371" w:type="dxa"/>
          </w:tcPr>
          <w:p>
            <w:pPr>
              <w:pStyle w:val="Compact"/>
              <w:spacing w:before="0" w:after="0" w:lineRule="exact" w:line="200"/>
              <w:jc w:val="left"/>
            </w:pPr>
            <w:r>
              <w:rPr>
                <w:sz w:val="16"/>
              </w:rPr>
              <w:t xml:space="preserve">(1.531)</w:t>
            </w:r>
          </w:p>
        </w:tc>
        <w:tc>
          <w:tcPr>
            <w:tcW w:w="1371" w:type="dxa"/>
          </w:tcPr>
          <w:p>
            <w:pPr>
              <w:pStyle w:val="Compact"/>
              <w:spacing w:before="0" w:after="0" w:lineRule="exact" w:line="200"/>
              <w:jc w:val="left"/>
            </w:pPr>
            <w:r>
              <w:rPr>
                <w:sz w:val="16"/>
              </w:rPr>
              <w:t xml:space="preserve">(1.516)</w:t>
            </w:r>
          </w:p>
        </w:tc>
      </w:tr>
      <w:tr>
        <w:trPr>
          <w:cantSplit/>
        </w:trPr>
        <w:tc>
          <w:tcPr>
            <w:tcW w:w="2326" w:type="dxa"/>
          </w:tcPr>
          <w:p>
            <w:pPr>
              <w:pStyle w:val="Compact"/>
              <w:spacing w:before="0" w:after="0" w:lineRule="exact" w:line="200"/>
              <w:jc w:val="left"/>
            </w:pPr>
            <w:r>
              <w:rPr>
                <w:sz w:val="16"/>
              </w:rPr>
              <w:t xml:space="preserve">ln(Assets)</w:t>
            </w:r>
          </w:p>
        </w:tc>
        <w:tc>
          <w:tcPr>
            <w:tcW w:w="1252" w:type="dxa"/>
          </w:tcPr>
          <w:p>
            <w:pPr>
              <w:pStyle w:val="Compact"/>
              <w:spacing w:before="0" w:after="0" w:lineRule="exact" w:line="200"/>
              <w:jc w:val="left"/>
            </w:pPr>
            <w:r>
              <w:rPr>
                <w:sz w:val="16"/>
              </w:rPr>
              <w:t xml:space="preserve">0.898∗∗∗</w:t>
            </w:r>
          </w:p>
        </w:tc>
        <w:tc>
          <w:tcPr>
            <w:tcW w:w="1252" w:type="dxa"/>
          </w:tcPr>
          <w:p>
            <w:pPr>
              <w:pStyle w:val="Compact"/>
              <w:spacing w:before="0" w:after="0" w:lineRule="exact" w:line="200"/>
              <w:jc w:val="left"/>
            </w:pPr>
            <w:r>
              <w:rPr>
                <w:sz w:val="16"/>
              </w:rPr>
              <w:t xml:space="preserve">0.917∗∗∗</w:t>
            </w:r>
          </w:p>
        </w:tc>
        <w:tc>
          <w:tcPr>
            <w:tcW w:w="1252" w:type="dxa"/>
          </w:tcPr>
          <w:p>
            <w:pPr>
              <w:pStyle w:val="Compact"/>
              <w:spacing w:before="0" w:after="0" w:lineRule="exact" w:line="200"/>
              <w:jc w:val="left"/>
            </w:pPr>
            <w:r>
              <w:rPr>
                <w:sz w:val="16"/>
              </w:rPr>
              <w:t xml:space="preserve">0.900∗∗∗</w:t>
            </w:r>
          </w:p>
        </w:tc>
        <w:tc>
          <w:tcPr>
            <w:tcW w:w="1371" w:type="dxa"/>
          </w:tcPr>
          <w:p>
            <w:pPr>
              <w:pStyle w:val="Compact"/>
              <w:spacing w:before="0" w:after="0" w:lineRule="exact" w:line="200"/>
              <w:jc w:val="left"/>
            </w:pPr>
            <w:r>
              <w:rPr>
                <w:sz w:val="16"/>
              </w:rPr>
              <w:t xml:space="preserve">0.016</w:t>
            </w:r>
          </w:p>
        </w:tc>
        <w:tc>
          <w:tcPr>
            <w:tcW w:w="1371" w:type="dxa"/>
          </w:tcPr>
          <w:p>
            <w:pPr>
              <w:pStyle w:val="Compact"/>
              <w:spacing w:before="0" w:after="0" w:lineRule="exact" w:line="200"/>
              <w:jc w:val="left"/>
            </w:pPr>
            <w:r>
              <w:rPr>
                <w:sz w:val="16"/>
              </w:rPr>
              <w:t xml:space="preserve">-0.281</w:t>
            </w:r>
          </w:p>
        </w:tc>
        <w:tc>
          <w:tcPr>
            <w:tcW w:w="1371" w:type="dxa"/>
          </w:tcPr>
          <w:p>
            <w:pPr>
              <w:pStyle w:val="Compact"/>
              <w:spacing w:before="0" w:after="0" w:lineRule="exact" w:line="200"/>
              <w:jc w:val="left"/>
            </w:pPr>
            <w:r>
              <w:rPr>
                <w:sz w:val="16"/>
              </w:rPr>
              <w:t xml:space="preserve">-0.621</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(0.086)</w:t>
            </w:r>
          </w:p>
        </w:tc>
        <w:tc>
          <w:tcPr>
            <w:tcW w:w="1252" w:type="dxa"/>
          </w:tcPr>
          <w:p>
            <w:pPr>
              <w:pStyle w:val="Compact"/>
              <w:spacing w:before="0" w:after="0" w:lineRule="exact" w:line="200"/>
              <w:jc w:val="left"/>
            </w:pPr>
            <w:r>
              <w:rPr>
                <w:sz w:val="16"/>
              </w:rPr>
              <w:t xml:space="preserve">(0.073)</w:t>
            </w:r>
          </w:p>
        </w:tc>
        <w:tc>
          <w:tcPr>
            <w:tcW w:w="1252" w:type="dxa"/>
          </w:tcPr>
          <w:p>
            <w:pPr>
              <w:pStyle w:val="Compact"/>
              <w:spacing w:before="0" w:after="0" w:lineRule="exact" w:line="200"/>
              <w:jc w:val="left"/>
            </w:pPr>
            <w:r>
              <w:rPr>
                <w:sz w:val="16"/>
              </w:rPr>
              <w:t xml:space="preserve">(0.060)</w:t>
            </w:r>
          </w:p>
        </w:tc>
        <w:tc>
          <w:tcPr>
            <w:tcW w:w="1371" w:type="dxa"/>
          </w:tcPr>
          <w:p>
            <w:pPr>
              <w:pStyle w:val="Compact"/>
              <w:spacing w:before="0" w:after="0" w:lineRule="exact" w:line="200"/>
              <w:jc w:val="left"/>
            </w:pPr>
            <w:r>
              <w:rPr>
                <w:sz w:val="16"/>
              </w:rPr>
              <w:t xml:space="preserve">(0.897)</w:t>
            </w:r>
          </w:p>
        </w:tc>
        <w:tc>
          <w:tcPr>
            <w:tcW w:w="1371" w:type="dxa"/>
          </w:tcPr>
          <w:p>
            <w:pPr>
              <w:pStyle w:val="Compact"/>
              <w:spacing w:before="0" w:after="0" w:lineRule="exact" w:line="200"/>
              <w:jc w:val="left"/>
            </w:pPr>
            <w:r>
              <w:rPr>
                <w:sz w:val="16"/>
              </w:rPr>
              <w:t xml:space="preserve">(0.676)</w:t>
            </w:r>
          </w:p>
        </w:tc>
        <w:tc>
          <w:tcPr>
            <w:tcW w:w="1371" w:type="dxa"/>
          </w:tcPr>
          <w:p>
            <w:pPr>
              <w:pStyle w:val="Compact"/>
              <w:spacing w:before="0" w:after="0" w:lineRule="exact" w:line="200"/>
              <w:jc w:val="left"/>
            </w:pPr>
            <w:r>
              <w:rPr>
                <w:sz w:val="16"/>
              </w:rPr>
              <w:t xml:space="preserve">(0.662)</w:t>
            </w:r>
          </w:p>
        </w:tc>
      </w:tr>
      <w:tr>
        <w:trPr>
          <w:cantSplit/>
        </w:trPr>
        <w:tc>
          <w:tcPr>
            <w:tcW w:w="2326" w:type="dxa"/>
          </w:tcPr>
          <w:p>
            <w:pPr>
              <w:pStyle w:val="Compact"/>
              <w:spacing w:before="0" w:after="0" w:lineRule="exact" w:line="200"/>
              <w:jc w:val="left"/>
            </w:pPr>
            <w:r>
              <w:rPr>
                <w:sz w:val="16"/>
              </w:rPr>
              <w:t xml:space="preserve">OnDemand</w:t>
            </w:r>
          </w:p>
        </w:tc>
        <w:tc>
          <w:tcPr>
            <w:tcW w:w="1252" w:type="dxa"/>
          </w:tcPr>
          <w:p>
            <w:pPr>
              <w:pStyle w:val="Compact"/>
              <w:spacing w:before="0" w:after="0" w:lineRule="exact" w:line="200"/>
              <w:jc w:val="left"/>
            </w:pPr>
            <w:r>
              <w:rPr>
                <w:sz w:val="16"/>
              </w:rPr>
              <w:t xml:space="preserve">-0.950∗∗∗</w:t>
            </w:r>
          </w:p>
        </w:tc>
        <w:tc>
          <w:tcPr>
            <w:tcW w:w="1252" w:type="dxa"/>
          </w:tcPr>
          <w:p>
            <w:pPr>
              <w:pStyle w:val="Compact"/>
              <w:spacing w:before="0" w:after="0" w:lineRule="exact" w:line="200"/>
              <w:jc w:val="left"/>
            </w:pPr>
            <w:r>
              <w:rPr>
                <w:sz w:val="16"/>
              </w:rPr>
              <w:t xml:space="preserve">-0.975∗∗∗</w:t>
            </w:r>
          </w:p>
        </w:tc>
        <w:tc>
          <w:tcPr>
            <w:tcW w:w="1252" w:type="dxa"/>
          </w:tcPr>
          <w:p>
            <w:pPr>
              <w:pStyle w:val="Compact"/>
              <w:spacing w:before="0" w:after="0" w:lineRule="exact" w:line="200"/>
              <w:jc w:val="left"/>
            </w:pPr>
            <w:r>
              <w:rPr>
                <w:sz w:val="16"/>
              </w:rPr>
              <w:t xml:space="preserve">-1.011∗∗∗</w:t>
            </w:r>
          </w:p>
        </w:tc>
        <w:tc>
          <w:tcPr>
            <w:tcW w:w="1371" w:type="dxa"/>
          </w:tcPr>
          <w:p>
            <w:pPr>
              <w:pStyle w:val="Compact"/>
              <w:spacing w:before="0" w:after="0" w:lineRule="exact" w:line="200"/>
              <w:jc w:val="left"/>
            </w:pPr>
            <w:r>
              <w:rPr>
                <w:sz w:val="16"/>
              </w:rPr>
              <w:t xml:space="preserve">-16.597∗∗∗</w:t>
            </w:r>
          </w:p>
        </w:tc>
        <w:tc>
          <w:tcPr>
            <w:tcW w:w="1371" w:type="dxa"/>
          </w:tcPr>
          <w:p>
            <w:pPr>
              <w:pStyle w:val="Compact"/>
              <w:spacing w:before="0" w:after="0" w:lineRule="exact" w:line="200"/>
              <w:jc w:val="left"/>
            </w:pPr>
            <w:r>
              <w:rPr>
                <w:sz w:val="16"/>
              </w:rPr>
              <w:t xml:space="preserve">-17.876∗∗∗</w:t>
            </w:r>
          </w:p>
        </w:tc>
        <w:tc>
          <w:tcPr>
            <w:tcW w:w="1371" w:type="dxa"/>
          </w:tcPr>
          <w:p>
            <w:pPr>
              <w:pStyle w:val="Compact"/>
              <w:spacing w:before="0" w:after="0" w:lineRule="exact" w:line="200"/>
              <w:jc w:val="left"/>
            </w:pPr>
            <w:r>
              <w:rPr>
                <w:sz w:val="16"/>
              </w:rPr>
              <w:t xml:space="preserve">-19.787∗∗∗</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(0.267)</w:t>
            </w:r>
          </w:p>
        </w:tc>
        <w:tc>
          <w:tcPr>
            <w:tcW w:w="1252" w:type="dxa"/>
          </w:tcPr>
          <w:p>
            <w:pPr>
              <w:pStyle w:val="Compact"/>
              <w:spacing w:before="0" w:after="0" w:lineRule="exact" w:line="200"/>
              <w:jc w:val="left"/>
            </w:pPr>
            <w:r>
              <w:rPr>
                <w:sz w:val="16"/>
              </w:rPr>
              <w:t xml:space="preserve">(0.305)</w:t>
            </w:r>
          </w:p>
        </w:tc>
        <w:tc>
          <w:tcPr>
            <w:tcW w:w="1252" w:type="dxa"/>
          </w:tcPr>
          <w:p>
            <w:pPr>
              <w:pStyle w:val="Compact"/>
              <w:spacing w:before="0" w:after="0" w:lineRule="exact" w:line="200"/>
              <w:jc w:val="left"/>
            </w:pPr>
            <w:r>
              <w:rPr>
                <w:sz w:val="16"/>
              </w:rPr>
              <w:t xml:space="preserve">(0.273)</w:t>
            </w:r>
          </w:p>
        </w:tc>
        <w:tc>
          <w:tcPr>
            <w:tcW w:w="1371" w:type="dxa"/>
          </w:tcPr>
          <w:p>
            <w:pPr>
              <w:pStyle w:val="Compact"/>
              <w:spacing w:before="0" w:after="0" w:lineRule="exact" w:line="200"/>
              <w:jc w:val="left"/>
            </w:pPr>
            <w:r>
              <w:rPr>
                <w:sz w:val="16"/>
              </w:rPr>
              <w:t xml:space="preserve">(3.837)</w:t>
            </w:r>
          </w:p>
        </w:tc>
        <w:tc>
          <w:tcPr>
            <w:tcW w:w="1371" w:type="dxa"/>
          </w:tcPr>
          <w:p>
            <w:pPr>
              <w:pStyle w:val="Compact"/>
              <w:spacing w:before="0" w:after="0" w:lineRule="exact" w:line="200"/>
              <w:jc w:val="left"/>
            </w:pPr>
            <w:r>
              <w:rPr>
                <w:sz w:val="16"/>
              </w:rPr>
              <w:t xml:space="preserve">(3.640)</w:t>
            </w:r>
          </w:p>
        </w:tc>
        <w:tc>
          <w:tcPr>
            <w:tcW w:w="1371" w:type="dxa"/>
          </w:tcPr>
          <w:p>
            <w:pPr>
              <w:pStyle w:val="Compact"/>
              <w:spacing w:before="0" w:after="0" w:lineRule="exact" w:line="200"/>
              <w:jc w:val="left"/>
            </w:pPr>
            <w:r>
              <w:rPr>
                <w:sz w:val="16"/>
              </w:rPr>
              <w:t xml:space="preserve">(3.251)</w:t>
            </w:r>
          </w:p>
        </w:tc>
      </w:tr>
      <w:tr>
        <w:trPr>
          <w:cantSplit/>
        </w:trPr>
        <w:tc>
          <w:tcPr>
            <w:tcW w:w="2326" w:type="dxa"/>
          </w:tcPr>
          <w:p>
            <w:pPr>
              <w:pStyle w:val="Compact"/>
              <w:spacing w:before="0" w:after="0" w:lineRule="exact" w:line="200"/>
              <w:jc w:val="left"/>
            </w:pPr>
            <w:r>
              <w:rPr>
                <w:sz w:val="16"/>
              </w:rPr>
              <w:t xml:space="preserve">Travel</w:t>
            </w:r>
          </w:p>
        </w:tc>
        <w:tc>
          <w:tcPr>
            <w:tcW w:w="1252" w:type="dxa"/>
          </w:tcPr>
          <w:p>
            <w:pPr>
              <w:pStyle w:val="Compact"/>
              <w:spacing w:before="0" w:after="0" w:lineRule="exact" w:line="200"/>
              <w:jc w:val="left"/>
            </w:pPr>
            <w:r>
              <w:rPr>
                <w:sz w:val="16"/>
              </w:rPr>
              <w:t xml:space="preserve">-0.053</w:t>
            </w:r>
          </w:p>
        </w:tc>
        <w:tc>
          <w:tcPr>
            <w:tcW w:w="1252" w:type="dxa"/>
          </w:tcPr>
          <w:p>
            <w:pPr>
              <w:pStyle w:val="Compact"/>
              <w:spacing w:before="0" w:after="0" w:lineRule="exact" w:line="200"/>
              <w:jc w:val="left"/>
            </w:pPr>
            <w:r>
              <w:rPr>
                <w:sz w:val="16"/>
              </w:rPr>
              <w:t xml:space="preserve">-0.261</w:t>
            </w:r>
          </w:p>
        </w:tc>
        <w:tc>
          <w:tcPr>
            <w:tcW w:w="1252" w:type="dxa"/>
          </w:tcPr>
          <w:p>
            <w:pPr>
              <w:pStyle w:val="Compact"/>
              <w:spacing w:before="0" w:after="0" w:lineRule="exact" w:line="200"/>
              <w:jc w:val="left"/>
            </w:pPr>
            <w:r>
              <w:rPr>
                <w:sz w:val="16"/>
              </w:rPr>
              <w:t xml:space="preserve">-0.266</w:t>
            </w:r>
          </w:p>
        </w:tc>
        <w:tc>
          <w:tcPr>
            <w:tcW w:w="1371" w:type="dxa"/>
          </w:tcPr>
          <w:p>
            <w:pPr>
              <w:pStyle w:val="Compact"/>
              <w:spacing w:before="0" w:after="0" w:lineRule="exact" w:line="200"/>
              <w:jc w:val="left"/>
            </w:pPr>
            <w:r>
              <w:rPr>
                <w:sz w:val="16"/>
              </w:rPr>
              <w:t xml:space="preserve">-7.313∗</w:t>
            </w:r>
          </w:p>
        </w:tc>
        <w:tc>
          <w:tcPr>
            <w:tcW w:w="1371" w:type="dxa"/>
          </w:tcPr>
          <w:p>
            <w:pPr>
              <w:pStyle w:val="Compact"/>
              <w:spacing w:before="0" w:after="0" w:lineRule="exact" w:line="200"/>
              <w:jc w:val="left"/>
            </w:pPr>
            <w:r>
              <w:rPr>
                <w:sz w:val="16"/>
              </w:rPr>
              <w:t xml:space="preserve">-8.346∗∗</w:t>
            </w:r>
          </w:p>
        </w:tc>
        <w:tc>
          <w:tcPr>
            <w:tcW w:w="1371" w:type="dxa"/>
          </w:tcPr>
          <w:p>
            <w:pPr>
              <w:pStyle w:val="Compact"/>
              <w:spacing w:before="0" w:after="0" w:lineRule="exact" w:line="200"/>
              <w:jc w:val="left"/>
            </w:pPr>
            <w:r>
              <w:rPr>
                <w:sz w:val="16"/>
              </w:rPr>
              <w:t xml:space="preserve">-9.250∗∗</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(0.346)</w:t>
            </w:r>
          </w:p>
        </w:tc>
        <w:tc>
          <w:tcPr>
            <w:tcW w:w="1252" w:type="dxa"/>
          </w:tcPr>
          <w:p>
            <w:pPr>
              <w:pStyle w:val="Compact"/>
              <w:spacing w:before="0" w:after="0" w:lineRule="exact" w:line="200"/>
              <w:jc w:val="left"/>
            </w:pPr>
            <w:r>
              <w:rPr>
                <w:sz w:val="16"/>
              </w:rPr>
              <w:t xml:space="preserve">(0.397)</w:t>
            </w:r>
          </w:p>
        </w:tc>
        <w:tc>
          <w:tcPr>
            <w:tcW w:w="1252" w:type="dxa"/>
          </w:tcPr>
          <w:p>
            <w:pPr>
              <w:pStyle w:val="Compact"/>
              <w:spacing w:before="0" w:after="0" w:lineRule="exact" w:line="200"/>
              <w:jc w:val="left"/>
            </w:pPr>
            <w:r>
              <w:rPr>
                <w:sz w:val="16"/>
              </w:rPr>
              <w:t xml:space="preserve">(0.317)</w:t>
            </w:r>
          </w:p>
        </w:tc>
        <w:tc>
          <w:tcPr>
            <w:tcW w:w="1371" w:type="dxa"/>
          </w:tcPr>
          <w:p>
            <w:pPr>
              <w:pStyle w:val="Compact"/>
              <w:spacing w:before="0" w:after="0" w:lineRule="exact" w:line="200"/>
              <w:jc w:val="left"/>
            </w:pPr>
            <w:r>
              <w:rPr>
                <w:sz w:val="16"/>
              </w:rPr>
              <w:t xml:space="preserve">(3.795)</w:t>
            </w:r>
          </w:p>
        </w:tc>
        <w:tc>
          <w:tcPr>
            <w:tcW w:w="1371" w:type="dxa"/>
          </w:tcPr>
          <w:p>
            <w:pPr>
              <w:pStyle w:val="Compact"/>
              <w:spacing w:before="0" w:after="0" w:lineRule="exact" w:line="200"/>
              <w:jc w:val="left"/>
            </w:pPr>
            <w:r>
              <w:rPr>
                <w:sz w:val="16"/>
              </w:rPr>
              <w:t xml:space="preserve">(3.937)</w:t>
            </w:r>
          </w:p>
        </w:tc>
        <w:tc>
          <w:tcPr>
            <w:tcW w:w="1371" w:type="dxa"/>
          </w:tcPr>
          <w:p>
            <w:pPr>
              <w:pStyle w:val="Compact"/>
              <w:spacing w:before="0" w:after="0" w:lineRule="exact" w:line="200"/>
              <w:jc w:val="left"/>
            </w:pPr>
            <w:r>
              <w:rPr>
                <w:sz w:val="16"/>
              </w:rPr>
              <w:t xml:space="preserve">(3.429)</w:t>
            </w:r>
          </w:p>
        </w:tc>
      </w:tr>
      <w:tr>
        <w:trPr>
          <w:cantSplit/>
        </w:trPr>
        <w:tc>
          <w:tcPr>
            <w:tcW w:w="2326" w:type="dxa"/>
          </w:tcPr>
          <w:p>
            <w:pPr>
              <w:pStyle w:val="Compact"/>
              <w:spacing w:before="0" w:after="0" w:lineRule="exact" w:line="200"/>
              <w:jc w:val="left"/>
            </w:pPr>
            <w:r>
              <w:rPr>
                <w:sz w:val="16"/>
              </w:rPr>
              <w:t xml:space="preserve">Freelance</w:t>
            </w:r>
          </w:p>
        </w:tc>
        <w:tc>
          <w:tcPr>
            <w:tcW w:w="1252" w:type="dxa"/>
          </w:tcPr>
          <w:p>
            <w:pPr>
              <w:pStyle w:val="Compact"/>
              <w:spacing w:before="0" w:after="0" w:lineRule="exact" w:line="200"/>
              <w:jc w:val="left"/>
            </w:pPr>
            <w:r>
              <w:rPr>
                <w:sz w:val="16"/>
              </w:rPr>
              <w:t xml:space="preserve">-0.822</w:t>
            </w:r>
          </w:p>
        </w:tc>
        <w:tc>
          <w:tcPr>
            <w:tcW w:w="1252" w:type="dxa"/>
          </w:tcPr>
          <w:p>
            <w:pPr>
              <w:pStyle w:val="Compact"/>
              <w:spacing w:before="0" w:after="0" w:lineRule="exact" w:line="200"/>
              <w:jc w:val="left"/>
            </w:pPr>
            <w:r>
              <w:rPr>
                <w:sz w:val="16"/>
              </w:rPr>
              <w:t xml:space="preserve">-0.878</w:t>
            </w:r>
          </w:p>
        </w:tc>
        <w:tc>
          <w:tcPr>
            <w:tcW w:w="1252" w:type="dxa"/>
          </w:tcPr>
          <w:p>
            <w:pPr>
              <w:pStyle w:val="Compact"/>
              <w:spacing w:before="0" w:after="0" w:lineRule="exact" w:line="200"/>
              <w:jc w:val="left"/>
            </w:pPr>
            <w:r>
              <w:rPr>
                <w:sz w:val="16"/>
              </w:rPr>
              <w:t xml:space="preserve">-0.741</w:t>
            </w:r>
          </w:p>
        </w:tc>
        <w:tc>
          <w:tcPr>
            <w:tcW w:w="1371" w:type="dxa"/>
          </w:tcPr>
          <w:p>
            <w:pPr>
              <w:pStyle w:val="Compact"/>
              <w:spacing w:before="0" w:after="0" w:lineRule="exact" w:line="200"/>
              <w:jc w:val="left"/>
            </w:pPr>
            <w:r>
              <w:rPr>
                <w:sz w:val="16"/>
              </w:rPr>
              <w:t xml:space="preserve">-11.946∗∗∗</w:t>
            </w:r>
          </w:p>
        </w:tc>
        <w:tc>
          <w:tcPr>
            <w:tcW w:w="1371" w:type="dxa"/>
          </w:tcPr>
          <w:p>
            <w:pPr>
              <w:pStyle w:val="Compact"/>
              <w:spacing w:before="0" w:after="0" w:lineRule="exact" w:line="200"/>
              <w:jc w:val="left"/>
            </w:pPr>
            <w:r>
              <w:rPr>
                <w:sz w:val="16"/>
              </w:rPr>
              <w:t xml:space="preserve">-14.088∗∗∗</w:t>
            </w:r>
          </w:p>
        </w:tc>
        <w:tc>
          <w:tcPr>
            <w:tcW w:w="1371" w:type="dxa"/>
          </w:tcPr>
          <w:p>
            <w:pPr>
              <w:pStyle w:val="Compact"/>
              <w:spacing w:before="0" w:after="0" w:lineRule="exact" w:line="200"/>
              <w:jc w:val="left"/>
            </w:pPr>
            <w:r>
              <w:rPr>
                <w:sz w:val="16"/>
              </w:rPr>
              <w:t xml:space="preserve">-13.658∗∗∗</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(0.540)</w:t>
            </w:r>
          </w:p>
        </w:tc>
        <w:tc>
          <w:tcPr>
            <w:tcW w:w="1252" w:type="dxa"/>
          </w:tcPr>
          <w:p>
            <w:pPr>
              <w:pStyle w:val="Compact"/>
              <w:spacing w:before="0" w:after="0" w:lineRule="exact" w:line="200"/>
              <w:jc w:val="left"/>
            </w:pPr>
            <w:r>
              <w:rPr>
                <w:sz w:val="16"/>
              </w:rPr>
              <w:t xml:space="preserve">(0.576)</w:t>
            </w:r>
          </w:p>
        </w:tc>
        <w:tc>
          <w:tcPr>
            <w:tcW w:w="1252" w:type="dxa"/>
          </w:tcPr>
          <w:p>
            <w:pPr>
              <w:pStyle w:val="Compact"/>
              <w:spacing w:before="0" w:after="0" w:lineRule="exact" w:line="200"/>
              <w:jc w:val="left"/>
            </w:pPr>
            <w:r>
              <w:rPr>
                <w:sz w:val="16"/>
              </w:rPr>
              <w:t xml:space="preserve">(0.580)</w:t>
            </w:r>
          </w:p>
        </w:tc>
        <w:tc>
          <w:tcPr>
            <w:tcW w:w="1371" w:type="dxa"/>
          </w:tcPr>
          <w:p>
            <w:pPr>
              <w:pStyle w:val="Compact"/>
              <w:spacing w:before="0" w:after="0" w:lineRule="exact" w:line="200"/>
              <w:jc w:val="left"/>
            </w:pPr>
            <w:r>
              <w:rPr>
                <w:sz w:val="16"/>
              </w:rPr>
              <w:t xml:space="preserve">(3.706)</w:t>
            </w:r>
          </w:p>
        </w:tc>
        <w:tc>
          <w:tcPr>
            <w:tcW w:w="1371" w:type="dxa"/>
          </w:tcPr>
          <w:p>
            <w:pPr>
              <w:pStyle w:val="Compact"/>
              <w:spacing w:before="0" w:after="0" w:lineRule="exact" w:line="200"/>
              <w:jc w:val="left"/>
            </w:pPr>
            <w:r>
              <w:rPr>
                <w:sz w:val="16"/>
              </w:rPr>
              <w:t xml:space="preserve">(3.599)</w:t>
            </w:r>
          </w:p>
        </w:tc>
        <w:tc>
          <w:tcPr>
            <w:tcW w:w="1371" w:type="dxa"/>
          </w:tcPr>
          <w:p>
            <w:pPr>
              <w:pStyle w:val="Compact"/>
              <w:spacing w:before="0" w:after="0" w:lineRule="exact" w:line="200"/>
              <w:jc w:val="left"/>
            </w:pPr>
            <w:r>
              <w:rPr>
                <w:sz w:val="16"/>
              </w:rPr>
              <w:t xml:space="preserve">(3.581)</w:t>
            </w:r>
          </w:p>
        </w:tc>
      </w:tr>
      <w:tr>
        <w:trPr>
          <w:cantSplit/>
        </w:trPr>
        <w:tc>
          <w:tcPr>
            <w:tcW w:w="2326" w:type="dxa"/>
          </w:tcPr>
          <w:p>
            <w:pPr>
              <w:pStyle w:val="Compact"/>
              <w:spacing w:before="0" w:after="0" w:lineRule="exact" w:line="200"/>
              <w:jc w:val="left"/>
            </w:pPr>
            <w:r>
              <w:rPr>
                <w:sz w:val="16"/>
              </w:rPr>
              <w:t xml:space="preserve">Resale</w:t>
            </w:r>
          </w:p>
        </w:tc>
        <w:tc>
          <w:tcPr>
            <w:tcW w:w="1252" w:type="dxa"/>
          </w:tcPr>
          <w:p>
            <w:pPr>
              <w:pStyle w:val="Compact"/>
              <w:spacing w:before="0" w:after="0" w:lineRule="exact" w:line="200"/>
              <w:jc w:val="left"/>
            </w:pPr>
            <w:r>
              <w:rPr>
                <w:sz w:val="16"/>
              </w:rPr>
              <w:t xml:space="preserve">-0.444</w:t>
            </w:r>
          </w:p>
        </w:tc>
        <w:tc>
          <w:tcPr>
            <w:tcW w:w="1252" w:type="dxa"/>
          </w:tcPr>
          <w:p>
            <w:pPr>
              <w:pStyle w:val="Compact"/>
              <w:spacing w:before="0" w:after="0" w:lineRule="exact" w:line="200"/>
              <w:jc w:val="left"/>
            </w:pPr>
            <w:r>
              <w:rPr>
                <w:sz w:val="16"/>
              </w:rPr>
              <w:t xml:space="preserve">-0.527</w:t>
            </w:r>
          </w:p>
        </w:tc>
        <w:tc>
          <w:tcPr>
            <w:tcW w:w="1252" w:type="dxa"/>
          </w:tcPr>
          <w:p>
            <w:pPr>
              <w:pStyle w:val="Compact"/>
              <w:spacing w:before="0" w:after="0" w:lineRule="exact" w:line="200"/>
              <w:jc w:val="left"/>
            </w:pPr>
            <w:r>
              <w:rPr>
                <w:sz w:val="16"/>
              </w:rPr>
              <w:t xml:space="preserve">-0.477</w:t>
            </w:r>
          </w:p>
        </w:tc>
        <w:tc>
          <w:tcPr>
            <w:tcW w:w="1371" w:type="dxa"/>
          </w:tcPr>
          <w:p>
            <w:pPr>
              <w:pStyle w:val="Compact"/>
              <w:spacing w:before="0" w:after="0" w:lineRule="exact" w:line="200"/>
              <w:jc w:val="left"/>
            </w:pPr>
            <w:r>
              <w:rPr>
                <w:sz w:val="16"/>
              </w:rPr>
              <w:t xml:space="preserve">-8.393∗</w:t>
            </w:r>
          </w:p>
        </w:tc>
        <w:tc>
          <w:tcPr>
            <w:tcW w:w="1371" w:type="dxa"/>
          </w:tcPr>
          <w:p>
            <w:pPr>
              <w:pStyle w:val="Compact"/>
              <w:spacing w:before="0" w:after="0" w:lineRule="exact" w:line="200"/>
              <w:jc w:val="left"/>
            </w:pPr>
            <w:r>
              <w:rPr>
                <w:sz w:val="16"/>
              </w:rPr>
              <w:t xml:space="preserve">-10.223∗∗</w:t>
            </w:r>
          </w:p>
        </w:tc>
        <w:tc>
          <w:tcPr>
            <w:tcW w:w="1371" w:type="dxa"/>
          </w:tcPr>
          <w:p>
            <w:pPr>
              <w:pStyle w:val="Compact"/>
              <w:spacing w:before="0" w:after="0" w:lineRule="exact" w:line="200"/>
              <w:jc w:val="left"/>
            </w:pPr>
            <w:r>
              <w:rPr>
                <w:sz w:val="16"/>
              </w:rPr>
              <w:t xml:space="preserve">-10.912∗∗</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(0.367)</w:t>
            </w:r>
          </w:p>
        </w:tc>
        <w:tc>
          <w:tcPr>
            <w:tcW w:w="1252" w:type="dxa"/>
          </w:tcPr>
          <w:p>
            <w:pPr>
              <w:pStyle w:val="Compact"/>
              <w:spacing w:before="0" w:after="0" w:lineRule="exact" w:line="200"/>
              <w:jc w:val="left"/>
            </w:pPr>
            <w:r>
              <w:rPr>
                <w:sz w:val="16"/>
              </w:rPr>
              <w:t xml:space="preserve">(0.402)</w:t>
            </w:r>
          </w:p>
        </w:tc>
        <w:tc>
          <w:tcPr>
            <w:tcW w:w="1252" w:type="dxa"/>
          </w:tcPr>
          <w:p>
            <w:pPr>
              <w:pStyle w:val="Compact"/>
              <w:spacing w:before="0" w:after="0" w:lineRule="exact" w:line="200"/>
              <w:jc w:val="left"/>
            </w:pPr>
            <w:r>
              <w:rPr>
                <w:sz w:val="16"/>
              </w:rPr>
              <w:t xml:space="preserve">(0.484)</w:t>
            </w:r>
          </w:p>
        </w:tc>
        <w:tc>
          <w:tcPr>
            <w:tcW w:w="1371" w:type="dxa"/>
          </w:tcPr>
          <w:p>
            <w:pPr>
              <w:pStyle w:val="Compact"/>
              <w:spacing w:before="0" w:after="0" w:lineRule="exact" w:line="200"/>
              <w:jc w:val="left"/>
            </w:pPr>
            <w:r>
              <w:rPr>
                <w:sz w:val="16"/>
              </w:rPr>
              <w:t xml:space="preserve">(4.385)</w:t>
            </w:r>
          </w:p>
        </w:tc>
        <w:tc>
          <w:tcPr>
            <w:tcW w:w="1371" w:type="dxa"/>
          </w:tcPr>
          <w:p>
            <w:pPr>
              <w:pStyle w:val="Compact"/>
              <w:spacing w:before="0" w:after="0" w:lineRule="exact" w:line="200"/>
              <w:jc w:val="left"/>
            </w:pPr>
            <w:r>
              <w:rPr>
                <w:sz w:val="16"/>
              </w:rPr>
              <w:t xml:space="preserve">(4.491)</w:t>
            </w:r>
          </w:p>
        </w:tc>
        <w:tc>
          <w:tcPr>
            <w:tcW w:w="1371" w:type="dxa"/>
          </w:tcPr>
          <w:p>
            <w:pPr>
              <w:pStyle w:val="Compact"/>
              <w:spacing w:before="0" w:after="0" w:lineRule="exact" w:line="200"/>
              <w:jc w:val="left"/>
            </w:pPr>
            <w:r>
              <w:rPr>
                <w:sz w:val="16"/>
              </w:rPr>
              <w:t xml:space="preserve">(4.700)</w:t>
            </w:r>
          </w:p>
        </w:tc>
      </w:tr>
      <w:tr>
        <w:trPr>
          <w:cantSplit/>
        </w:trPr>
        <w:tc>
          <w:tcPr>
            <w:tcW w:w="2326" w:type="dxa"/>
          </w:tcPr>
          <w:p>
            <w:pPr>
              <w:pStyle w:val="Compact"/>
              <w:spacing w:before="0" w:after="0" w:lineRule="exact" w:line="200"/>
              <w:jc w:val="left"/>
            </w:pPr>
            <w:r>
              <w:rPr>
                <w:sz w:val="16"/>
              </w:rPr>
              <w:t xml:space="preserve">GDPGrowth</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0.106∗</w:t>
            </w:r>
          </w:p>
        </w:tc>
        <w:tc>
          <w:tcPr>
            <w:tcW w:w="1252" w:type="dxa"/>
          </w:tcPr>
          <w:p>
            <w:pPr>
              <w:pStyle w:val="Compact"/>
              <w:spacing w:before="0" w:after="0" w:lineRule="exact" w:line="200"/>
              <w:jc w:val="left"/>
            </w:pPr>
            <w:r>
              <w:rPr>
                <w:sz w:val="16"/>
              </w:rPr>
              <w:t xml:space="preserve">0.148∗∗</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1.301∗∗</w:t>
            </w:r>
          </w:p>
        </w:tc>
        <w:tc>
          <w:tcPr>
            <w:tcW w:w="1371" w:type="dxa"/>
          </w:tcPr>
          <w:p>
            <w:pPr>
              <w:pStyle w:val="Compact"/>
              <w:spacing w:before="0" w:after="0" w:lineRule="exact" w:line="200"/>
              <w:jc w:val="left"/>
            </w:pPr>
            <w:r>
              <w:rPr>
                <w:sz w:val="16"/>
              </w:rPr>
              <w:t xml:space="preserve">1.479∗∗</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(0.057)</w:t>
            </w:r>
          </w:p>
        </w:tc>
        <w:tc>
          <w:tcPr>
            <w:tcW w:w="1252" w:type="dxa"/>
          </w:tcPr>
          <w:p>
            <w:pPr>
              <w:pStyle w:val="Compact"/>
              <w:spacing w:before="0" w:after="0" w:lineRule="exact" w:line="200"/>
              <w:jc w:val="left"/>
            </w:pPr>
            <w:r>
              <w:rPr>
                <w:sz w:val="16"/>
              </w:rPr>
              <w:t xml:space="preserve">(0.067)</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(0.573)</w:t>
            </w:r>
          </w:p>
        </w:tc>
        <w:tc>
          <w:tcPr>
            <w:tcW w:w="1371" w:type="dxa"/>
          </w:tcPr>
          <w:p>
            <w:pPr>
              <w:pStyle w:val="Compact"/>
              <w:spacing w:before="0" w:after="0" w:lineRule="exact" w:line="200"/>
              <w:jc w:val="left"/>
            </w:pPr>
            <w:r>
              <w:rPr>
                <w:sz w:val="16"/>
              </w:rPr>
              <w:t xml:space="preserve">(0.552)</w:t>
            </w:r>
          </w:p>
        </w:tc>
      </w:tr>
      <w:tr>
        <w:trPr>
          <w:cantSplit/>
        </w:trPr>
        <w:tc>
          <w:tcPr>
            <w:tcW w:w="2326" w:type="dxa"/>
          </w:tcPr>
          <w:p>
            <w:pPr>
              <w:pStyle w:val="Compact"/>
              <w:spacing w:before="0" w:after="0" w:lineRule="exact" w:line="200"/>
              <w:jc w:val="left"/>
            </w:pPr>
            <w:r>
              <w:rPr>
                <w:sz w:val="16"/>
              </w:rPr>
              <w:t xml:space="preserve">Inflation</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-0.001</w:t>
            </w:r>
          </w:p>
        </w:tc>
        <w:tc>
          <w:tcPr>
            <w:tcW w:w="1252" w:type="dxa"/>
          </w:tcPr>
          <w:p>
            <w:pPr>
              <w:pStyle w:val="Compact"/>
              <w:spacing w:before="0" w:after="0" w:lineRule="exact" w:line="200"/>
              <w:jc w:val="left"/>
            </w:pPr>
            <w:r>
              <w:rPr>
                <w:sz w:val="16"/>
              </w:rPr>
              <w:t xml:space="preserve">0.001</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-0.018</w:t>
            </w:r>
          </w:p>
        </w:tc>
        <w:tc>
          <w:tcPr>
            <w:tcW w:w="1371" w:type="dxa"/>
          </w:tcPr>
          <w:p>
            <w:pPr>
              <w:pStyle w:val="Compact"/>
              <w:spacing w:before="0" w:after="0" w:lineRule="exact" w:line="200"/>
              <w:jc w:val="left"/>
            </w:pPr>
            <w:r>
              <w:rPr>
                <w:sz w:val="16"/>
              </w:rPr>
              <w:t xml:space="preserve">-0.006</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(0.003)</w:t>
            </w:r>
          </w:p>
        </w:tc>
        <w:tc>
          <w:tcPr>
            <w:tcW w:w="1252" w:type="dxa"/>
          </w:tcPr>
          <w:p>
            <w:pPr>
              <w:pStyle w:val="Compact"/>
              <w:spacing w:before="0" w:after="0" w:lineRule="exact" w:line="200"/>
              <w:jc w:val="left"/>
            </w:pPr>
            <w:r>
              <w:rPr>
                <w:sz w:val="16"/>
              </w:rPr>
              <w:t xml:space="preserve">(0.003)</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(0.024)</w:t>
            </w:r>
          </w:p>
        </w:tc>
        <w:tc>
          <w:tcPr>
            <w:tcW w:w="1371" w:type="dxa"/>
          </w:tcPr>
          <w:p>
            <w:pPr>
              <w:pStyle w:val="Compact"/>
              <w:spacing w:before="0" w:after="0" w:lineRule="exact" w:line="200"/>
              <w:jc w:val="left"/>
            </w:pPr>
            <w:r>
              <w:rPr>
                <w:sz w:val="16"/>
              </w:rPr>
              <w:t xml:space="preserve">(0.027)</w:t>
            </w:r>
          </w:p>
        </w:tc>
      </w:tr>
      <w:tr>
        <w:trPr>
          <w:cantSplit/>
        </w:trPr>
        <w:tc>
          <w:tcPr>
            <w:tcW w:w="2326" w:type="dxa"/>
          </w:tcPr>
          <w:p>
            <w:pPr>
              <w:pStyle w:val="Compact"/>
              <w:spacing w:before="0" w:after="0" w:lineRule="exact" w:line="200"/>
              <w:jc w:val="left"/>
            </w:pPr>
            <w:r>
              <w:rPr>
                <w:sz w:val="16"/>
              </w:rPr>
              <w:t xml:space="preserve">HouseholdGrowth</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-0.053∗∗</w:t>
            </w:r>
          </w:p>
        </w:tc>
        <w:tc>
          <w:tcPr>
            <w:tcW w:w="1252" w:type="dxa"/>
          </w:tcPr>
          <w:p>
            <w:pPr>
              <w:pStyle w:val="Compact"/>
              <w:spacing w:before="0" w:after="0" w:lineRule="exact" w:line="200"/>
              <w:jc w:val="left"/>
            </w:pPr>
            <w:r>
              <w:rPr>
                <w:sz w:val="16"/>
              </w:rPr>
              <w:t xml:space="preserve">-0.014</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-0.785∗</w:t>
            </w:r>
          </w:p>
        </w:tc>
        <w:tc>
          <w:tcPr>
            <w:tcW w:w="1371" w:type="dxa"/>
          </w:tcPr>
          <w:p>
            <w:pPr>
              <w:pStyle w:val="Compact"/>
              <w:spacing w:before="0" w:after="0" w:lineRule="exact" w:line="200"/>
              <w:jc w:val="left"/>
            </w:pPr>
            <w:r>
              <w:rPr>
                <w:sz w:val="16"/>
              </w:rPr>
              <w:t xml:space="preserve">-0.687</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(0.025)</w:t>
            </w:r>
          </w:p>
        </w:tc>
        <w:tc>
          <w:tcPr>
            <w:tcW w:w="1252" w:type="dxa"/>
          </w:tcPr>
          <w:p>
            <w:pPr>
              <w:pStyle w:val="Compact"/>
              <w:spacing w:before="0" w:after="0" w:lineRule="exact" w:line="200"/>
              <w:jc w:val="left"/>
            </w:pPr>
            <w:r>
              <w:rPr>
                <w:sz w:val="16"/>
              </w:rPr>
              <w:t xml:space="preserve">(0.031)</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(0.452)</w:t>
            </w:r>
          </w:p>
        </w:tc>
        <w:tc>
          <w:tcPr>
            <w:tcW w:w="1371" w:type="dxa"/>
          </w:tcPr>
          <w:p>
            <w:pPr>
              <w:pStyle w:val="Compact"/>
              <w:spacing w:before="0" w:after="0" w:lineRule="exact" w:line="200"/>
              <w:jc w:val="left"/>
            </w:pPr>
            <w:r>
              <w:rPr>
                <w:sz w:val="16"/>
              </w:rPr>
              <w:t xml:space="preserve">(0.490)</w:t>
            </w:r>
          </w:p>
        </w:tc>
      </w:tr>
      <w:tr>
        <w:trPr>
          <w:cantSplit/>
        </w:trPr>
        <w:tc>
          <w:tcPr>
            <w:tcW w:w="2326" w:type="dxa"/>
          </w:tcPr>
          <w:p>
            <w:pPr>
              <w:pStyle w:val="Compact"/>
              <w:spacing w:before="0" w:after="0" w:lineRule="exact" w:line="200"/>
              <w:jc w:val="left"/>
            </w:pPr>
            <w:r>
              <w:rPr>
                <w:sz w:val="16"/>
              </w:rPr>
              <w:t xml:space="preserve">PolicyRate</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0.008</w:t>
            </w:r>
          </w:p>
        </w:tc>
        <w:tc>
          <w:tcPr>
            <w:tcW w:w="1252" w:type="dxa"/>
          </w:tcPr>
          <w:p>
            <w:pPr>
              <w:pStyle w:val="Compact"/>
              <w:spacing w:before="0" w:after="0" w:lineRule="exact" w:line="200"/>
              <w:jc w:val="left"/>
            </w:pPr>
            <w:r>
              <w:rPr>
                <w:sz w:val="16"/>
              </w:rPr>
              <w:t xml:space="preserve">0.011</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-0.033</w:t>
            </w:r>
          </w:p>
        </w:tc>
        <w:tc>
          <w:tcPr>
            <w:tcW w:w="1371" w:type="dxa"/>
          </w:tcPr>
          <w:p>
            <w:pPr>
              <w:pStyle w:val="Compact"/>
              <w:spacing w:before="0" w:after="0" w:lineRule="exact" w:line="200"/>
              <w:jc w:val="left"/>
            </w:pPr>
            <w:r>
              <w:rPr>
                <w:sz w:val="16"/>
              </w:rPr>
              <w:t xml:space="preserve">-0.005</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(0.007)</w:t>
            </w:r>
          </w:p>
        </w:tc>
        <w:tc>
          <w:tcPr>
            <w:tcW w:w="1252" w:type="dxa"/>
          </w:tcPr>
          <w:p>
            <w:pPr>
              <w:pStyle w:val="Compact"/>
              <w:spacing w:before="0" w:after="0" w:lineRule="exact" w:line="200"/>
              <w:jc w:val="left"/>
            </w:pPr>
            <w:r>
              <w:rPr>
                <w:sz w:val="16"/>
              </w:rPr>
              <w:t xml:space="preserve">(0.007)</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(0.082)</w:t>
            </w:r>
          </w:p>
        </w:tc>
        <w:tc>
          <w:tcPr>
            <w:tcW w:w="1371" w:type="dxa"/>
          </w:tcPr>
          <w:p>
            <w:pPr>
              <w:pStyle w:val="Compact"/>
              <w:spacing w:before="0" w:after="0" w:lineRule="exact" w:line="200"/>
              <w:jc w:val="left"/>
            </w:pPr>
            <w:r>
              <w:rPr>
                <w:sz w:val="16"/>
              </w:rPr>
              <w:t xml:space="preserve">(0.075)</w:t>
            </w:r>
          </w:p>
        </w:tc>
      </w:tr>
      <w:tr>
        <w:trPr>
          <w:cantSplit/>
        </w:trPr>
        <w:tc>
          <w:tcPr>
            <w:tcW w:w="2326" w:type="dxa"/>
          </w:tcPr>
          <w:p>
            <w:pPr>
              <w:pStyle w:val="Compact"/>
              <w:spacing w:before="0" w:after="0" w:lineRule="exact" w:line="200"/>
              <w:jc w:val="left"/>
            </w:pPr>
            <w:r>
              <w:rPr>
                <w:sz w:val="16"/>
              </w:rPr>
              <w:t xml:space="preserve">Constant</w:t>
            </w:r>
          </w:p>
        </w:tc>
        <w:tc>
          <w:tcPr>
            <w:tcW w:w="1252" w:type="dxa"/>
          </w:tcPr>
          <w:p>
            <w:pPr>
              <w:pStyle w:val="Compact"/>
              <w:spacing w:before="0" w:after="0" w:lineRule="exact" w:line="200"/>
              <w:jc w:val="left"/>
            </w:pPr>
            <w:r>
              <w:rPr>
                <w:sz w:val="16"/>
              </w:rPr>
              <w:t xml:space="preserve">2.148∗∗∗</w:t>
            </w:r>
          </w:p>
        </w:tc>
        <w:tc>
          <w:tcPr>
            <w:tcW w:w="1252" w:type="dxa"/>
          </w:tcPr>
          <w:p>
            <w:pPr>
              <w:pStyle w:val="Compact"/>
              <w:spacing w:before="0" w:after="0" w:lineRule="exact" w:line="200"/>
              <w:jc w:val="left"/>
            </w:pPr>
            <w:r>
              <w:rPr>
                <w:sz w:val="16"/>
              </w:rPr>
              <w:t xml:space="preserve">1.962∗∗∗</w:t>
            </w:r>
          </w:p>
        </w:tc>
        <w:tc>
          <w:tcPr>
            <w:tcW w:w="1252" w:type="dxa"/>
          </w:tcPr>
          <w:p>
            <w:pPr>
              <w:pStyle w:val="Compact"/>
              <w:spacing w:before="0" w:after="0" w:lineRule="exact" w:line="200"/>
              <w:jc w:val="left"/>
            </w:pPr>
            <w:r>
              <w:rPr>
                <w:sz w:val="16"/>
              </w:rPr>
              <w:t xml:space="preserve">2.108∗∗∗</w:t>
            </w:r>
          </w:p>
        </w:tc>
        <w:tc>
          <w:tcPr>
            <w:tcW w:w="1371" w:type="dxa"/>
          </w:tcPr>
          <w:p>
            <w:pPr>
              <w:pStyle w:val="Compact"/>
              <w:spacing w:before="0" w:after="0" w:lineRule="exact" w:line="200"/>
              <w:jc w:val="left"/>
            </w:pPr>
            <w:r>
              <w:rPr>
                <w:sz w:val="16"/>
              </w:rPr>
              <w:t xml:space="preserve">18.840∗∗</w:t>
            </w:r>
          </w:p>
        </w:tc>
        <w:tc>
          <w:tcPr>
            <w:tcW w:w="1371" w:type="dxa"/>
          </w:tcPr>
          <w:p>
            <w:pPr>
              <w:pStyle w:val="Compact"/>
              <w:spacing w:before="0" w:after="0" w:lineRule="exact" w:line="200"/>
              <w:jc w:val="left"/>
            </w:pPr>
            <w:r>
              <w:rPr>
                <w:sz w:val="16"/>
              </w:rPr>
              <w:t xml:space="preserve">21.744∗∗∗</w:t>
            </w:r>
          </w:p>
        </w:tc>
        <w:tc>
          <w:tcPr>
            <w:tcW w:w="1371" w:type="dxa"/>
          </w:tcPr>
          <w:p>
            <w:pPr>
              <w:pStyle w:val="Compact"/>
              <w:spacing w:before="0" w:after="0" w:lineRule="exact" w:line="200"/>
              <w:jc w:val="left"/>
            </w:pPr>
            <w:r>
              <w:rPr>
                <w:sz w:val="16"/>
              </w:rPr>
              <w:t xml:space="preserve">27.343∗∗∗</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(0.490)</w:t>
            </w:r>
          </w:p>
        </w:tc>
        <w:tc>
          <w:tcPr>
            <w:tcW w:w="1252" w:type="dxa"/>
          </w:tcPr>
          <w:p>
            <w:pPr>
              <w:pStyle w:val="Compact"/>
              <w:spacing w:before="0" w:after="0" w:lineRule="exact" w:line="200"/>
              <w:jc w:val="left"/>
            </w:pPr>
            <w:r>
              <w:rPr>
                <w:sz w:val="16"/>
              </w:rPr>
              <w:t xml:space="preserve">(0.572)</w:t>
            </w:r>
          </w:p>
        </w:tc>
        <w:tc>
          <w:tcPr>
            <w:tcW w:w="1252" w:type="dxa"/>
          </w:tcPr>
          <w:p>
            <w:pPr>
              <w:pStyle w:val="Compact"/>
              <w:spacing w:before="0" w:after="0" w:lineRule="exact" w:line="200"/>
              <w:jc w:val="left"/>
            </w:pPr>
            <w:r>
              <w:rPr>
                <w:sz w:val="16"/>
              </w:rPr>
              <w:t xml:space="preserve">(0.575)</w:t>
            </w:r>
          </w:p>
        </w:tc>
        <w:tc>
          <w:tcPr>
            <w:tcW w:w="1371" w:type="dxa"/>
          </w:tcPr>
          <w:p>
            <w:pPr>
              <w:pStyle w:val="Compact"/>
              <w:spacing w:before="0" w:after="0" w:lineRule="exact" w:line="200"/>
              <w:jc w:val="left"/>
            </w:pPr>
            <w:r>
              <w:rPr>
                <w:sz w:val="16"/>
              </w:rPr>
              <w:t xml:space="preserve">(7.237)</w:t>
            </w:r>
          </w:p>
        </w:tc>
        <w:tc>
          <w:tcPr>
            <w:tcW w:w="1371" w:type="dxa"/>
          </w:tcPr>
          <w:p>
            <w:pPr>
              <w:pStyle w:val="Compact"/>
              <w:spacing w:before="0" w:after="0" w:lineRule="exact" w:line="200"/>
              <w:jc w:val="left"/>
            </w:pPr>
            <w:r>
              <w:rPr>
                <w:sz w:val="16"/>
              </w:rPr>
              <w:t xml:space="preserve">(6.165)</w:t>
            </w:r>
          </w:p>
        </w:tc>
        <w:tc>
          <w:tcPr>
            <w:tcW w:w="1371" w:type="dxa"/>
          </w:tcPr>
          <w:p>
            <w:pPr>
              <w:pStyle w:val="Compact"/>
              <w:spacing w:before="0" w:after="0" w:lineRule="exact" w:line="200"/>
              <w:jc w:val="left"/>
            </w:pPr>
            <w:r>
              <w:rPr>
                <w:sz w:val="16"/>
              </w:rPr>
              <w:t xml:space="preserve">(7.166)</w:t>
            </w:r>
          </w:p>
        </w:tc>
      </w:tr>
      <w:tr>
        <w:trPr>
          <w:cantSplit/>
        </w:trPr>
        <w:tc>
          <w:tcPr>
            <w:tcW w:w="2326" w:type="dxa"/>
          </w:tcPr>
          <w:p>
            <w:pPr>
              <w:pStyle w:val="Compact"/>
              <w:spacing w:before="0" w:after="0" w:lineRule="exact" w:line="200"/>
              <w:jc w:val="left"/>
            </w:pPr>
            <w:r>
              <w:rPr>
                <w:sz w:val="16"/>
              </w:rPr>
              <w:t xml:space="preserve">Observations</w:t>
            </w:r>
          </w:p>
        </w:tc>
        <w:tc>
          <w:tcPr>
            <w:tcW w:w="1252" w:type="dxa"/>
          </w:tcPr>
          <w:p>
            <w:pPr>
              <w:pStyle w:val="Compact"/>
              <w:spacing w:before="0" w:after="0" w:lineRule="exact" w:line="200"/>
              <w:jc w:val="left"/>
            </w:pPr>
            <w:r>
              <w:rPr>
                <w:sz w:val="16"/>
              </w:rPr>
              <w:t xml:space="preserve">202</w:t>
            </w:r>
          </w:p>
        </w:tc>
        <w:tc>
          <w:tcPr>
            <w:tcW w:w="1252" w:type="dxa"/>
          </w:tcPr>
          <w:p>
            <w:pPr>
              <w:pStyle w:val="Compact"/>
              <w:spacing w:before="0" w:after="0" w:lineRule="exact" w:line="200"/>
              <w:jc w:val="left"/>
            </w:pPr>
            <w:r>
              <w:rPr>
                <w:sz w:val="16"/>
              </w:rPr>
              <w:t xml:space="preserve">178</w:t>
            </w:r>
          </w:p>
        </w:tc>
        <w:tc>
          <w:tcPr>
            <w:tcW w:w="1252" w:type="dxa"/>
          </w:tcPr>
          <w:p>
            <w:pPr>
              <w:pStyle w:val="Compact"/>
              <w:spacing w:before="0" w:after="0" w:lineRule="exact" w:line="200"/>
              <w:jc w:val="left"/>
            </w:pPr>
            <w:r>
              <w:rPr>
                <w:sz w:val="16"/>
              </w:rPr>
              <w:t xml:space="preserve">178</w:t>
            </w:r>
          </w:p>
        </w:tc>
        <w:tc>
          <w:tcPr>
            <w:tcW w:w="1371" w:type="dxa"/>
          </w:tcPr>
          <w:p>
            <w:pPr>
              <w:pStyle w:val="Compact"/>
              <w:spacing w:before="0" w:after="0" w:lineRule="exact" w:line="200"/>
              <w:jc w:val="left"/>
            </w:pPr>
            <w:r>
              <w:rPr>
                <w:sz w:val="16"/>
              </w:rPr>
              <w:t xml:space="preserve">202</w:t>
            </w:r>
          </w:p>
        </w:tc>
        <w:tc>
          <w:tcPr>
            <w:tcW w:w="1371" w:type="dxa"/>
          </w:tcPr>
          <w:p>
            <w:pPr>
              <w:pStyle w:val="Compact"/>
              <w:spacing w:before="0" w:after="0" w:lineRule="exact" w:line="200"/>
              <w:jc w:val="left"/>
            </w:pPr>
            <w:r>
              <w:rPr>
                <w:sz w:val="16"/>
              </w:rPr>
              <w:t xml:space="preserve">178</w:t>
            </w:r>
          </w:p>
        </w:tc>
        <w:tc>
          <w:tcPr>
            <w:tcW w:w="1371" w:type="dxa"/>
          </w:tcPr>
          <w:p>
            <w:pPr>
              <w:pStyle w:val="Compact"/>
              <w:spacing w:before="0" w:after="0" w:lineRule="exact" w:line="200"/>
              <w:jc w:val="left"/>
            </w:pPr>
            <w:r>
              <w:rPr>
                <w:sz w:val="16"/>
              </w:rPr>
              <w:t xml:space="preserve">178</w:t>
            </w:r>
          </w:p>
        </w:tc>
      </w:tr>
      <w:tr>
        <w:trPr>
          <w:cantSplit/>
        </w:trPr>
        <w:tc>
          <w:tcPr>
            <w:tcW w:w="2326" w:type="dxa"/>
          </w:tcPr>
          <w:p>
            <w:pPr>
              <w:pStyle w:val="Compact"/>
              <w:spacing w:before="0" w:after="0" w:lineRule="exact" w:line="200"/>
              <w:jc w:val="left"/>
            </w:pPr>
            <w:r>
              <w:rPr>
                <w:sz w:val="16"/>
              </w:rPr>
              <w:t xml:space="preserve">Platforms (clusters)</w:t>
            </w:r>
          </w:p>
        </w:tc>
        <w:tc>
          <w:tcPr>
            <w:tcW w:w="1252" w:type="dxa"/>
          </w:tcPr>
          <w:p>
            <w:pPr>
              <w:pStyle w:val="Compact"/>
              <w:spacing w:before="0" w:after="0" w:lineRule="exact" w:line="200"/>
              <w:jc w:val="left"/>
            </w:pPr>
            <w:r>
              <w:rPr>
                <w:sz w:val="16"/>
              </w:rPr>
              <w:t xml:space="preserve">32</w:t>
            </w:r>
          </w:p>
        </w:tc>
        <w:tc>
          <w:tcPr>
            <w:tcW w:w="1252" w:type="dxa"/>
          </w:tcPr>
          <w:p>
            <w:pPr>
              <w:pStyle w:val="Compact"/>
              <w:spacing w:before="0" w:after="0" w:lineRule="exact" w:line="200"/>
              <w:jc w:val="left"/>
            </w:pPr>
            <w:r>
              <w:rPr>
                <w:sz w:val="16"/>
              </w:rPr>
              <w:t xml:space="preserve">30</w:t>
            </w:r>
          </w:p>
        </w:tc>
        <w:tc>
          <w:tcPr>
            <w:tcW w:w="1252" w:type="dxa"/>
          </w:tcPr>
          <w:p>
            <w:pPr>
              <w:pStyle w:val="Compact"/>
              <w:spacing w:before="0" w:after="0" w:lineRule="exact" w:line="200"/>
              <w:jc w:val="left"/>
            </w:pPr>
            <w:r>
              <w:rPr>
                <w:sz w:val="16"/>
              </w:rPr>
              <w:t xml:space="preserve">30</w:t>
            </w:r>
          </w:p>
        </w:tc>
        <w:tc>
          <w:tcPr>
            <w:tcW w:w="1371" w:type="dxa"/>
          </w:tcPr>
          <w:p>
            <w:pPr>
              <w:pStyle w:val="Compact"/>
              <w:spacing w:before="0" w:after="0" w:lineRule="exact" w:line="200"/>
              <w:jc w:val="left"/>
            </w:pPr>
            <w:r>
              <w:rPr>
                <w:sz w:val="16"/>
              </w:rPr>
              <w:t xml:space="preserve">32</w:t>
            </w:r>
          </w:p>
        </w:tc>
        <w:tc>
          <w:tcPr>
            <w:tcW w:w="1371" w:type="dxa"/>
          </w:tcPr>
          <w:p>
            <w:pPr>
              <w:pStyle w:val="Compact"/>
              <w:spacing w:before="0" w:after="0" w:lineRule="exact" w:line="200"/>
              <w:jc w:val="left"/>
            </w:pPr>
            <w:r>
              <w:rPr>
                <w:sz w:val="16"/>
              </w:rPr>
              <w:t xml:space="preserve">30</w:t>
            </w:r>
          </w:p>
        </w:tc>
        <w:tc>
          <w:tcPr>
            <w:tcW w:w="1371" w:type="dxa"/>
          </w:tcPr>
          <w:p>
            <w:pPr>
              <w:pStyle w:val="Compact"/>
              <w:spacing w:before="0" w:after="0" w:lineRule="exact" w:line="200"/>
              <w:jc w:val="left"/>
            </w:pPr>
            <w:r>
              <w:rPr>
                <w:sz w:val="16"/>
              </w:rPr>
              <w:t xml:space="preserve">30</w:t>
            </w:r>
          </w:p>
        </w:tc>
      </w:tr>
      <w:tr>
        <w:trPr>
          <w:cantSplit/>
        </w:trPr>
        <w:tc>
          <w:tcPr>
            <w:tcW w:w="2326" w:type="dxa"/>
          </w:tcPr>
          <w:p>
            <w:pPr>
              <w:pStyle w:val="Compact"/>
              <w:spacing w:before="0" w:after="0" w:lineRule="exact" w:line="200"/>
              <w:jc w:val="left"/>
            </w:pPr>
            <w:r>
              <w:rPr>
                <w:iCs/>
                <w:i/>
                <w:sz w:val="16"/>
              </w:rPr>
              <w:t xml:space="preserve">R</w:t>
            </w:r>
            <w:r>
              <w:rPr>
                <w:sz w:val="16"/>
                <w:vertAlign w:val="superscript"/>
              </w:rPr>
              <w:t xml:space="preserve">2</w:t>
            </w:r>
          </w:p>
        </w:tc>
        <w:tc>
          <w:tcPr>
            <w:tcW w:w="1252" w:type="dxa"/>
          </w:tcPr>
          <w:p>
            <w:pPr>
              <w:pStyle w:val="Compact"/>
              <w:spacing w:before="0" w:after="0" w:lineRule="exact" w:line="200"/>
              <w:jc w:val="left"/>
            </w:pPr>
            <w:r>
              <w:rPr>
                <w:sz w:val="16"/>
              </w:rPr>
              <w:t xml:space="preserve">0.808</w:t>
            </w:r>
          </w:p>
        </w:tc>
        <w:tc>
          <w:tcPr>
            <w:tcW w:w="1252" w:type="dxa"/>
          </w:tcPr>
          <w:p>
            <w:pPr>
              <w:pStyle w:val="Compact"/>
              <w:spacing w:before="0" w:after="0" w:lineRule="exact" w:line="200"/>
              <w:jc w:val="left"/>
            </w:pPr>
            <w:r>
              <w:rPr>
                <w:sz w:val="16"/>
              </w:rPr>
              <w:t xml:space="preserve">0.842</w:t>
            </w:r>
          </w:p>
        </w:tc>
        <w:tc>
          <w:tcPr>
            <w:tcW w:w="1252" w:type="dxa"/>
          </w:tcPr>
          <w:p>
            <w:pPr>
              <w:pStyle w:val="Compact"/>
              <w:spacing w:before="0" w:after="0" w:lineRule="exact" w:line="200"/>
              <w:jc w:val="left"/>
            </w:pPr>
            <w:r>
              <w:rPr>
                <w:sz w:val="16"/>
              </w:rPr>
              <w:t xml:space="preserve">0.867</w:t>
            </w:r>
          </w:p>
        </w:tc>
        <w:tc>
          <w:tcPr>
            <w:tcW w:w="1371" w:type="dxa"/>
          </w:tcPr>
          <w:p>
            <w:pPr>
              <w:pStyle w:val="Compact"/>
              <w:spacing w:before="0" w:after="0" w:lineRule="exact" w:line="200"/>
              <w:jc w:val="left"/>
            </w:pPr>
            <w:r>
              <w:rPr>
                <w:sz w:val="16"/>
              </w:rPr>
              <w:t xml:space="preserve">0.438</w:t>
            </w:r>
          </w:p>
        </w:tc>
        <w:tc>
          <w:tcPr>
            <w:tcW w:w="1371" w:type="dxa"/>
          </w:tcPr>
          <w:p>
            <w:pPr>
              <w:pStyle w:val="Compact"/>
              <w:spacing w:before="0" w:after="0" w:lineRule="exact" w:line="200"/>
              <w:jc w:val="left"/>
            </w:pPr>
            <w:r>
              <w:rPr>
                <w:sz w:val="16"/>
              </w:rPr>
              <w:t xml:space="preserve">0.515</w:t>
            </w:r>
          </w:p>
        </w:tc>
        <w:tc>
          <w:tcPr>
            <w:tcW w:w="1371" w:type="dxa"/>
          </w:tcPr>
          <w:p>
            <w:pPr>
              <w:pStyle w:val="Compact"/>
              <w:spacing w:before="0" w:after="0" w:lineRule="exact" w:line="200"/>
              <w:jc w:val="left"/>
            </w:pPr>
            <w:r>
              <w:rPr>
                <w:sz w:val="16"/>
              </w:rPr>
              <w:t xml:space="preserve">0.571</w:t>
            </w:r>
          </w:p>
        </w:tc>
      </w:tr>
      <w:tr>
        <w:trPr>
          <w:cantSplit/>
        </w:trPr>
        <w:tc>
          <w:tcPr>
            <w:tcW w:w="2326" w:type="dxa"/>
          </w:tcPr>
          <w:p>
            <w:pPr>
              <w:pStyle w:val="Compact"/>
              <w:spacing w:before="0" w:after="0" w:lineRule="exact" w:line="200"/>
              <w:jc w:val="left"/>
            </w:pPr>
            <w:r>
              <w:rPr>
                <w:sz w:val="16"/>
              </w:rPr>
              <w:t xml:space="preserve">Year dummies</w:t>
            </w:r>
          </w:p>
        </w:tc>
        <w:tc>
          <w:tcPr>
            <w:tcW w:w="1252" w:type="dxa"/>
          </w:tcPr>
          <w:p>
            <w:pPr>
              <w:pStyle w:val="Compact"/>
              <w:spacing w:before="0" w:after="0" w:lineRule="exact" w:line="200"/>
              <w:jc w:val="left"/>
            </w:pPr>
            <w:r>
              <w:rPr>
                <w:sz w:val="16"/>
              </w:rPr>
              <w:t xml:space="preserve">No</w:t>
            </w:r>
          </w:p>
        </w:tc>
        <w:tc>
          <w:tcPr>
            <w:tcW w:w="1252" w:type="dxa"/>
          </w:tcPr>
          <w:p>
            <w:pPr>
              <w:pStyle w:val="Compact"/>
              <w:spacing w:before="0" w:after="0" w:lineRule="exact" w:line="200"/>
              <w:jc w:val="left"/>
            </w:pPr>
            <w:r>
              <w:rPr>
                <w:sz w:val="16"/>
              </w:rPr>
              <w:t xml:space="preserve">No</w:t>
            </w:r>
          </w:p>
        </w:tc>
        <w:tc>
          <w:tcPr>
            <w:tcW w:w="1252" w:type="dxa"/>
          </w:tcPr>
          <w:p>
            <w:pPr>
              <w:pStyle w:val="Compact"/>
              <w:spacing w:before="0" w:after="0" w:lineRule="exact" w:line="200"/>
              <w:jc w:val="left"/>
            </w:pPr>
            <w:r>
              <w:rPr>
                <w:sz w:val="16"/>
              </w:rPr>
              <w:t xml:space="preserve">Yes</w:t>
            </w:r>
          </w:p>
        </w:tc>
        <w:tc>
          <w:tcPr>
            <w:tcW w:w="1371" w:type="dxa"/>
          </w:tcPr>
          <w:p>
            <w:pPr>
              <w:pStyle w:val="Compact"/>
              <w:spacing w:before="0" w:after="0" w:lineRule="exact" w:line="200"/>
              <w:jc w:val="left"/>
            </w:pPr>
            <w:r>
              <w:rPr>
                <w:sz w:val="16"/>
              </w:rPr>
              <w:t xml:space="preserve">No</w:t>
            </w:r>
          </w:p>
        </w:tc>
        <w:tc>
          <w:tcPr>
            <w:tcW w:w="1371" w:type="dxa"/>
          </w:tcPr>
          <w:p>
            <w:pPr>
              <w:pStyle w:val="Compact"/>
              <w:spacing w:before="0" w:after="0" w:lineRule="exact" w:line="200"/>
              <w:jc w:val="left"/>
            </w:pPr>
            <w:r>
              <w:rPr>
                <w:sz w:val="16"/>
              </w:rPr>
              <w:t xml:space="preserve">No</w:t>
            </w:r>
          </w:p>
        </w:tc>
        <w:tc>
          <w:tcPr>
            <w:tcW w:w="1371" w:type="dxa"/>
          </w:tcPr>
          <w:p>
            <w:pPr>
              <w:pStyle w:val="Compact"/>
              <w:spacing w:before="0" w:after="0" w:lineRule="exact" w:line="200"/>
              <w:jc w:val="left"/>
            </w:pPr>
            <w:r>
              <w:rPr>
                <w:sz w:val="16"/>
              </w:rPr>
              <w:t xml:space="preserve">Yes</w:t>
            </w:r>
          </w:p>
        </w:tc>
      </w:tr>
      <w:tr>
        <w:trPr>
          <w:cantSplit/>
        </w:trPr>
        <w:tc>
          <w:tcPr>
            <w:tcW w:w="2326" w:type="dxa"/>
          </w:tcPr>
          <w:p>
            <w:pPr>
              <w:pStyle w:val="Compact"/>
              <w:spacing w:before="0" w:after="0" w:lineRule="exact" w:line="200"/>
              <w:jc w:val="left"/>
            </w:pPr>
            <w:r>
              <w:rPr>
                <w:sz w:val="16"/>
              </w:rPr>
              <w:t xml:space="preserve">Wild-bootstrap</w:t>
            </w:r>
            <w:r>
              <w:rPr>
                <w:sz w:val="16"/>
              </w:rPr>
              <w:t xml:space="preserve"> </w:t>
            </w:r>
            <w:r>
              <w:rPr>
                <w:iCs/>
                <w:i/>
                <w:sz w:val="16"/>
              </w:rPr>
              <w:t xml:space="preserve">p</w:t>
            </w:r>
            <w:r>
              <w:rPr>
                <w:sz w:val="16"/>
              </w:rPr>
              <w:t xml:space="preserve">, IndonesiaRegion</w:t>
            </w:r>
          </w:p>
        </w:tc>
        <w:tc>
          <w:tcPr>
            <w:tcW w:w="1252" w:type="dxa"/>
          </w:tcPr>
          <w:p>
            <w:pPr>
              <w:pStyle w:val="Compact"/>
              <w:spacing w:before="0" w:after="0" w:lineRule="exact" w:line="200"/>
              <w:jc w:val="left"/>
            </w:pPr>
            <w:r>
              <w:rPr>
                <w:sz w:val="16"/>
              </w:rPr>
              <w:t xml:space="preserve">0.848</w:t>
            </w:r>
          </w:p>
        </w:tc>
        <w:tc>
          <w:tcPr>
            <w:tcW w:w="1252" w:type="dxa"/>
          </w:tcPr>
          <w:p>
            <w:pPr>
              <w:pStyle w:val="Compact"/>
              <w:spacing w:before="0" w:after="0" w:lineRule="exact" w:line="200"/>
              <w:jc w:val="left"/>
            </w:pPr>
            <w:r>
              <w:rPr>
                <w:sz w:val="16"/>
              </w:rPr>
              <w:t xml:space="preserve">0.475</w:t>
            </w:r>
          </w:p>
        </w:tc>
        <w:tc>
          <w:tcPr>
            <w:tcW w:w="1252" w:type="dxa"/>
          </w:tcPr>
          <w:p>
            <w:pPr>
              <w:pStyle w:val="Compact"/>
              <w:spacing w:before="0" w:after="0" w:lineRule="exact" w:line="200"/>
              <w:jc w:val="left"/>
            </w:pPr>
            <w:r>
              <w:rPr>
                <w:sz w:val="16"/>
              </w:rPr>
              <w:t xml:space="preserve">0.866</w:t>
            </w:r>
          </w:p>
        </w:tc>
        <w:tc>
          <w:tcPr>
            <w:tcW w:w="1371" w:type="dxa"/>
          </w:tcPr>
          <w:p>
            <w:pPr>
              <w:pStyle w:val="Compact"/>
              <w:spacing w:before="0" w:after="0" w:lineRule="exact" w:line="200"/>
              <w:jc w:val="left"/>
            </w:pPr>
            <w:r>
              <w:rPr>
                <w:sz w:val="16"/>
              </w:rPr>
              <w:t xml:space="preserve">0.031</w:t>
            </w:r>
          </w:p>
        </w:tc>
        <w:tc>
          <w:tcPr>
            <w:tcW w:w="1371" w:type="dxa"/>
          </w:tcPr>
          <w:p>
            <w:pPr>
              <w:pStyle w:val="Compact"/>
              <w:spacing w:before="0" w:after="0" w:lineRule="exact" w:line="200"/>
              <w:jc w:val="left"/>
            </w:pPr>
            <w:r>
              <w:rPr>
                <w:sz w:val="16"/>
              </w:rPr>
              <w:t xml:space="preserve">0.039</w:t>
            </w:r>
          </w:p>
        </w:tc>
        <w:tc>
          <w:tcPr>
            <w:tcW w:w="1371" w:type="dxa"/>
          </w:tcPr>
          <w:p>
            <w:pPr>
              <w:pStyle w:val="Compact"/>
              <w:spacing w:before="0" w:after="0" w:lineRule="exact" w:line="200"/>
              <w:jc w:val="left"/>
            </w:pPr>
            <w:r>
              <w:rPr>
                <w:sz w:val="16"/>
              </w:rPr>
              <w:t xml:space="preserve">0.005</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The take rate and its parts are not regressors, because the ecosystem ratio is one divided by the take rate, minus one. Source: company filings; filings with the US Securities and Exchange Commission; World Bank; Bank for International Settlements; author’s calculations. Exploratory.</w:t>
      </w:r>
    </w:p>
    <w:p>
      <w:pPr>
        <w:pStyle w:val="BodyText"/>
      </w:pPr>
      <w:r>
        <w:rPr>
          <w:bCs/>
          <w:b/>
        </w:rPr>
        <w:t xml:space="preserve">The wedge scales with the size of the platform.</w:t>
      </w:r>
      <w:r>
        <w:t xml:space="preserve"> </w:t>
      </w:r>
      <w:r>
        <w:t xml:space="preserve">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w:t>
      </w:r>
      <w:r>
        <w:t xml:space="preserve"> </w:t>
      </w:r>
      <w:r>
        <w:rPr>
          <w:bCs/>
          <w:b/>
        </w:rPr>
        <w:t xml:space="preserve">So the thin take rates of Indonesian and regional platforms are not a general emerging-market pattern.</w:t>
      </w:r>
      <w:r>
        <w:t xml:space="preserve"> </w:t>
      </w:r>
      <w:r>
        <w:t xml:space="preserve">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w:t>
      </w:r>
      <w:r>
        <w:t xml:space="preserve"> </w:t>
      </w:r>
      <w:r>
        <w:rPr>
          <w:bCs/>
          <w:b/>
        </w:rPr>
        <w:t xml:space="preserve">Higher fees and lower incentives together outweighed more commerce in every window.</w:t>
      </w:r>
      <w:r>
        <w:t xml:space="preserve"> </w:t>
      </w:r>
      <w:r>
        <w:t xml:space="preserve">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5.2).</w:t>
      </w:r>
    </w:p>
    <w:p>
      <w:pPr>
        <w:pStyle w:val="BodyText"/>
        <w:keepNext/>
        <w:spacing w:before="114" w:after="0" w:line="240" w:lineRule="auto"/>
        <w:jc w:val="center"/>
      </w:pPr>
      <w:r>
        <w:drawing>
          <wp:inline>
            <wp:extent cx="5425001" cy="1800000"/>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425001"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5.2. Tokopedia, 2022 to 2023: two ways to split the rise in revenue.</w:t>
      </w:r>
      <w:r>
        <w:rPr>
          <w:sz w:val="16"/>
        </w:rPr>
        <w:t xml:space="preserve"> </w:t>
      </w:r>
      <w:r>
        <w:rPr>
          <w:sz w:val="16"/>
        </w:rP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60"/>
    <w:bookmarkStart w:id="61" w:name="what-markets-valued"/>
    <w:p>
      <w:pPr>
        <w:pStyle w:val="Heading2"/>
      </w:pPr>
      <w:r>
        <w:t xml:space="preserve">5.4 What markets valued</w:t>
      </w:r>
    </w:p>
    <w:p>
      <w:pPr>
        <w:pStyle w:val="FirstParagraph"/>
      </w:pPr>
      <w:r>
        <w:rPr>
          <w:bCs/>
          <w:b/>
        </w:rPr>
        <w:t xml:space="preserve">Across 28 listed platforms and 138 platform-years, market value moved with transaction value, a registered result.</w:t>
      </w:r>
      <w:r>
        <w:t xml:space="preserve"> </w:t>
      </w:r>
      <w:r>
        <w:t xml:space="preserve">A 1 percent rise in transaction value goes with a rise of about 0.6 percent in market value (</w:t>
      </w:r>
      <w:r>
        <w:rPr>
          <w:rFonts w:ascii="Cambria" w:hAnsi="Cambria" w:cs="Cambria" w:eastAsia="Cambria"/>
        </w:rPr>
        <w:t xml:space="preserve">β</w:t>
      </w:r>
      <w:r>
        <w:rPr>
          <w:vertAlign w:val="subscript"/>
        </w:rPr>
        <w:t xml:space="preserve">V</w:t>
      </w:r>
      <w:r>
        <w:t xml:space="preserve"> </w:t>
      </w:r>
      <w:r>
        <w:t xml:space="preserve">in equation (9), p = 0.002). Section 4.5 describes this sample, which differs from the 27 foreign platforms of H1.</w:t>
      </w:r>
    </w:p>
    <w:p>
      <w:pPr>
        <w:pStyle w:val="BodyText"/>
      </w:pPr>
      <w:r>
        <w:rPr>
          <w:bCs/>
          <w:b/>
        </w:rPr>
        <w:t xml:space="preserve">The second registered prediction does not hold in the main sample.</w:t>
      </w:r>
      <w:r>
        <w:t xml:space="preserve"> </w:t>
      </w:r>
      <w:r>
        <w:t xml:space="preserve">It expected markets to value growth from a higher take rate less than growth from more commerce. A 1 percent rise in the take rate goes with a rise of about 0.3 percent (</w:t>
      </w:r>
      <w:r>
        <w:rPr>
          <w:rFonts w:ascii="Cambria" w:hAnsi="Cambria" w:cs="Cambria" w:eastAsia="Cambria"/>
        </w:rPr>
        <w:t xml:space="preserve">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rPr>
          <w:bCs/>
          <w:b/>
        </w:rPr>
        <w:t xml:space="preserve">Buying through platforms did not boom in 2023.</w:t>
      </w:r>
      <w:r>
        <w:t xml:space="preserve"> </w:t>
      </w:r>
      <w:r>
        <w:t xml:space="preserve">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114" w:after="0" w:line="240" w:lineRule="auto"/>
        <w:jc w:val="center"/>
      </w:pPr>
      <w:r>
        <w:drawing>
          <wp:inline>
            <wp:extent cx="5650105" cy="3024000"/>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650105" cy="3024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5.3. Growth in 2023 (percent).</w:t>
      </w:r>
      <w:r>
        <w:rPr>
          <w:sz w:val="16"/>
        </w:rPr>
        <w:t xml:space="preserve"> </w:t>
      </w:r>
      <w:r>
        <w:rPr>
          <w:sz w:val="16"/>
        </w:rP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rPr>
          <w:bCs/>
          <w:b/>
        </w:rPr>
        <w:t xml:space="preserve">H2 holds on BPS’s published figures, but the registered entry test shows that first-time entry cannot explain the whole rise in the count.</w:t>
      </w:r>
      <w:r>
        <w:t xml:space="preserve"> </w:t>
      </w:r>
      <w:r>
        <w:t xml:space="preserve">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rPr>
          <w:bCs/>
          <w:b/>
        </w:rPr>
        <w:t xml:space="preserve">The registered entry test separates new sellers from sellers counted for the first time, and it fails.</w:t>
      </w:r>
      <w:r>
        <w:t xml:space="preserve"> </w:t>
      </w:r>
      <w:r>
        <w:t xml:space="preserve">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rPr>
          <w:bCs/>
          <w:b/>
        </w:rPr>
        <w:t xml:space="preserve">About half of the 2023 rise in the count is not explained by first-time entry, an exploratory result.</w:t>
      </w:r>
      <w:r>
        <w:t xml:space="preserve"> </w:t>
      </w:r>
      <w:r>
        <w:t xml:space="preserve">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keepNext/>
        <w:spacing w:before="140" w:after="56" w:lineRule="exact" w:line="246"/>
        <w:jc w:val="left"/>
      </w:pPr>
      <w:r>
        <w:rPr>
          <w:b/>
          <w:sz w:val="17"/>
        </w:rPr>
        <w:t>Table 5.5.</w:t>
      </w:r>
      <w:r>
        <w:rPr>
          <w:b w:val="0"/>
          <w:sz w:val="17"/>
        </w:rPr>
        <w:t xml:space="preserve"> The 2023 rise in the count of online sellers (thousands)</w:t>
      </w:r>
    </w:p>
    <w:p>
      <w:pPr>
        <w:pStyle w:val="BodyText"/>
        <w:keepNext/>
        <w:spacing w:before="40" w:after="70" w:lineRule="exact" w:line="220"/>
        <w:jc w:val="left"/>
      </w:pPr>
      <w:r>
        <w:rPr>
          <w:color w:val="222222"/>
          <w:sz w:val="16"/>
        </w:rPr>
        <w:t xml:space="preserve">This table splits the rise in the number of online sellers between the weighted totals of the two BPS survey files into net entry and earlier sellers who were newly counted. The first column assumes that no seller stopped between the surveys, and the second assumes that sellers stopped at 5 percent a year. The percentages are shares of the rise.</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4950"/>
        <w:gridCol w:w="1950"/>
        <w:gridCol w:w="3300"/>
      </w:tblGrid>
      <w:tr>
        <w:trPr>
          <w:tblHeader w:val="true"/>
          <w:cantSplit/>
          <w:tblHeader/>
        </w:trPr>
        <w:tc>
          <w:tcPr>
            <w:tcW w:w="4950" w:type="dxa"/>
            <w:tcBorders>
              <w:bottom w:val="single" w:sz="4" w:space="0" w:color="111111"/>
            </w:tcBorders>
          </w:tcPr>
          <w:p>
            <w:pPr>
              <w:pStyle w:val="Compact"/>
              <w:keepNext/>
              <w:spacing w:before="0" w:after="0" w:lineRule="exact" w:line="200"/>
              <w:jc w:val="left"/>
            </w:pPr>
            <w:r>
              <w:rPr>
                <w:b/>
                <w:sz w:val="16"/>
              </w:rPr>
              <w:t xml:space="preserve">Part of the rise</w:t>
            </w:r>
          </w:p>
        </w:tc>
        <w:tc>
          <w:tcPr>
            <w:tcW w:w="1950" w:type="dxa"/>
            <w:tcBorders>
              <w:bottom w:val="single" w:sz="4" w:space="0" w:color="111111"/>
            </w:tcBorders>
          </w:tcPr>
          <w:p>
            <w:pPr>
              <w:pStyle w:val="Compact"/>
              <w:keepNext/>
              <w:spacing w:before="0" w:after="0" w:lineRule="exact" w:line="200"/>
              <w:jc w:val="left"/>
            </w:pPr>
            <w:r>
              <w:rPr>
                <w:b/>
                <w:sz w:val="16"/>
              </w:rPr>
              <w:t xml:space="preserve">If no seller stopped</w:t>
            </w:r>
          </w:p>
        </w:tc>
        <w:tc>
          <w:tcPr>
            <w:tcW w:w="3300" w:type="dxa"/>
            <w:tcBorders>
              <w:bottom w:val="single" w:sz="4" w:space="0" w:color="111111"/>
            </w:tcBorders>
          </w:tcPr>
          <w:p>
            <w:pPr>
              <w:pStyle w:val="Compact"/>
              <w:keepNext/>
              <w:spacing w:before="0" w:after="0" w:lineRule="exact" w:line="200"/>
              <w:jc w:val="left"/>
            </w:pPr>
            <w:r>
              <w:rPr>
                <w:b/>
                <w:sz w:val="16"/>
              </w:rPr>
              <w:t xml:space="preserve">If sellers stopped at 5 percent a year</w:t>
            </w:r>
          </w:p>
        </w:tc>
      </w:tr>
      <w:tr>
        <w:trPr>
          <w:cantSplit/>
        </w:trPr>
        <w:tc>
          <w:tcPr>
            <w:tcW w:w="4950" w:type="dxa"/>
          </w:tcPr>
          <w:p>
            <w:pPr>
              <w:pStyle w:val="Compact"/>
              <w:keepNext/>
              <w:spacing w:before="0" w:after="0" w:lineRule="exact" w:line="200"/>
              <w:jc w:val="left"/>
            </w:pPr>
            <w:r>
              <w:rPr>
                <w:sz w:val="16"/>
              </w:rPr>
              <w:t xml:space="preserve">Rise between the weighted totals of the two files</w:t>
            </w:r>
          </w:p>
        </w:tc>
        <w:tc>
          <w:tcPr>
            <w:tcW w:w="1950" w:type="dxa"/>
          </w:tcPr>
          <w:p>
            <w:pPr>
              <w:pStyle w:val="Compact"/>
              <w:keepNext/>
              <w:spacing w:before="0" w:after="0" w:lineRule="exact" w:line="200"/>
              <w:jc w:val="left"/>
            </w:pPr>
            <w:r>
              <w:rPr>
                <w:sz w:val="16"/>
              </w:rPr>
              <w:t xml:space="preserve">819 (100%)</w:t>
            </w:r>
          </w:p>
        </w:tc>
        <w:tc>
          <w:tcPr>
            <w:tcW w:w="3300" w:type="dxa"/>
          </w:tcPr>
          <w:p>
            <w:pPr>
              <w:pStyle w:val="Compact"/>
              <w:keepNext/>
              <w:spacing w:before="0" w:after="0" w:lineRule="exact" w:line="200"/>
              <w:jc w:val="left"/>
            </w:pPr>
            <w:r>
              <w:rPr>
                <w:sz w:val="16"/>
              </w:rPr>
              <w:t xml:space="preserve">819 (100%)</w:t>
            </w:r>
          </w:p>
        </w:tc>
      </w:tr>
      <w:tr>
        <w:trPr>
          <w:cantSplit/>
        </w:trPr>
        <w:tc>
          <w:tcPr>
            <w:tcW w:w="4950" w:type="dxa"/>
          </w:tcPr>
          <w:p>
            <w:pPr>
              <w:pStyle w:val="Compact"/>
              <w:keepNext/>
              <w:spacing w:before="0" w:after="0" w:lineRule="exact" w:line="200"/>
              <w:jc w:val="left"/>
            </w:pPr>
            <w:r>
              <w:rPr>
                <w:sz w:val="16"/>
              </w:rPr>
              <w:t xml:space="preserve">Net entry: sellers who began in 2023, less those who stopped</w:t>
            </w:r>
          </w:p>
        </w:tc>
        <w:tc>
          <w:tcPr>
            <w:tcW w:w="1950" w:type="dxa"/>
          </w:tcPr>
          <w:p>
            <w:pPr>
              <w:pStyle w:val="Compact"/>
              <w:keepNext/>
              <w:spacing w:before="0" w:after="0" w:lineRule="exact" w:line="200"/>
              <w:jc w:val="left"/>
            </w:pPr>
            <w:r>
              <w:rPr>
                <w:sz w:val="16"/>
              </w:rPr>
              <w:t xml:space="preserve">513 (63%)</w:t>
            </w:r>
          </w:p>
        </w:tc>
        <w:tc>
          <w:tcPr>
            <w:tcW w:w="3300" w:type="dxa"/>
          </w:tcPr>
          <w:p>
            <w:pPr>
              <w:pStyle w:val="Compact"/>
              <w:keepNext/>
              <w:spacing w:before="0" w:after="0" w:lineRule="exact" w:line="200"/>
              <w:jc w:val="left"/>
            </w:pPr>
            <w:r>
              <w:rPr>
                <w:sz w:val="16"/>
              </w:rPr>
              <w:t xml:space="preserve">361 (44%)</w:t>
            </w:r>
          </w:p>
        </w:tc>
      </w:tr>
      <w:tr>
        <w:trPr>
          <w:cantSplit/>
        </w:trPr>
        <w:tc>
          <w:tcPr>
            <w:tcW w:w="4950" w:type="dxa"/>
          </w:tcPr>
          <w:p>
            <w:pPr>
              <w:pStyle w:val="Compact"/>
              <w:spacing w:before="0" w:after="0" w:lineRule="exact" w:line="200"/>
              <w:jc w:val="left"/>
            </w:pPr>
            <w:r>
              <w:rPr>
                <w:sz w:val="16"/>
              </w:rPr>
              <w:t xml:space="preserve">Earlier sellers newly counted above the whole 2022 count</w:t>
            </w:r>
          </w:p>
        </w:tc>
        <w:tc>
          <w:tcPr>
            <w:tcW w:w="1950" w:type="dxa"/>
          </w:tcPr>
          <w:p>
            <w:pPr>
              <w:pStyle w:val="Compact"/>
              <w:spacing w:before="0" w:after="0" w:lineRule="exact" w:line="200"/>
              <w:jc w:val="left"/>
            </w:pPr>
            <w:r>
              <w:rPr>
                <w:sz w:val="16"/>
              </w:rPr>
              <w:t xml:space="preserve">306 (37%)</w:t>
            </w:r>
          </w:p>
        </w:tc>
        <w:tc>
          <w:tcPr>
            <w:tcW w:w="3300" w:type="dxa"/>
          </w:tcPr>
          <w:p>
            <w:pPr>
              <w:pStyle w:val="Compact"/>
              <w:spacing w:before="0" w:after="0" w:lineRule="exact" w:line="200"/>
              <w:jc w:val="left"/>
            </w:pPr>
            <w:r>
              <w:rPr>
                <w:sz w:val="16"/>
              </w:rPr>
              <w:t xml:space="preserve">458 (56%)</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rPr>
          <w:bCs/>
          <w:b/>
        </w:rPr>
        <w:t xml:space="preserve">H2 holds on the published series, but it sits right on its threshold once the extra count is read as coverage, an exploratory follow-up.</w:t>
      </w:r>
      <w:r>
        <w:t xml:space="preserve"> </w:t>
      </w:r>
      <w:r>
        <w:t xml:space="preserve">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rPr>
          <w:bCs/>
          <w:b/>
        </w:rPr>
        <w:t xml:space="preserve">The extra count leaned toward long-running businesses, older owners and places outside Java, an exploratory result.</w:t>
      </w:r>
      <w:r>
        <w:t xml:space="preserve"> </w:t>
      </w:r>
      <w:r>
        <w:t xml:space="preserve">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keepNext/>
        <w:spacing w:before="114" w:after="0" w:line="240" w:lineRule="auto"/>
        <w:jc w:val="center"/>
      </w:pPr>
      <w:r>
        <w:drawing>
          <wp:inline>
            <wp:extent cx="4562143" cy="1800000"/>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4562143"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5.4. Who the extra sellers were.</w:t>
      </w:r>
      <w:r>
        <w:rPr>
          <w:sz w:val="16"/>
        </w:rPr>
        <w:t xml:space="preserve"> </w:t>
      </w:r>
      <w:r>
        <w:rPr>
          <w:sz w:val="16"/>
        </w:rP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rPr>
          <w:bCs/>
          <w:b/>
        </w:rPr>
        <w:t xml:space="preserve">Returning sellers still cannot be ruled out.</w:t>
      </w:r>
      <w:r>
        <w:t xml:space="preserve"> </w:t>
      </w:r>
      <w:r>
        <w:t xml:space="preserve">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rPr>
          <w:bCs/>
          <w:b/>
        </w:rPr>
        <w:t xml:space="preserve">Most online selling happens outside marketplaces, and records are thinner there.</w:t>
      </w:r>
      <w:r>
        <w:t xml:space="preserve"> </w:t>
      </w:r>
      <w:r>
        <w:t xml:space="preserve">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114" w:after="0" w:line="240" w:lineRule="auto"/>
        <w:jc w:val="center"/>
      </w:pPr>
      <w:r>
        <w:drawing>
          <wp:inline>
            <wp:extent cx="3926102" cy="1800000"/>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3926102"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5.5. Marketplace use and financial statements, 2020 to 2024.</w:t>
      </w:r>
      <w:r>
        <w:rPr>
          <w:sz w:val="16"/>
        </w:rPr>
        <w:t xml:space="preserve"> </w:t>
      </w:r>
      <w:r>
        <w:rPr>
          <w:sz w:val="16"/>
        </w:rP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rPr>
          <w:bCs/>
          <w:b/>
        </w:rPr>
        <w:t xml:space="preserve">The national figures agree that growth was small only where they cover the same sellers, and they do not agree on scale.</w:t>
      </w:r>
      <w:r>
        <w:t xml:space="preserve"> </w:t>
      </w:r>
      <w:r>
        <w:t xml:space="preserve">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w:t>
      </w:r>
      <w:r>
        <w:t xml:space="preserve"> </w:t>
      </w:r>
      <w:r>
        <w:rPr>
          <w:bCs/>
          <w:b/>
        </w:rPr>
        <w:t xml:space="preserve">Each rule acts on one part of what Chapter 5 measured, and each reaches only that part.</w:t>
      </w:r>
    </w:p>
    <w:p>
      <w:pPr>
        <w:pStyle w:val="BodyText"/>
      </w:pPr>
      <w:r>
        <w:t xml:space="preserve">The marketplace tax is the rule aimed most directly at online sellers.</w:t>
      </w:r>
      <w:r>
        <w:t xml:space="preserve"> </w:t>
      </w:r>
      <w:r>
        <w:rPr>
          <w:bCs/>
          <w:b/>
        </w:rPr>
        <w:t xml:space="preserve">It can collect from at most about 1 in 20 online sellers and about a fifth of online sales value.</w:t>
      </w:r>
      <w:r>
        <w:t xml:space="preserve"> </w:t>
      </w:r>
      <w:r>
        <w:t xml:space="preserve">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keepNext/>
        <w:spacing w:before="140" w:after="56" w:lineRule="exact" w:line="246"/>
        <w:jc w:val="left"/>
      </w:pPr>
      <w:r>
        <w:rPr>
          <w:b/>
          <w:sz w:val="17"/>
        </w:rPr>
        <w:t>Table 6.1.</w:t>
      </w:r>
      <w:r>
        <w:rPr>
          <w:b w:val="0"/>
          <w:sz w:val="17"/>
        </w:rPr>
        <w:t xml:space="preserve"> Indonesia’s recent rules and what each acts on</w:t>
      </w:r>
    </w:p>
    <w:p>
      <w:pPr>
        <w:pStyle w:val="BodyText"/>
        <w:keepNext/>
        <w:spacing w:before="40" w:after="70" w:lineRule="exact" w:line="220"/>
        <w:jc w:val="left"/>
      </w:pPr>
      <w:r>
        <w:rPr>
          <w:color w:val="222222"/>
          <w:sz w:val="16"/>
        </w:rPr>
        <w:t xml:space="preserve">This table lists each recent Indonesian rule that bears on the figures in Chapters 4 and 5. For each rule it gives what the rule does, which part of the figures it acts on, the section of Chapter 5 that measures that part, and the status of the legal text when this thesis was written. Amounts in rupiah (Rp) are converted to US dollars in the note.</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2376"/>
        <w:gridCol w:w="2701"/>
        <w:gridCol w:w="1421"/>
        <w:gridCol w:w="1000"/>
        <w:gridCol w:w="2701"/>
      </w:tblGrid>
      <w:tr>
        <w:trPr>
          <w:tblHeader w:val="true"/>
          <w:cantSplit/>
          <w:tblHeader/>
        </w:trPr>
        <w:tc>
          <w:tcPr>
            <w:tcW w:w="2376" w:type="dxa"/>
            <w:tcBorders>
              <w:bottom w:val="single" w:sz="4" w:space="0" w:color="111111"/>
            </w:tcBorders>
          </w:tcPr>
          <w:p>
            <w:pPr>
              <w:pStyle w:val="Compact"/>
              <w:keepNext/>
              <w:spacing w:before="0" w:after="0" w:lineRule="exact" w:line="200"/>
              <w:jc w:val="left"/>
            </w:pPr>
            <w:r>
              <w:rPr>
                <w:b/>
                <w:sz w:val="16"/>
              </w:rPr>
              <w:t xml:space="preserve">Rule</w:t>
            </w:r>
          </w:p>
        </w:tc>
        <w:tc>
          <w:tcPr>
            <w:tcW w:w="2701" w:type="dxa"/>
            <w:tcBorders>
              <w:bottom w:val="single" w:sz="4" w:space="0" w:color="111111"/>
            </w:tcBorders>
          </w:tcPr>
          <w:p>
            <w:pPr>
              <w:pStyle w:val="Compact"/>
              <w:keepNext/>
              <w:spacing w:before="0" w:after="0" w:lineRule="exact" w:line="200"/>
              <w:jc w:val="left"/>
            </w:pPr>
            <w:r>
              <w:rPr>
                <w:b/>
                <w:sz w:val="16"/>
              </w:rPr>
              <w:t xml:space="preserve">What it does</w:t>
            </w:r>
          </w:p>
        </w:tc>
        <w:tc>
          <w:tcPr>
            <w:tcW w:w="1421" w:type="dxa"/>
            <w:tcBorders>
              <w:bottom w:val="single" w:sz="4" w:space="0" w:color="111111"/>
            </w:tcBorders>
          </w:tcPr>
          <w:p>
            <w:pPr>
              <w:pStyle w:val="Compact"/>
              <w:keepNext/>
              <w:spacing w:before="0" w:after="0" w:lineRule="exact" w:line="200"/>
              <w:jc w:val="left"/>
            </w:pPr>
            <w:r>
              <w:rPr>
                <w:b/>
                <w:sz w:val="16"/>
              </w:rPr>
              <w:t xml:space="preserve">What it acts on</w:t>
            </w:r>
          </w:p>
        </w:tc>
        <w:tc>
          <w:tcPr>
            <w:tcW w:w="1000" w:type="dxa"/>
            <w:tcBorders>
              <w:bottom w:val="single" w:sz="4" w:space="0" w:color="111111"/>
            </w:tcBorders>
          </w:tcPr>
          <w:p>
            <w:pPr>
              <w:pStyle w:val="Compact"/>
              <w:keepNext/>
              <w:spacing w:before="0" w:after="0" w:lineRule="exact" w:line="200"/>
              <w:jc w:val="left"/>
            </w:pPr>
            <w:r>
              <w:rPr>
                <w:b/>
                <w:sz w:val="16"/>
              </w:rPr>
              <w:t xml:space="preserve">Measured in</w:t>
            </w:r>
          </w:p>
        </w:tc>
        <w:tc>
          <w:tcPr>
            <w:tcW w:w="2701" w:type="dxa"/>
            <w:tcBorders>
              <w:bottom w:val="single" w:sz="4" w:space="0" w:color="111111"/>
            </w:tcBorders>
          </w:tcPr>
          <w:p>
            <w:pPr>
              <w:pStyle w:val="Compact"/>
              <w:keepNext/>
              <w:spacing w:before="0" w:after="0" w:lineRule="exact" w:line="200"/>
              <w:jc w:val="left"/>
            </w:pPr>
            <w:r>
              <w:rPr>
                <w:b/>
                <w:sz w:val="16"/>
              </w:rPr>
              <w:t xml:space="preserve">Status of the text</w:t>
            </w:r>
          </w:p>
        </w:tc>
      </w:tr>
      <w:tr>
        <w:trPr>
          <w:cantSplit/>
        </w:trPr>
        <w:tc>
          <w:tcPr>
            <w:tcW w:w="2376" w:type="dxa"/>
          </w:tcPr>
          <w:p>
            <w:pPr>
              <w:pStyle w:val="Compact"/>
              <w:keepNext/>
              <w:spacing w:before="0" w:after="0" w:lineRule="exact" w:line="200"/>
              <w:jc w:val="left"/>
            </w:pPr>
            <w:r>
              <w:rPr>
                <w:sz w:val="16"/>
              </w:rPr>
              <w:t xml:space="preserve">Commission cap (Transport Minister Decree KP-PHB 532/2026; Presidential Regulation 27/2026)</w:t>
            </w:r>
          </w:p>
        </w:tc>
        <w:tc>
          <w:tcPr>
            <w:tcW w:w="2701" w:type="dxa"/>
          </w:tcPr>
          <w:p>
            <w:pPr>
              <w:pStyle w:val="Compact"/>
              <w:keepNext/>
              <w:spacing w:before="0" w:after="0" w:lineRule="exact" w:line="200"/>
              <w:jc w:val="left"/>
            </w:pPr>
            <w:r>
              <w:rPr>
                <w:sz w:val="16"/>
              </w:rPr>
              <w:t xml:space="preserve">Caps the commission on two-wheel passenger trips at 8 percent from 1 July 2026</w:t>
            </w:r>
          </w:p>
        </w:tc>
        <w:tc>
          <w:tcPr>
            <w:tcW w:w="1421" w:type="dxa"/>
          </w:tcPr>
          <w:p>
            <w:pPr>
              <w:pStyle w:val="Compact"/>
              <w:keepNext/>
              <w:spacing w:before="0" w:after="0" w:lineRule="exact" w:line="200"/>
              <w:jc w:val="left"/>
            </w:pPr>
            <w:r>
              <w:rPr>
                <w:sz w:val="16"/>
              </w:rPr>
              <w:t xml:space="preserve">The fee rate, for one service</w:t>
            </w:r>
          </w:p>
        </w:tc>
        <w:tc>
          <w:tcPr>
            <w:tcW w:w="1000" w:type="dxa"/>
          </w:tcPr>
          <w:p>
            <w:pPr>
              <w:pStyle w:val="Compact"/>
              <w:keepNext/>
              <w:spacing w:before="0" w:after="0" w:lineRule="exact" w:line="200"/>
              <w:jc w:val="left"/>
            </w:pPr>
            <w:r>
              <w:rPr>
                <w:sz w:val="16"/>
              </w:rPr>
              <w:t xml:space="preserve">5.3</w:t>
            </w:r>
          </w:p>
        </w:tc>
        <w:tc>
          <w:tcPr>
            <w:tcW w:w="2701" w:type="dxa"/>
          </w:tcPr>
          <w:p>
            <w:pPr>
              <w:pStyle w:val="Compact"/>
              <w:keepNext/>
              <w:spacing w:before="0" w:after="0" w:lineRule="exact" w:line="200"/>
              <w:jc w:val="left"/>
            </w:pPr>
            <w:r>
              <w:rPr>
                <w:sz w:val="16"/>
              </w:rPr>
              <w:t xml:space="preserve">Decree in force from July 2026; presidential regulation released 8 October 2026; neither text public when this thesis was written</w:t>
            </w:r>
          </w:p>
        </w:tc>
      </w:tr>
      <w:tr>
        <w:trPr>
          <w:cantSplit/>
        </w:trPr>
        <w:tc>
          <w:tcPr>
            <w:tcW w:w="2376" w:type="dxa"/>
          </w:tcPr>
          <w:p>
            <w:pPr>
              <w:pStyle w:val="Compact"/>
              <w:keepNext/>
              <w:spacing w:before="0" w:after="0" w:lineRule="exact" w:line="200"/>
              <w:jc w:val="left"/>
            </w:pPr>
            <w:r>
              <w:rPr>
                <w:sz w:val="16"/>
              </w:rPr>
              <w:t xml:space="preserve">Discount rule (Trade Minister Regulation 19/2026, Art. 18)</w:t>
            </w:r>
          </w:p>
        </w:tc>
        <w:tc>
          <w:tcPr>
            <w:tcW w:w="2701" w:type="dxa"/>
          </w:tcPr>
          <w:p>
            <w:pPr>
              <w:pStyle w:val="Compact"/>
              <w:keepNext/>
              <w:spacing w:before="0" w:after="0" w:lineRule="exact" w:line="200"/>
              <w:jc w:val="left"/>
            </w:pPr>
            <w:r>
              <w:rPr>
                <w:sz w:val="16"/>
              </w:rPr>
              <w:t xml:space="preserve">Requires every online trade operator, including ride-hailing apps that sell goods, to prevent repeated price subsidies that hurt local products and endless below-cost discounts</w:t>
            </w:r>
          </w:p>
        </w:tc>
        <w:tc>
          <w:tcPr>
            <w:tcW w:w="1421" w:type="dxa"/>
          </w:tcPr>
          <w:p>
            <w:pPr>
              <w:pStyle w:val="Compact"/>
              <w:keepNext/>
              <w:spacing w:before="0" w:after="0" w:lineRule="exact" w:line="200"/>
              <w:jc w:val="left"/>
            </w:pPr>
            <w:r>
              <w:rPr>
                <w:sz w:val="16"/>
              </w:rPr>
              <w:t xml:space="preserve">The incentive rate</w:t>
            </w:r>
          </w:p>
        </w:tc>
        <w:tc>
          <w:tcPr>
            <w:tcW w:w="1000" w:type="dxa"/>
          </w:tcPr>
          <w:p>
            <w:pPr>
              <w:pStyle w:val="Compact"/>
              <w:keepNext/>
              <w:spacing w:before="0" w:after="0" w:lineRule="exact" w:line="200"/>
              <w:jc w:val="left"/>
            </w:pPr>
            <w:r>
              <w:rPr>
                <w:sz w:val="16"/>
              </w:rPr>
              <w:t xml:space="preserve">5.3</w:t>
            </w:r>
          </w:p>
        </w:tc>
        <w:tc>
          <w:tcPr>
            <w:tcW w:w="2701" w:type="dxa"/>
          </w:tcPr>
          <w:p>
            <w:pPr>
              <w:pStyle w:val="Compact"/>
              <w:keepNext/>
              <w:spacing w:before="0" w:after="0" w:lineRule="exact" w:line="200"/>
              <w:jc w:val="left"/>
            </w:pPr>
            <w:r>
              <w:rPr>
                <w:sz w:val="16"/>
              </w:rPr>
              <w:t xml:space="preserve">Primary text read</w:t>
            </w:r>
          </w:p>
        </w:tc>
      </w:tr>
      <w:tr>
        <w:trPr>
          <w:cantSplit/>
        </w:trPr>
        <w:tc>
          <w:tcPr>
            <w:tcW w:w="2376" w:type="dxa"/>
          </w:tcPr>
          <w:p>
            <w:pPr>
              <w:pStyle w:val="Compact"/>
              <w:keepNext/>
              <w:spacing w:before="0" w:after="0" w:lineRule="exact" w:line="200"/>
              <w:jc w:val="left"/>
            </w:pPr>
            <w:r>
              <w:rPr>
                <w:sz w:val="16"/>
              </w:rPr>
              <w:t xml:space="preserve">Marketplace tax (Finance Minister Regulation 37/2025)</w:t>
            </w:r>
          </w:p>
        </w:tc>
        <w:tc>
          <w:tcPr>
            <w:tcW w:w="2701" w:type="dxa"/>
          </w:tcPr>
          <w:p>
            <w:pPr>
              <w:pStyle w:val="Compact"/>
              <w:keepNext/>
              <w:spacing w:before="0" w:after="0" w:lineRule="exact" w:line="200"/>
              <w:jc w:val="left"/>
            </w:pPr>
            <w:r>
              <w:rPr>
                <w:sz w:val="16"/>
              </w:rPr>
              <w:t xml:space="preserve">Designated marketplaces collect 0.5 percent of domestic sellers’ gross sales; individuals with sales up to Rp500 million a year are exempt; every seller gives a tax number or national identity number</w:t>
            </w:r>
          </w:p>
        </w:tc>
        <w:tc>
          <w:tcPr>
            <w:tcW w:w="1421" w:type="dxa"/>
          </w:tcPr>
          <w:p>
            <w:pPr>
              <w:pStyle w:val="Compact"/>
              <w:keepNext/>
              <w:spacing w:before="0" w:after="0" w:lineRule="exact" w:line="200"/>
              <w:jc w:val="left"/>
            </w:pPr>
            <w:r>
              <w:rPr>
                <w:sz w:val="16"/>
              </w:rPr>
              <w:t xml:space="preserve">Sellers’ sales inside marketplaces</w:t>
            </w:r>
          </w:p>
        </w:tc>
        <w:tc>
          <w:tcPr>
            <w:tcW w:w="1000" w:type="dxa"/>
          </w:tcPr>
          <w:p>
            <w:pPr>
              <w:pStyle w:val="Compact"/>
              <w:keepNext/>
              <w:spacing w:before="0" w:after="0" w:lineRule="exact" w:line="200"/>
              <w:jc w:val="left"/>
            </w:pPr>
            <w:r>
              <w:rPr>
                <w:sz w:val="16"/>
              </w:rPr>
              <w:t xml:space="preserve">5.9</w:t>
            </w:r>
          </w:p>
        </w:tc>
        <w:tc>
          <w:tcPr>
            <w:tcW w:w="2701" w:type="dxa"/>
          </w:tcPr>
          <w:p>
            <w:pPr>
              <w:pStyle w:val="Compact"/>
              <w:keepNext/>
              <w:spacing w:before="0" w:after="0" w:lineRule="exact" w:line="200"/>
              <w:jc w:val="left"/>
            </w:pPr>
            <w:r>
              <w:rPr>
                <w:sz w:val="16"/>
              </w:rPr>
              <w:t xml:space="preserve">Primary text read; collected by Shopee, Tokopedia, Lazada and Blibli since 1 October 2026</w:t>
            </w:r>
          </w:p>
        </w:tc>
      </w:tr>
      <w:tr>
        <w:trPr>
          <w:cantSplit/>
        </w:trPr>
        <w:tc>
          <w:tcPr>
            <w:tcW w:w="2376" w:type="dxa"/>
          </w:tcPr>
          <w:p>
            <w:pPr>
              <w:pStyle w:val="Compact"/>
              <w:keepNext/>
              <w:spacing w:before="0" w:after="0" w:lineRule="exact" w:line="200"/>
              <w:jc w:val="left"/>
            </w:pPr>
            <w:r>
              <w:rPr>
                <w:sz w:val="16"/>
              </w:rPr>
              <w:t xml:space="preserve">Small-business final tax (Government Regulation 20/2026)</w:t>
            </w:r>
          </w:p>
        </w:tc>
        <w:tc>
          <w:tcPr>
            <w:tcW w:w="2701" w:type="dxa"/>
          </w:tcPr>
          <w:p>
            <w:pPr>
              <w:pStyle w:val="Compact"/>
              <w:keepNext/>
              <w:spacing w:before="0" w:after="0" w:lineRule="exact" w:line="200"/>
              <w:jc w:val="left"/>
            </w:pPr>
            <w:r>
              <w:rPr>
                <w:sz w:val="16"/>
              </w:rPr>
              <w:t xml:space="preserve">Keeps a 0.5 percent final tax on turnover up to Rp4.8 billion a year; excludes content creators</w:t>
            </w:r>
          </w:p>
        </w:tc>
        <w:tc>
          <w:tcPr>
            <w:tcW w:w="1421" w:type="dxa"/>
          </w:tcPr>
          <w:p>
            <w:pPr>
              <w:pStyle w:val="Compact"/>
              <w:keepNext/>
              <w:spacing w:before="0" w:after="0" w:lineRule="exact" w:line="200"/>
              <w:jc w:val="left"/>
            </w:pPr>
            <w:r>
              <w:rPr>
                <w:sz w:val="16"/>
              </w:rPr>
              <w:t xml:space="preserve">Small sellers in every channel</w:t>
            </w:r>
          </w:p>
        </w:tc>
        <w:tc>
          <w:tcPr>
            <w:tcW w:w="1000" w:type="dxa"/>
          </w:tcPr>
          <w:p>
            <w:pPr>
              <w:pStyle w:val="Compact"/>
              <w:keepNext/>
              <w:spacing w:before="0" w:after="0" w:lineRule="exact" w:line="200"/>
              <w:jc w:val="left"/>
            </w:pPr>
            <w:r>
              <w:rPr>
                <w:sz w:val="16"/>
              </w:rPr>
              <w:t xml:space="preserve">Not measured</w:t>
            </w:r>
          </w:p>
        </w:tc>
        <w:tc>
          <w:tcPr>
            <w:tcW w:w="2701" w:type="dxa"/>
          </w:tcPr>
          <w:p>
            <w:pPr>
              <w:pStyle w:val="Compact"/>
              <w:keepNext/>
              <w:spacing w:before="0" w:after="0" w:lineRule="exact" w:line="200"/>
              <w:jc w:val="left"/>
            </w:pPr>
            <w:r>
              <w:rPr>
                <w:sz w:val="16"/>
              </w:rPr>
              <w:t xml:space="preserve">Primary text read</w:t>
            </w:r>
          </w:p>
        </w:tc>
      </w:tr>
      <w:tr>
        <w:trPr>
          <w:cantSplit/>
        </w:trPr>
        <w:tc>
          <w:tcPr>
            <w:tcW w:w="2376" w:type="dxa"/>
          </w:tcPr>
          <w:p>
            <w:pPr>
              <w:pStyle w:val="Compact"/>
              <w:keepNext/>
              <w:spacing w:before="0" w:after="0" w:lineRule="exact" w:line="200"/>
              <w:jc w:val="left"/>
            </w:pPr>
            <w:r>
              <w:rPr>
                <w:sz w:val="16"/>
              </w:rPr>
              <w:t xml:space="preserve">Platform data to BPS (BPS Regulation 4/2023)</w:t>
            </w:r>
          </w:p>
        </w:tc>
        <w:tc>
          <w:tcPr>
            <w:tcW w:w="2701" w:type="dxa"/>
          </w:tcPr>
          <w:p>
            <w:pPr>
              <w:pStyle w:val="Compact"/>
              <w:keepNext/>
              <w:spacing w:before="0" w:after="0" w:lineRule="exact" w:line="200"/>
              <w:jc w:val="left"/>
            </w:pPr>
            <w:r>
              <w:rPr>
                <w:sz w:val="16"/>
              </w:rPr>
              <w:t xml:space="preserve">E-commerce operators must send BPS their revenue, transactions and numbers of sellers and buyers, with sanctions</w:t>
            </w:r>
          </w:p>
        </w:tc>
        <w:tc>
          <w:tcPr>
            <w:tcW w:w="1421" w:type="dxa"/>
          </w:tcPr>
          <w:p>
            <w:pPr>
              <w:pStyle w:val="Compact"/>
              <w:keepNext/>
              <w:spacing w:before="0" w:after="0" w:lineRule="exact" w:line="200"/>
              <w:jc w:val="left"/>
            </w:pPr>
            <w:r>
              <w:rPr>
                <w:sz w:val="16"/>
              </w:rPr>
              <w:t xml:space="preserve">BPS’s coverage</w:t>
            </w:r>
          </w:p>
        </w:tc>
        <w:tc>
          <w:tcPr>
            <w:tcW w:w="1000" w:type="dxa"/>
          </w:tcPr>
          <w:p>
            <w:pPr>
              <w:pStyle w:val="Compact"/>
              <w:keepNext/>
              <w:spacing w:before="0" w:after="0" w:lineRule="exact" w:line="200"/>
              <w:jc w:val="left"/>
            </w:pPr>
            <w:r>
              <w:rPr>
                <w:sz w:val="16"/>
              </w:rPr>
              <w:t xml:space="preserve">5.10</w:t>
            </w:r>
          </w:p>
        </w:tc>
        <w:tc>
          <w:tcPr>
            <w:tcW w:w="2701" w:type="dxa"/>
          </w:tcPr>
          <w:p>
            <w:pPr>
              <w:pStyle w:val="Compact"/>
              <w:keepNext/>
              <w:spacing w:before="0" w:after="0" w:lineRule="exact" w:line="200"/>
              <w:jc w:val="left"/>
            </w:pPr>
            <w:r>
              <w:rPr>
                <w:sz w:val="16"/>
              </w:rPr>
              <w:t xml:space="preserve">Primary text read</w:t>
            </w:r>
          </w:p>
        </w:tc>
      </w:tr>
      <w:tr>
        <w:trPr>
          <w:cantSplit/>
        </w:trPr>
        <w:tc>
          <w:tcPr>
            <w:tcW w:w="2376" w:type="dxa"/>
          </w:tcPr>
          <w:p>
            <w:pPr>
              <w:pStyle w:val="Compact"/>
              <w:keepNext/>
              <w:spacing w:before="0" w:after="0" w:lineRule="exact" w:line="200"/>
              <w:jc w:val="left"/>
            </w:pPr>
            <w:r>
              <w:rPr>
                <w:sz w:val="16"/>
              </w:rPr>
              <w:t xml:space="preserve">Economic census 2026</w:t>
            </w:r>
          </w:p>
        </w:tc>
        <w:tc>
          <w:tcPr>
            <w:tcW w:w="2701" w:type="dxa"/>
          </w:tcPr>
          <w:p>
            <w:pPr>
              <w:pStyle w:val="Compact"/>
              <w:keepNext/>
              <w:spacing w:before="0" w:after="0" w:lineRule="exact" w:line="200"/>
              <w:jc w:val="left"/>
            </w:pPr>
            <w:r>
              <w:rPr>
                <w:sz w:val="16"/>
              </w:rPr>
              <w:t xml:space="preserve">Door-to-door count of all businesses, including online selling, affiliates and influencers</w:t>
            </w:r>
          </w:p>
        </w:tc>
        <w:tc>
          <w:tcPr>
            <w:tcW w:w="1421" w:type="dxa"/>
          </w:tcPr>
          <w:p>
            <w:pPr>
              <w:pStyle w:val="Compact"/>
              <w:keepNext/>
              <w:spacing w:before="0" w:after="0" w:lineRule="exact" w:line="200"/>
              <w:jc w:val="left"/>
            </w:pPr>
            <w:r>
              <w:rPr>
                <w:sz w:val="16"/>
              </w:rPr>
              <w:t xml:space="preserve">BPS’s sampling frame</w:t>
            </w:r>
          </w:p>
        </w:tc>
        <w:tc>
          <w:tcPr>
            <w:tcW w:w="1000" w:type="dxa"/>
          </w:tcPr>
          <w:p>
            <w:pPr>
              <w:pStyle w:val="Compact"/>
              <w:keepNext/>
              <w:spacing w:before="0" w:after="0" w:lineRule="exact" w:line="200"/>
              <w:jc w:val="left"/>
            </w:pPr>
            <w:r>
              <w:rPr>
                <w:sz w:val="16"/>
              </w:rPr>
              <w:t xml:space="preserve">5.7</w:t>
            </w:r>
          </w:p>
        </w:tc>
        <w:tc>
          <w:tcPr>
            <w:tcW w:w="2701" w:type="dxa"/>
          </w:tcPr>
          <w:p>
            <w:pPr>
              <w:pStyle w:val="Compact"/>
              <w:keepNext/>
              <w:spacing w:before="0" w:after="0" w:lineRule="exact" w:line="200"/>
              <w:jc w:val="left"/>
            </w:pPr>
            <w:r>
              <w:rPr>
                <w:sz w:val="16"/>
              </w:rPr>
              <w:t xml:space="preserve">News reports; results not yet released</w:t>
            </w:r>
          </w:p>
        </w:tc>
      </w:tr>
      <w:tr>
        <w:trPr>
          <w:cantSplit/>
        </w:trPr>
        <w:tc>
          <w:tcPr>
            <w:tcW w:w="2376" w:type="dxa"/>
          </w:tcPr>
          <w:p>
            <w:pPr>
              <w:pStyle w:val="Compact"/>
              <w:spacing w:before="0" w:after="0" w:lineRule="exact" w:line="200"/>
              <w:jc w:val="left"/>
            </w:pPr>
            <w:r>
              <w:rPr>
                <w:sz w:val="16"/>
              </w:rPr>
              <w:t xml:space="preserve">Ban on payments on social media (Trade Minister Regulation 31/2023, carried into Regulation 19/2026)</w:t>
            </w:r>
          </w:p>
        </w:tc>
        <w:tc>
          <w:tcPr>
            <w:tcW w:w="2701" w:type="dxa"/>
          </w:tcPr>
          <w:p>
            <w:pPr>
              <w:pStyle w:val="Compact"/>
              <w:spacing w:before="0" w:after="0" w:lineRule="exact" w:line="200"/>
              <w:jc w:val="left"/>
            </w:pPr>
            <w:r>
              <w:rPr>
                <w:sz w:val="16"/>
              </w:rPr>
              <w:t xml:space="preserve">Bars social media platforms from handling payments for sales</w:t>
            </w:r>
          </w:p>
        </w:tc>
        <w:tc>
          <w:tcPr>
            <w:tcW w:w="1421" w:type="dxa"/>
          </w:tcPr>
          <w:p>
            <w:pPr>
              <w:pStyle w:val="Compact"/>
              <w:spacing w:before="0" w:after="0" w:lineRule="exact" w:line="200"/>
              <w:jc w:val="left"/>
            </w:pPr>
            <w:r>
              <w:rPr>
                <w:sz w:val="16"/>
              </w:rPr>
              <w:t xml:space="preserve">Where online sales are paid</w:t>
            </w:r>
          </w:p>
        </w:tc>
        <w:tc>
          <w:tcPr>
            <w:tcW w:w="1000" w:type="dxa"/>
          </w:tcPr>
          <w:p>
            <w:pPr>
              <w:pStyle w:val="Compact"/>
              <w:spacing w:before="0" w:after="0" w:lineRule="exact" w:line="200"/>
              <w:jc w:val="left"/>
            </w:pPr>
            <w:r>
              <w:rPr>
                <w:sz w:val="16"/>
              </w:rPr>
              <w:t xml:space="preserve">5.9</w:t>
            </w:r>
          </w:p>
        </w:tc>
        <w:tc>
          <w:tcPr>
            <w:tcW w:w="2701" w:type="dxa"/>
          </w:tcPr>
          <w:p>
            <w:pPr>
              <w:pStyle w:val="Compact"/>
              <w:spacing w:before="0" w:after="0" w:lineRule="exact" w:line="200"/>
              <w:jc w:val="left"/>
            </w:pPr>
            <w:r>
              <w:rPr>
                <w:sz w:val="16"/>
              </w:rPr>
              <w:t xml:space="preserve">Primary text read</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rPr>
          <w:bCs/>
          <w:b/>
        </w:rPr>
        <w:t xml:space="preserve">The commission cap reaches a small part of the take rates this thesis measures.</w:t>
      </w:r>
      <w:r>
        <w:t xml:space="preserve"> </w:t>
      </w:r>
      <w:r>
        <w:t xml:space="preserve">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rPr>
          <w:bCs/>
          <w:b/>
        </w:rPr>
        <w:t xml:space="preserve">A cap on one fee does not fix the take rate, because the platform still sets its incentives.</w:t>
      </w:r>
      <w:r>
        <w:t xml:space="preserve"> </w:t>
      </w:r>
      <w:r>
        <w:t xml:space="preserve">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rPr>
          <w:bCs/>
          <w:b/>
        </w:rPr>
        <w:t xml:space="preserve">At most about 1 in 20 online sellers falls under the tax.</w:t>
      </w:r>
      <w:r>
        <w:t xml:space="preserve"> </w:t>
      </w:r>
      <w:r>
        <w:t xml:space="preserve">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rPr>
          <w:bCs/>
          <w:b/>
        </w:rPr>
        <w:t xml:space="preserve">The tax matters more for the record it creates than for the revenue it raises.</w:t>
      </w:r>
      <w:r>
        <w:t xml:space="preserve"> </w:t>
      </w:r>
      <w:r>
        <w:t xml:space="preserve">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keepNext/>
        <w:spacing w:before="140" w:after="56" w:lineRule="exact" w:line="246"/>
        <w:jc w:val="left"/>
      </w:pPr>
      <w:r>
        <w:rPr>
          <w:b/>
          <w:sz w:val="17"/>
        </w:rPr>
        <w:t>Table 6.2.</w:t>
      </w:r>
      <w:r>
        <w:rPr>
          <w:b w:val="0"/>
          <w:sz w:val="17"/>
        </w:rPr>
        <w:t xml:space="preserve"> Registered predictions on the 2026 rules</w:t>
      </w:r>
    </w:p>
    <w:p>
      <w:pPr>
        <w:pStyle w:val="BodyText"/>
        <w:keepNext/>
        <w:spacing w:before="40" w:after="70" w:lineRule="exact" w:line="220"/>
        <w:jc w:val="left"/>
      </w:pPr>
      <w:r>
        <w:rPr>
          <w:color w:val="222222"/>
          <w:sz w:val="16"/>
        </w:rPr>
        <w:t xml:space="preserve">This table lists the registered predictions on the 2026 rules. For each prediction it gives what is expected, the rule it bears on and the date it is scored. The outcome stays blank until the company or BPS releases the figure.</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1431"/>
        <w:gridCol w:w="4533"/>
        <w:gridCol w:w="2684"/>
        <w:gridCol w:w="1550"/>
      </w:tblGrid>
      <w:tr>
        <w:trPr>
          <w:tblHeader w:val="true"/>
          <w:cantSplit/>
          <w:tblHeader/>
        </w:trPr>
        <w:tc>
          <w:tcPr>
            <w:tcW w:w="1431" w:type="dxa"/>
            <w:tcBorders>
              <w:bottom w:val="single" w:sz="4" w:space="0" w:color="111111"/>
            </w:tcBorders>
          </w:tcPr>
          <w:p>
            <w:pPr>
              <w:pStyle w:val="Compact"/>
              <w:keepNext/>
              <w:spacing w:before="0" w:after="0" w:lineRule="exact" w:line="200"/>
              <w:jc w:val="left"/>
            </w:pPr>
            <w:r>
              <w:rPr>
                <w:b/>
                <w:sz w:val="16"/>
              </w:rPr>
              <w:t xml:space="preserve">Prediction</w:t>
            </w:r>
          </w:p>
        </w:tc>
        <w:tc>
          <w:tcPr>
            <w:tcW w:w="4533" w:type="dxa"/>
            <w:tcBorders>
              <w:bottom w:val="single" w:sz="4" w:space="0" w:color="111111"/>
            </w:tcBorders>
          </w:tcPr>
          <w:p>
            <w:pPr>
              <w:pStyle w:val="Compact"/>
              <w:keepNext/>
              <w:spacing w:before="0" w:after="0" w:lineRule="exact" w:line="200"/>
              <w:jc w:val="left"/>
            </w:pPr>
            <w:r>
              <w:rPr>
                <w:b/>
                <w:sz w:val="16"/>
              </w:rPr>
              <w:t xml:space="preserve">What it expects</w:t>
            </w:r>
          </w:p>
        </w:tc>
        <w:tc>
          <w:tcPr>
            <w:tcW w:w="2684" w:type="dxa"/>
            <w:tcBorders>
              <w:bottom w:val="single" w:sz="4" w:space="0" w:color="111111"/>
            </w:tcBorders>
          </w:tcPr>
          <w:p>
            <w:pPr>
              <w:pStyle w:val="Compact"/>
              <w:keepNext/>
              <w:spacing w:before="0" w:after="0" w:lineRule="exact" w:line="200"/>
              <w:jc w:val="left"/>
            </w:pPr>
            <w:r>
              <w:rPr>
                <w:b/>
                <w:sz w:val="16"/>
              </w:rPr>
              <w:t xml:space="preserve">Bears on</w:t>
            </w:r>
          </w:p>
        </w:tc>
        <w:tc>
          <w:tcPr>
            <w:tcW w:w="1550" w:type="dxa"/>
            <w:tcBorders>
              <w:bottom w:val="single" w:sz="4" w:space="0" w:color="111111"/>
            </w:tcBorders>
          </w:tcPr>
          <w:p>
            <w:pPr>
              <w:pStyle w:val="Compact"/>
              <w:keepNext/>
              <w:spacing w:before="0" w:after="0" w:lineRule="exact" w:line="200"/>
              <w:jc w:val="left"/>
            </w:pPr>
            <w:r>
              <w:rPr>
                <w:b/>
                <w:sz w:val="16"/>
              </w:rPr>
              <w:t xml:space="preserve">Scored</w:t>
            </w:r>
          </w:p>
        </w:tc>
      </w:tr>
      <w:tr>
        <w:trPr>
          <w:cantSplit/>
        </w:trPr>
        <w:tc>
          <w:tcPr>
            <w:tcW w:w="1431" w:type="dxa"/>
          </w:tcPr>
          <w:p>
            <w:pPr>
              <w:pStyle w:val="Compact"/>
              <w:keepNext/>
              <w:spacing w:before="0" w:after="0" w:lineRule="exact" w:line="200"/>
              <w:jc w:val="left"/>
            </w:pPr>
            <w:r>
              <w:rPr>
                <w:sz w:val="16"/>
              </w:rPr>
              <w:t xml:space="preserve">P1</w:t>
            </w:r>
          </w:p>
        </w:tc>
        <w:tc>
          <w:tcPr>
            <w:tcW w:w="4533" w:type="dxa"/>
          </w:tcPr>
          <w:p>
            <w:pPr>
              <w:pStyle w:val="Compact"/>
              <w:keepNext/>
              <w:spacing w:before="0" w:after="0" w:lineRule="exact" w:line="200"/>
              <w:jc w:val="left"/>
            </w:pPr>
            <w:r>
              <w:rPr>
                <w:sz w:val="16"/>
              </w:rPr>
              <w:t xml:space="preserve">GoTo’s on-demand take rate falls by 0.3 to 2.5 points from the second quarter of 2026</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P3</w:t>
            </w:r>
          </w:p>
        </w:tc>
        <w:tc>
          <w:tcPr>
            <w:tcW w:w="4533" w:type="dxa"/>
          </w:tcPr>
          <w:p>
            <w:pPr>
              <w:pStyle w:val="Compact"/>
              <w:keepNext/>
              <w:spacing w:before="0" w:after="0" w:lineRule="exact" w:line="200"/>
              <w:jc w:val="left"/>
            </w:pPr>
            <w:r>
              <w:rPr>
                <w:sz w:val="16"/>
              </w:rPr>
              <w:t xml:space="preserve">GoTo’s on-demand transaction value grows by 0 to 12 percent on a year earlier</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P5</w:t>
            </w:r>
          </w:p>
        </w:tc>
        <w:tc>
          <w:tcPr>
            <w:tcW w:w="4533" w:type="dxa"/>
          </w:tcPr>
          <w:p>
            <w:pPr>
              <w:pStyle w:val="Compact"/>
              <w:keepNext/>
              <w:spacing w:before="0" w:after="0" w:lineRule="exact" w:line="200"/>
              <w:jc w:val="left"/>
            </w:pPr>
            <w:r>
              <w:rPr>
                <w:sz w:val="16"/>
              </w:rPr>
              <w:t xml:space="preserve">GoTo’s on-demand transaction value grows by at least 5 percent; the prediction fails only below 2 percent</w:t>
            </w:r>
          </w:p>
        </w:tc>
        <w:tc>
          <w:tcPr>
            <w:tcW w:w="2684" w:type="dxa"/>
          </w:tcPr>
          <w:p>
            <w:pPr>
              <w:pStyle w:val="Compact"/>
              <w:keepNext/>
              <w:spacing w:before="0" w:after="0" w:lineRule="exact" w:line="200"/>
              <w:jc w:val="left"/>
            </w:pPr>
            <w:r>
              <w:rPr>
                <w:sz w:val="16"/>
              </w:rPr>
              <w:t xml:space="preserve">Commission cap, with spending on growth</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R1</w:t>
            </w:r>
          </w:p>
        </w:tc>
        <w:tc>
          <w:tcPr>
            <w:tcW w:w="4533" w:type="dxa"/>
          </w:tcPr>
          <w:p>
            <w:pPr>
              <w:pStyle w:val="Compact"/>
              <w:keepNext/>
              <w:spacing w:before="0" w:after="0" w:lineRule="exact" w:line="200"/>
              <w:jc w:val="left"/>
            </w:pPr>
            <w:r>
              <w:rPr>
                <w:sz w:val="16"/>
              </w:rPr>
              <w:t xml:space="preserve">GoTo’s on-demand revenue growth less transaction value growth lies between −0.5 and +12.5 points; it follows from P1 and P3</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R2</w:t>
            </w:r>
          </w:p>
        </w:tc>
        <w:tc>
          <w:tcPr>
            <w:tcW w:w="4533" w:type="dxa"/>
          </w:tcPr>
          <w:p>
            <w:pPr>
              <w:pStyle w:val="Compact"/>
              <w:keepNext/>
              <w:spacing w:before="0" w:after="0" w:lineRule="exact" w:line="200"/>
              <w:jc w:val="left"/>
            </w:pPr>
            <w:r>
              <w:rPr>
                <w:sz w:val="16"/>
              </w:rPr>
              <w:t xml:space="preserve">GoTo’s on-demand transaction value grows more slowly than household spending</w:t>
            </w:r>
          </w:p>
        </w:tc>
        <w:tc>
          <w:tcPr>
            <w:tcW w:w="2684" w:type="dxa"/>
          </w:tcPr>
          <w:p>
            <w:pPr>
              <w:pStyle w:val="Compact"/>
              <w:keepNext/>
              <w:spacing w:before="0" w:after="0" w:lineRule="exact" w:line="200"/>
              <w:jc w:val="left"/>
            </w:pPr>
            <w:r>
              <w:rPr>
                <w:sz w:val="16"/>
              </w:rPr>
              <w:t xml:space="preserve">Buying through platforms</w:t>
            </w:r>
          </w:p>
        </w:tc>
        <w:tc>
          <w:tcPr>
            <w:tcW w:w="1550" w:type="dxa"/>
          </w:tcPr>
          <w:p>
            <w:pPr>
              <w:pStyle w:val="Compact"/>
              <w:keepNext/>
              <w:spacing w:before="0" w:after="0" w:lineRule="exact" w:line="200"/>
              <w:jc w:val="left"/>
            </w:pPr>
            <w:r>
              <w:rPr>
                <w:sz w:val="16"/>
              </w:rPr>
              <w:t xml:space="preserve">Early November 2026</w:t>
            </w:r>
          </w:p>
        </w:tc>
      </w:tr>
      <w:tr>
        <w:trPr>
          <w:cantSplit/>
        </w:trPr>
        <w:tc>
          <w:tcPr>
            <w:tcW w:w="1431" w:type="dxa"/>
          </w:tcPr>
          <w:p>
            <w:pPr>
              <w:pStyle w:val="Compact"/>
              <w:keepNext/>
              <w:spacing w:before="0" w:after="0" w:lineRule="exact" w:line="200"/>
              <w:jc w:val="left"/>
            </w:pPr>
            <w:r>
              <w:rPr>
                <w:sz w:val="16"/>
              </w:rPr>
              <w:t xml:space="preserve">P2</w:t>
            </w:r>
          </w:p>
        </w:tc>
        <w:tc>
          <w:tcPr>
            <w:tcW w:w="4533" w:type="dxa"/>
          </w:tcPr>
          <w:p>
            <w:pPr>
              <w:pStyle w:val="Compact"/>
              <w:keepNext/>
              <w:spacing w:before="0" w:after="0" w:lineRule="exact" w:line="200"/>
              <w:jc w:val="left"/>
            </w:pPr>
            <w:r>
              <w:rPr>
                <w:sz w:val="16"/>
              </w:rPr>
              <w:t xml:space="preserve">Grab’s on-demand take rate stays within −0.6 to +0.4 points of the second quarter</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Mid-November 2026</w:t>
            </w:r>
          </w:p>
        </w:tc>
      </w:tr>
      <w:tr>
        <w:trPr>
          <w:cantSplit/>
        </w:trPr>
        <w:tc>
          <w:tcPr>
            <w:tcW w:w="1431" w:type="dxa"/>
          </w:tcPr>
          <w:p>
            <w:pPr>
              <w:pStyle w:val="Compact"/>
              <w:keepNext/>
              <w:spacing w:before="0" w:after="0" w:lineRule="exact" w:line="200"/>
              <w:jc w:val="left"/>
            </w:pPr>
            <w:r>
              <w:rPr>
                <w:sz w:val="16"/>
              </w:rPr>
              <w:t xml:space="preserve">P4</w:t>
            </w:r>
          </w:p>
        </w:tc>
        <w:tc>
          <w:tcPr>
            <w:tcW w:w="4533" w:type="dxa"/>
          </w:tcPr>
          <w:p>
            <w:pPr>
              <w:pStyle w:val="Compact"/>
              <w:keepNext/>
              <w:spacing w:before="0" w:after="0" w:lineRule="exact" w:line="200"/>
              <w:jc w:val="left"/>
            </w:pPr>
            <w:r>
              <w:rPr>
                <w:sz w:val="16"/>
              </w:rPr>
              <w:t xml:space="preserve">Grab’s change in the rides take rate, less its change in the deliveries take rate, is at most +0.3 points</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Mid-November 2026</w:t>
            </w:r>
          </w:p>
        </w:tc>
      </w:tr>
      <w:tr>
        <w:trPr>
          <w:cantSplit/>
        </w:trPr>
        <w:tc>
          <w:tcPr>
            <w:tcW w:w="1431" w:type="dxa"/>
          </w:tcPr>
          <w:p>
            <w:pPr>
              <w:pStyle w:val="Compact"/>
              <w:keepNext/>
              <w:spacing w:before="0" w:after="0" w:lineRule="exact" w:line="200"/>
              <w:jc w:val="left"/>
            </w:pPr>
            <w:r>
              <w:rPr>
                <w:sz w:val="16"/>
              </w:rPr>
              <w:t xml:space="preserve">R3</w:t>
            </w:r>
          </w:p>
        </w:tc>
        <w:tc>
          <w:tcPr>
            <w:tcW w:w="4533" w:type="dxa"/>
          </w:tcPr>
          <w:p>
            <w:pPr>
              <w:pStyle w:val="Compact"/>
              <w:keepNext/>
              <w:spacing w:before="0" w:after="0" w:lineRule="exact" w:line="200"/>
              <w:jc w:val="left"/>
            </w:pPr>
            <w:r>
              <w:rPr>
                <w:sz w:val="16"/>
              </w:rPr>
              <w:t xml:space="preserve">Shopee’s revenue growth less its transaction value growth is at least +10 points</w:t>
            </w:r>
          </w:p>
        </w:tc>
        <w:tc>
          <w:tcPr>
            <w:tcW w:w="2684" w:type="dxa"/>
          </w:tcPr>
          <w:p>
            <w:pPr>
              <w:pStyle w:val="Compact"/>
              <w:keepNext/>
              <w:spacing w:before="0" w:after="0" w:lineRule="exact" w:line="200"/>
              <w:jc w:val="left"/>
            </w:pPr>
            <w:r>
              <w:rPr>
                <w:sz w:val="16"/>
              </w:rPr>
              <w:t xml:space="preserve">Marketplace fees</w:t>
            </w:r>
          </w:p>
        </w:tc>
        <w:tc>
          <w:tcPr>
            <w:tcW w:w="1550" w:type="dxa"/>
          </w:tcPr>
          <w:p>
            <w:pPr>
              <w:pStyle w:val="Compact"/>
              <w:keepNext/>
              <w:spacing w:before="0" w:after="0" w:lineRule="exact" w:line="200"/>
              <w:jc w:val="left"/>
            </w:pPr>
            <w:r>
              <w:rPr>
                <w:sz w:val="16"/>
              </w:rPr>
              <w:t xml:space="preserve">Mid-November 2026</w:t>
            </w:r>
          </w:p>
        </w:tc>
      </w:tr>
      <w:tr>
        <w:trPr>
          <w:cantSplit/>
        </w:trPr>
        <w:tc>
          <w:tcPr>
            <w:tcW w:w="1431" w:type="dxa"/>
          </w:tcPr>
          <w:p>
            <w:pPr>
              <w:pStyle w:val="Compact"/>
              <w:spacing w:before="0" w:after="0" w:lineRule="exact" w:line="200"/>
              <w:jc w:val="left"/>
            </w:pPr>
            <w:r>
              <w:rPr>
                <w:sz w:val="16"/>
              </w:rPr>
              <w:t xml:space="preserve">Marketplace share</w:t>
            </w:r>
          </w:p>
        </w:tc>
        <w:tc>
          <w:tcPr>
            <w:tcW w:w="4533" w:type="dxa"/>
          </w:tcPr>
          <w:p>
            <w:pPr>
              <w:pStyle w:val="Compact"/>
              <w:spacing w:before="0" w:after="0" w:lineRule="exact" w:line="200"/>
              <w:jc w:val="left"/>
            </w:pPr>
            <w:r>
              <w:rPr>
                <w:sz w:val="16"/>
              </w:rPr>
              <w:t xml:space="preserve">BPS’s next marketplace share of online sales value is at most 15.79 percent</w:t>
            </w:r>
          </w:p>
        </w:tc>
        <w:tc>
          <w:tcPr>
            <w:tcW w:w="2684" w:type="dxa"/>
          </w:tcPr>
          <w:p>
            <w:pPr>
              <w:pStyle w:val="Compact"/>
              <w:spacing w:before="0" w:after="0" w:lineRule="exact" w:line="200"/>
              <w:jc w:val="left"/>
            </w:pPr>
            <w:r>
              <w:rPr>
                <w:sz w:val="16"/>
              </w:rPr>
              <w:t xml:space="preserve">Reach of marketplace rules</w:t>
            </w:r>
          </w:p>
        </w:tc>
        <w:tc>
          <w:tcPr>
            <w:tcW w:w="1550" w:type="dxa"/>
          </w:tcPr>
          <w:p>
            <w:pPr>
              <w:pStyle w:val="Compact"/>
              <w:spacing w:before="0" w:after="0" w:lineRule="exact" w:line="200"/>
              <w:jc w:val="left"/>
            </w:pPr>
            <w:r>
              <w:rPr>
                <w:sz w:val="16"/>
              </w:rPr>
              <w:t xml:space="preserve">Next BPS release</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w:t>
      </w:r>
      <w:r>
        <w:t xml:space="preserve"> </w:t>
      </w:r>
      <w:r>
        <w:rPr>
          <w:bCs/>
          <w:b/>
        </w:rPr>
        <w:t xml:space="preserve">Every one of these rules reaches only the sales that pass through a platform.</w:t>
      </w:r>
      <w:r>
        <w:t xml:space="preserve"> </w:t>
      </w:r>
      <w:r>
        <w:t xml:space="preserve">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rPr>
          <w:bCs/>
          <w:b/>
        </w:rPr>
        <w:t xml:space="preserve">Each figure of Indonesia’s online economy is a fair guide to another only while a condition holds.</w:t>
      </w:r>
      <w:r>
        <w:t xml:space="preserve"> </w:t>
      </w:r>
      <w:r>
        <w:t xml:space="preserve">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w:t>
      </w:r>
      <w:r>
        <w:t xml:space="preserve"> </w:t>
      </w:r>
      <w:r>
        <w:rPr>
          <w:bCs/>
          <w:b/>
        </w:rPr>
        <w:t xml:space="preserve">The answer to the first half is that most of the activity remains outside revenue.</w:t>
      </w:r>
      <w:r>
        <w:t xml:space="preserve"> </w:t>
      </w:r>
      <w:r>
        <w:t xml:space="preserve">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rPr>
          <w:bCs/>
          <w:b/>
        </w:rPr>
        <w:t xml:space="preserve">The answer to the second half differs by link.</w:t>
      </w:r>
      <w:r>
        <w:t xml:space="preserve"> </w:t>
      </w:r>
      <w:r>
        <w:t xml:space="preserve">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rPr>
          <w:bCs/>
          <w:b/>
        </w:rPr>
        <w:t xml:space="preserve">On the outer link, H2 holds on BPS’s published figures: more businesses account for most of the growth in online sales value.</w:t>
      </w:r>
      <w:r>
        <w:t xml:space="preserve"> </w:t>
      </w:r>
      <w:r>
        <w:t xml:space="preserve">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rPr>
          <w:bCs/>
          <w:b/>
        </w:rPr>
        <w:t xml:space="preserve">Several registered predictions failed, and the failures are part of the answer.</w:t>
      </w:r>
      <w:r>
        <w:t xml:space="preserve"> </w:t>
      </w:r>
      <w:r>
        <w:t xml:space="preserve">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rPr>
          <w:bCs/>
          <w:b/>
        </w:rPr>
        <w:t xml:space="preserve">The invisible wedge is the part of each sale that a platform passes on to sellers, drivers and others.</w:t>
      </w:r>
      <w:r>
        <w:t xml:space="preserve"> </w:t>
      </w:r>
      <w:r>
        <w:rPr>
          <w:bCs/>
          <w:b/>
        </w:rPr>
        <w:t xml:space="preserve">It is not missing output, unrecorded income or unpaid tax.</w:t>
      </w:r>
      <w:r>
        <w:t xml:space="preserve"> </w:t>
      </w:r>
      <w:r>
        <w:t xml:space="preserve">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5.4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w:t>
      </w:r>
      <w:r>
        <w:t xml:space="preserve"> </w:t>
      </w:r>
      <w:r>
        <w:rPr>
          <w:bCs/>
          <w:b/>
        </w:rPr>
        <w:t xml:space="preserve">A reader who asks which of those happened can still use all three.</w:t>
      </w:r>
    </w:p>
    <w:bookmarkEnd w:id="89"/>
    <w:bookmarkEnd w:id="90"/>
    <w:sectPr>
      <w:footerReference r:id="rId9" w:type="default"/>
      <w:pgSz w:h="16838" w:w="11906"/>
      <w:pgMar w:bottom="794" w:footer="340" w:left="850" w:right="850"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ource Serif 4">
    <w:altName w:val="Cambria"/>
    <w:charset w:val="00"/>
    <w:family w:val="roman"/>
    <w:pitch w:val="variable"/>
    <w:embedRegular r:id="rIdF1" w:fontKey="{DFFAE58F-73A3-497A-A7DF-71B8367E7DD7}"/>
    <w:embedBold r:id="rIdF2" w:fontKey="{FAAC04A4-89FC-4556-90E6-2207EC4C4272}"/>
    <w:embedItalic r:id="rIdF3" w:fontKey="{A7861A3A-D4CE-4D07-8B2F-E6C48EBF53B7}"/>
    <w:embedBoldItalic r:id="rIdF4" w:fontKey="{13F2D705-74BF-4E5A-9F99-6EB1D6D49FA9}"/>
  </w:font>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urce Serif 4" w:hAnsi="Source Serif 4"/>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TrueTypeFonts/>
  <w:saveSubsetFonts/>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78" w:before="0" w:line="242" w:lineRule="exact"/>
      <w:jc w:val="both"/>
    </w:pPr>
    <w:rPr>
      <w:rFonts w:ascii="Source Serif 4" w:cs="Source Serif 4" w:eastAsia="Source Serif 4" w:hAnsi="Source Serif 4"/>
      <w:color w:val="111111"/>
      <w:sz w:val="18"/>
    </w:rPr>
  </w:style>
  <w:style w:styleId="BodyText" w:type="paragraph">
    <w:name w:val="Body Text"/>
    <w:basedOn w:val="Normal"/>
    <w:link w:val="BodyTextChar"/>
    <w:pPr>
      <w:spacing w:after="78" w:before="0" w:line="242" w:lineRule="exact"/>
      <w:jc w:val="both"/>
    </w:pPr>
    <w:qFormat/>
    <w:rPr>
      <w:rFonts w:ascii="Source Serif 4" w:cs="Source Serif 4" w:eastAsia="Source Serif 4" w:hAnsi="Source Serif 4"/>
      <w:color w:val="111111"/>
      <w:sz w:val="18"/>
    </w:rPr>
  </w:style>
  <w:style w:customStyle="1" w:styleId="FirstParagraph" w:type="paragraph">
    <w:name w:val="First Paragraph"/>
    <w:basedOn w:val="BodyText"/>
    <w:next w:val="BodyText"/>
    <w:qFormat/>
    <w:pPr>
      <w:spacing w:after="78" w:before="0" w:line="242" w:lineRule="exact"/>
      <w:jc w:val="both"/>
    </w:pPr>
    <w:rPr>
      <w:rFonts w:ascii="Source Serif 4" w:cs="Source Serif 4" w:eastAsia="Source Serif 4" w:hAnsi="Source Serif 4"/>
      <w:color w:val="111111"/>
      <w:sz w:val="18"/>
    </w:rPr>
  </w:style>
  <w:style w:customStyle="1" w:styleId="Compact" w:type="paragraph">
    <w:name w:val="Compact"/>
    <w:basedOn w:val="BodyText"/>
    <w:qFormat/>
    <w:pPr>
      <w:spacing w:after="20" w:before="0" w:line="242" w:lineRule="exact"/>
      <w:jc w:val="left"/>
    </w:pPr>
    <w:rPr>
      <w:rFonts w:ascii="Source Serif 4" w:cs="Source Serif 4" w:eastAsia="Source Serif 4" w:hAnsi="Source Serif 4"/>
      <w:color w:val="111111"/>
      <w:sz w:val="18"/>
    </w:rPr>
  </w:style>
  <w:style w:styleId="Title" w:type="paragraph">
    <w:name w:val="Title"/>
    <w:basedOn w:val="Normal"/>
    <w:next w:val="BodyText"/>
    <w:qFormat/>
    <w:pPr>
      <w:keepNext/>
      <w:keepLines/>
      <w:spacing w:after="56" w:before="0" w:line="312" w:lineRule="exact"/>
      <w:jc w:val="left"/>
    </w:pPr>
    <w:rPr>
      <w:rFonts w:ascii="Source Serif 4" w:cs="Source Serif 4" w:eastAsia="Source Serif 4" w:hAnsi="Source Serif 4"/>
      <w:b/>
      <w:bCs/>
      <w:color w:val="111111"/>
      <w:sz w:val="24"/>
      <w:szCs w:val="36"/>
    </w:rPr>
  </w:style>
  <w:style w:styleId="Subtitle" w:type="paragraph">
    <w:name w:val="Subtitle"/>
    <w:basedOn w:val="Title"/>
    <w:next w:val="BodyText"/>
    <w:qFormat/>
    <w:pPr>
      <w:keepNext/>
      <w:keepLines/>
      <w:spacing w:after="220" w:before="0" w:line="232" w:lineRule="exact"/>
      <w:jc w:val="left"/>
      <w:pBdr>
        <w:bottom w:color="999999" w:space="6" w:sz="6" w:val="single"/>
      </w:pBdr>
    </w:pPr>
    <w:rPr>
      <w:rFonts w:ascii="Source Serif 4" w:cs="Source Serif 4" w:eastAsia="Source Serif 4" w:hAnsi="Source Serif 4"/>
      <w:b w:val="0"/>
      <w:i/>
      <w:color w:val="111111"/>
      <w:sz w:val="18"/>
      <w:szCs w:val="30"/>
    </w:rPr>
  </w:style>
  <w:style w:customStyle="1" w:styleId="Author" w:type="paragraph">
    <w:name w:val="Author"/>
    <w:next w:val="BodyText"/>
    <w:qFormat/>
    <w:pPr>
      <w:keepNext/>
      <w:keepLines/>
      <w:spacing w:after="20" w:before="0" w:line="232" w:lineRule="exact"/>
      <w:jc w:val="left"/>
    </w:pPr>
    <w:rPr>
      <w:rFonts w:ascii="Source Serif 4" w:cs="Source Serif 4" w:eastAsia="Source Serif 4" w:hAnsi="Source Serif 4"/>
      <w:color w:val="111111"/>
      <w:sz w:val="18"/>
    </w:rPr>
  </w:style>
  <w:style w:styleId="Date" w:type="paragraph">
    <w:name w:val="Date"/>
    <w:next w:val="BodyText"/>
    <w:qFormat/>
    <w:pPr>
      <w:keepNext/>
      <w:keepLines/>
      <w:spacing w:after="20" w:before="0" w:line="232" w:lineRule="exact"/>
      <w:jc w:val="left"/>
    </w:pPr>
    <w:rPr>
      <w:rFonts w:ascii="Source Serif 4" w:cs="Source Serif 4" w:eastAsia="Source Serif 4" w:hAnsi="Source Serif 4"/>
      <w:color w:val="111111"/>
      <w:sz w:val="18"/>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70" w:before="396" w:line="352" w:lineRule="exact"/>
      <w:jc w:val="left"/>
      <w:outlineLvl w:val="0"/>
    </w:pPr>
    <w:rPr>
      <w:rFonts w:ascii="Source Serif 4" w:cs="Source Serif 4" w:eastAsia="Source Serif 4" w:hAnsi="Source Serif 4"/>
      <w:b/>
      <w:bCs/>
      <w:i w:val="0"/>
      <w:color w:val="111111"/>
      <w:sz w:val="27"/>
      <w:szCs w:val="32"/>
    </w:rPr>
  </w:style>
  <w:style w:styleId="Heading2" w:type="paragraph">
    <w:name w:val="Heading 2"/>
    <w:basedOn w:val="Normal"/>
    <w:next w:val="BodyText"/>
    <w:uiPriority w:val="9"/>
    <w:unhideWhenUsed/>
    <w:qFormat/>
    <w:pPr>
      <w:keepNext/>
      <w:keepLines/>
      <w:spacing w:after="56" w:before="226" w:line="272" w:lineRule="exact"/>
      <w:jc w:val="left"/>
      <w:outlineLvl w:val="1"/>
    </w:pPr>
    <w:rPr>
      <w:rFonts w:ascii="Source Serif 4" w:cs="Source Serif 4" w:eastAsia="Source Serif 4" w:hAnsi="Source Serif 4"/>
      <w:b/>
      <w:bCs/>
      <w:i w:val="0"/>
      <w:color w:val="111111"/>
      <w:sz w:val="21"/>
      <w:szCs w:val="28"/>
    </w:rPr>
  </w:style>
  <w:style w:styleId="Heading3" w:type="paragraph">
    <w:name w:val="Heading 3"/>
    <w:basedOn w:val="Normal"/>
    <w:next w:val="BodyText"/>
    <w:uiPriority w:val="9"/>
    <w:unhideWhenUsed/>
    <w:qFormat/>
    <w:pPr>
      <w:keepNext/>
      <w:keepLines/>
      <w:spacing w:after="56" w:before="170" w:line="246" w:lineRule="exact"/>
      <w:jc w:val="left"/>
      <w:outlineLvl w:val="2"/>
    </w:pPr>
    <w:rPr>
      <w:rFonts w:ascii="Source Serif 4" w:cs="Source Serif 4" w:eastAsia="Source Serif 4" w:hAnsi="Source Serif 4"/>
      <w:b/>
      <w:bCs/>
      <w:i/>
      <w:color w:val="111111"/>
      <w:sz w:val="19"/>
      <w:szCs w:val="24"/>
    </w:rPr>
  </w:style>
  <w:style w:styleId="Heading4" w:type="paragraph">
    <w:name w:val="Heading 4"/>
    <w:basedOn w:val="Normal"/>
    <w:next w:val="BodyText"/>
    <w:uiPriority w:val="9"/>
    <w:unhideWhenUsed/>
    <w:qFormat/>
    <w:pPr>
      <w:keepNext/>
      <w:keepLines/>
      <w:spacing w:after="40" w:before="120" w:line="242" w:lineRule="exact"/>
      <w:jc w:val="left"/>
      <w:outlineLvl w:val="3"/>
    </w:pPr>
    <w:rPr>
      <w:rFonts w:ascii="Source Serif 4" w:cs="Source Serif 4" w:eastAsia="Source Serif 4" w:hAnsi="Source Serif 4"/>
      <w:i w:val="0"/>
      <w:b/>
      <w:bCs/>
      <w:color w:val="111111"/>
      <w:sz w:val="18"/>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14" w:before="86" w:line="242" w:lineRule="exact"/>
      <w:ind w:firstLine="0" w:left="454" w:right="454"/>
      <w:jc w:val="left"/>
    </w:pPr>
    <w:rPr>
      <w:rFonts w:ascii="Source Serif 4" w:cs="Source Serif 4" w:eastAsia="Source Serif 4" w:hAnsi="Source Serif 4"/>
      <w:color w:val="111111"/>
      <w:sz w:val="18"/>
    </w:rPr>
  </w:style>
  <w:style w:styleId="FootnoteText" w:type="paragraph">
    <w:name w:val="Footnote Text"/>
    <w:basedOn w:val="Normal"/>
    <w:next w:val="FootnoteText"/>
    <w:uiPriority w:val="9"/>
    <w:unhideWhenUsed/>
    <w:qFormat/>
    <w:pPr>
      <w:spacing w:after="20" w:before="0" w:line="216" w:lineRule="exact"/>
      <w:jc w:val="left"/>
    </w:pPr>
    <w:rPr>
      <w:rFonts w:ascii="Source Serif 4" w:cs="Source Serif 4" w:eastAsia="Source Serif 4" w:hAnsi="Source Serif 4"/>
      <w:color w:val="111111"/>
      <w:sz w:val="16"/>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56" w:before="140" w:line="246" w:lineRule="exact"/>
      <w:jc w:val="left"/>
    </w:pPr>
    <w:rPr>
      <w:rFonts w:ascii="Source Serif 4" w:cs="Source Serif 4" w:eastAsia="Source Serif 4" w:hAnsi="Source Serif 4"/>
      <w:b w:val="0"/>
      <w:i w:val="0"/>
      <w:color w:val="111111"/>
      <w:sz w:val="17"/>
    </w:rPr>
  </w:style>
  <w:style w:customStyle="1" w:styleId="TableCaption" w:type="paragraph">
    <w:name w:val="Table Caption"/>
    <w:basedOn w:val="Caption"/>
    <w:pPr>
      <w:keepNext/>
      <w:spacing w:after="56" w:before="140" w:line="246" w:lineRule="exact"/>
      <w:jc w:val="left"/>
    </w:pPr>
    <w:rPr>
      <w:rFonts w:ascii="Source Serif 4" w:cs="Source Serif 4" w:eastAsia="Source Serif 4" w:hAnsi="Source Serif 4"/>
      <w:b w:val="0"/>
      <w:i w:val="0"/>
      <w:color w:val="111111"/>
      <w:sz w:val="17"/>
    </w:rPr>
  </w:style>
  <w:style w:customStyle="1" w:styleId="ImageCaption" w:type="paragraph">
    <w:name w:val="Image Caption"/>
    <w:basedOn w:val="Caption"/>
    <w:pPr>
      <w:spacing w:after="56" w:before="140" w:line="246" w:lineRule="exact"/>
      <w:jc w:val="left"/>
    </w:pPr>
    <w:rPr>
      <w:rFonts w:ascii="Source Serif 4" w:cs="Source Serif 4" w:eastAsia="Source Serif 4" w:hAnsi="Source Serif 4"/>
      <w:b w:val="0"/>
      <w:i w:val="0"/>
      <w:color w:val="111111"/>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quation" w:type="paragraph">
    <w:name w:val="Equation"/>
    <w:basedOn w:val="Normal"/>
    <w:pPr>
      <w:keepLines/>
      <w:tabs>
        <w:tab w:pos="5102" w:val="center"/>
        <w:tab w:pos="10205" w:val="right"/>
      </w:tabs>
      <w:spacing w:after="114" w:before="86" w:line="246" w:lineRule="exact"/>
      <w:jc w:val="left"/>
    </w:pPr>
    <w:rPr>
      <w:rFonts w:ascii="Source Serif 4" w:cs="Source Serif 4" w:eastAsia="Source Serif 4" w:hAnsi="Source Serif 4"/>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0" Type="http://schemas.openxmlformats.org/officeDocument/2006/relationships/image" Target="media/rId30.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8" Type="http://schemas.openxmlformats.org/officeDocument/2006/relationships/image" Target="media/rId68.png"/><Relationship Id="rId72" Type="http://schemas.openxmlformats.org/officeDocument/2006/relationships/image" Target="media/rId72.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
  <dc:language>en</dc:language>
  <cp:keywords/>
  <dcterms:created xsi:type="dcterms:W3CDTF">2026-10-25T15:50:02Z</dcterms:created>
  <dcterms:modified xsi:type="dcterms:W3CDTF">2026-10-25T15:50:02Z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Master’s thesis, condensed version</vt:lpwstr>
  </property>
</Properties>
</file>