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pPr>
      <w:r>
        <w:t xml:space="preserve">In 2023, three major platforms kept about US$3 billion of the US$43 billion that passed through them. Abroad, revenue grew in proportion to transaction value. In Indonesia and the region it did not: platforms changed the share of each sale they kept 3.6 times as much as 27 platforms abroad, mostly between 2022 and 2024, so that hypothesis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4" w:name="chapter-1.-introduction"/>
    <w:p>
      <w:pPr>
        <w:pStyle w:val="Heading1"/>
      </w:pPr>
      <w:r>
        <w:t xml:space="preserve">Chapter 1. Introduction</w:t>
      </w:r>
    </w:p>
    <w:p>
      <w:pPr>
        <w:pStyle w:val="FirstParagraph"/>
      </w:pPr>
      <w:r>
        <w:t xml:space="preserve">Over the past decade, digital commerce has changed how goods and services are bought and sold. A growing part of it passes through platforms, such as online marketplaces and ride-hailing and delivery apps. Investors value platforms largely on their reported growth, and governments use the same figures to size their digital economies and to tax online sellers. The trade is large: businesses in 43 economies sold almost US$27 trillion online in 2022, by the estimate of the United Nations Conference on Trade and Development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its take rate, is a pricing choice rather than a fixed number (Rochet and Tirole 2003), so revenue can grow even when the commerce it carries falls. National figures face a similar problem, because a survey can reach more, or different, businesses from one year to the next.</w:t>
      </w:r>
    </w:p>
    <w:p>
      <w:pPr>
        <w:pStyle w:val="BodyText"/>
      </w:pPr>
      <w:r>
        <w:t xml:space="preserve">Indonesia in 2023 offers a striking example, as its figures moved away from the commerce they stand for. Tokopedia, one of Indonesia’s largest online marketplaces, saw its net revenue rise by 53 percent. Yet its transaction value, the value of what was bought through the platform, fell by 9 percent (GoTo Gojek Tokopedia 2024a, 2024b). Nationally, Badan Pusat Statistik (BPS), Indonesia’s national statistics agency, reported that online sales rose by about 41 percent (BPS 2025a), while the central bank’s measure of online shopping fell by about 5 percent (Bank Indonesia 2023; KabarBursa 2024). Depending on which figure one reads, 2023 was either a boom or a stall.</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 it is the value that passes through a platform to sellers, drivers and others without appearing in the platform’s revenue.</w:t>
      </w:r>
    </w:p>
    <w:p>
      <w:pPr>
        <w:pStyle w:val="BodyText"/>
      </w:pPr>
      <w:r>
        <w:t xml:space="preserve">Research explains why platform revenue and national sales figures can differ. However,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There are three reasons why this thesis focuses on Indonesia. First, Indonesia allows the question to be tested. Several platforms report revenue and transaction value each year, and BPS asks online sellers when they began and how their sales changed. Second, the two sources already differ on scale, probably because they cover different sellers: for 2024, BPS gives about US$81 billion for online sales and the central bank about US$31 billion (BPS 2025b; Bank Indonesia 2025). Third, new rules on platform commissions, discounts and tax act directly on these figures, so the evidence bears on how far those rules can reach.</w:t>
      </w:r>
    </w:p>
    <w:p>
      <w:pPr>
        <w:pStyle w:val="BodyText"/>
      </w:pPr>
      <w:r>
        <w:t xml:space="preserve">Platform and survey figures are also likely to disagree, because most online sellers work through messaging and social media, outside the marketplaces.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 two did disagree.</w:t>
      </w:r>
    </w:p>
    <w:bookmarkStart w:id="21" w:name="research-question-and-objectives"/>
    <w:p>
      <w:pPr>
        <w:pStyle w:val="Heading2"/>
      </w:pPr>
      <w:r>
        <w:t xml:space="preserve">1.1 Research question and objectives</w:t>
      </w:r>
    </w:p>
    <w:p>
      <w:pPr>
        <w:pStyle w:val="FirstParagraph"/>
      </w:pPr>
      <w:r>
        <w:t xml:space="preserve">This thesis examines how the digital economy is measured. Most online commerce is missing from the platform figures on which companies are valued and sellers are taxed, and millions of the people who sell online are outside those figures altogether. Decisions on valuation, statistics and tax rest on numbers that show only a fraction of the activity they are taken to describe. This thesis aims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Further analyses test whether a rise in the count of online sellers comes from sellers entering for the first time, and estimate how many sellers a rule built on platform records can reach.</w:t>
      </w:r>
    </w:p>
    <w:p>
      <w:pPr>
        <w:pStyle w:val="BodyText"/>
      </w:pPr>
      <w:r>
        <w:t xml:space="preserve">The analysis begins by measuring the invisible wedge. In 2023, three major platforms in Indonesia kept about US$3 billion of the US$43 billion that passed through them, so revenue shows only a small part of the commerce platforms carry, and marketplaces carry only about a fifth of online sales value in BPS’s survey. The thesis then tests H1. In Indonesia, platform revenue grew faster than the commerce behind it, mainly because platforms kept a larger share of each sale, not because buyers bought more: Indonesian and regional platforms changed their take rates more than three times as much as 27 platforms abroad. Next, the thesis turns to the national figures. National growth came mainly from more sellers, as H2 states. But the registered entry test fails, and about half of the 2023 rise in the count of sellers is not explained by first-time entry. Finally, the thesis finds that the new marketplace tax can collect from at most about 1 in 20 online sellers.</w:t>
      </w:r>
    </w:p>
    <w:bookmarkEnd w:id="21"/>
    <w:bookmarkStart w:id="22"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First, 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Platform economics explains why the share a platform keeps can move (Rochet and Tirole 2003; Armstrong 2006), but not how far it moves in practice.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Second, for statistics offices, the thesis shows where the commerce outside the platforms sits and tests what a rise in the count of online sellers represents. A change in survey design can create a break that looks like real change (van den Brakel, Smith and Compton 2008), and published totals cannot tell the two apart. Most online sellers are small businesses that keep no financial statements. Each reports the year it began selling online, so the survey shows how much of a rise is first-time entry. The test was specified before the survey files were opened, and it can be repeated on any survey that asks the same question.</w:t>
      </w:r>
    </w:p>
    <w:p>
      <w:pPr>
        <w:pStyle w:val="BodyText"/>
      </w:pPr>
      <w:r>
        <w:t xml:space="preserve">Third, for tax authorities and regulators, the thesis measures how far rules based on platform records reach. Reports from third parties improve tax compliance where they exist (Kleven et al. 2011; Pomeranz 2015), but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(Organisation for Economic Co-operation and Development [OECD] 2020; European Union 2021), so the same question applies there.</w:t>
      </w:r>
    </w:p>
    <w:p>
      <w:pPr>
        <w:pStyle w:val="BodyText"/>
      </w:pPr>
      <w:r>
        <w:t xml:space="preserve">More broadly, earlier work has already compared platform transaction values with national e-commerce statistics. This thesis adds connected evidence for one country, drawing on the platforms’ accounts, the sellers’ own survey responses and the rules that act on both.</w:t>
      </w:r>
    </w:p>
    <w:bookmarkEnd w:id="22"/>
    <w:bookmarkStart w:id="23"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3"/>
    <w:bookmarkEnd w:id="24"/>
    <w:bookmarkStart w:id="29"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5"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5"/>
    <w:bookmarkStart w:id="26"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6"/>
    <w:bookmarkStart w:id="27"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 and platform-mediated activity can create traces outside conventional records (Barrios, Hochberg and Yi 2022; Denes, Lagaras and Tsoutsoura 2025).</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7"/>
    <w:bookmarkStart w:id="28" w:name="research-gap"/>
    <w:p>
      <w:pPr>
        <w:pStyle w:val="Heading2"/>
      </w:pPr>
      <w:r>
        <w:t xml:space="preserve">2.4 Research gap</w:t>
      </w:r>
    </w:p>
    <w:p>
      <w:pPr>
        <w:pStyle w:val="FirstParagraph"/>
      </w:pPr>
      <w:r>
        <w:t xml:space="preserve">The shortfalls identified in Sections 2.1 to 2.3 define the research gap, and each becomes one question for the thesis.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whether reported revenue stays a fair guide to reported transaction value has not been tested, least of all for Indonesian platforms.</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platform and national figures have not been followed through time in one country, and published totals cannot show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how much of online selling they cover has not been estimated for Indonesia.</w:t>
      </w:r>
    </w:p>
    <w:bookmarkEnd w:id="28"/>
    <w:bookmarkEnd w:id="29"/>
    <w:bookmarkStart w:id="39"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1" name="Picture"/>
            <a:graphic>
              <a:graphicData uri="http://schemas.openxmlformats.org/drawingml/2006/picture">
                <pic:pic>
                  <pic:nvPicPr>
                    <pic:cNvPr descr="figures/fig3_1_two_links.png" id="32" name="Picture"/>
                    <pic:cNvPicPr>
                      <a:picLocks noChangeArrowheads="1" noChangeAspect="1"/>
                    </pic:cNvPicPr>
                  </pic:nvPicPr>
                  <pic:blipFill>
                    <a:blip r:embed="rId30"/>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direct tests of what changes them,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3" w:name="terms-and-rules-for-comparison"/>
    <w:p>
      <w:pPr>
        <w:pStyle w:val="Heading2"/>
      </w:pPr>
      <w:r>
        <w:t xml:space="preserve">3.1 Terms and rules for comparison</w:t>
      </w:r>
    </w:p>
    <w:p>
      <w:pPr>
        <w:pStyle w:val="FirstParagraph"/>
      </w:pPr>
      <w:r>
        <w:t xml:space="preserve">Six terms recur throughout the thesis. Transaction value, V, is everything bought through a platform in a period, also called the commerce the platform carries. Companies call it gross merchandise value (GMV), gross transaction value (GTV) or total payment volume (TPV); the thesis treats these as one measure and notes where a company’s scope differs. Revenue, R, is what the platform recognizes as its own income in its accounts. The take rate, m, is revenue divided by transaction value: the share of each sale that the platform keeps. Customer incentives are the discounts, vouchers and other promotions that a platform pays for. Accounting rules normally deduct them from revenue, and Tokopedia reports the deduction as a separate line.</w:t>
      </w:r>
    </w:p>
    <w:p>
      <w:pPr>
        <w:pStyle w:val="BodyText"/>
      </w:pPr>
      <w:r>
        <w:t xml:space="preserve">An online seller is a business that BPS counts as selling online; the text also calls it a seller or a business. The count of online sellers is BPS’s estimate of how many there are in a year. First-time entry means that a seller began selling online in the year being measured. The measures built from these terms are defined in Section 3.2, and Appendix A lists every variable with its symbol, definition and source.</w:t>
      </w:r>
    </w:p>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3"/>
    <w:bookmarkStart w:id="34"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 Table 5.1 applies the measures to three platforms in Indonesia in 2023, where the wedge is about US$40 billion and the ecosystem ratio about 13.</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p>
      <w:pPr>
        <w:pStyle w:val="BodyText"/>
      </w:pPr>
      <w:r>
        <w:t xml:space="preserve">The take rate itself has two parts:</w:t>
      </w:r>
    </w:p>
    <w:p>
      <w:pPr>
        <w:pStyle w:val="SourceCode"/>
      </w:pPr>
      <w:r>
        <w:rPr>
          <w:rStyle w:val="VerbatimChar"/>
        </w:rPr>
        <w:t xml:space="preserve">m_it = f_it − s_it                                    (5)</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 (5) also shows where a rule acts. A cap on commissions acts on the fee rate, and a limit on discounts acts on the incentive rate. Chapter 6 sets Indonesia’s recent rules against these parts of the take rate.</w:t>
      </w:r>
    </w:p>
    <w:bookmarkEnd w:id="34"/>
    <w:bookmarkStart w:id="35" w:name="Xf5d189a48112b2a5ff2359da6a7450ee2226bce"/>
    <w:p>
      <w:pPr>
        <w:pStyle w:val="Heading2"/>
      </w:pPr>
      <w:r>
        <w:t xml:space="preserve">3.3 What changes the wedge and the ecosystem ratio</w:t>
      </w:r>
    </w:p>
    <w:p>
      <w:pPr>
        <w:pStyle w:val="FirstParagraph"/>
      </w:pPr>
      <w:r>
        <w:t xml:space="preserve">Equations (1) to (4) define the wedge and the ecosystem ratio. They do not say what moves them. Two direct tests do, and Chapter 5 reports both. The first tests whether revenue grows in proportion to transaction value, the claim of H1. The second asks what explains the size of the wedge and of the ecosystem ratio across platforms.</w:t>
      </w:r>
    </w:p>
    <w:p>
      <w:pPr>
        <w:pStyle w:val="BodyText"/>
      </w:pPr>
      <w:r>
        <w:t xml:space="preserve">Revenue grows in proportion to transaction value when a 1 percent rise in transaction value comes with a 1 percent rise in revenue. That claim can be tested in growth rates, with g(·) as defined above:</w:t>
      </w:r>
    </w:p>
    <w:p>
      <w:pPr>
        <w:pStyle w:val="SourceCode"/>
      </w:pPr>
      <w:r>
        <w:rPr>
          <w:rStyle w:val="VerbatimChar"/>
        </w:rPr>
        <w:t xml:space="preserve">g(R_it) = a + b g(V_it) + c Indonesia_i + d (Indonesia_i × g(V_it)) + u_it        (6)</w:t>
      </w:r>
    </w:p>
    <w:p>
      <w:pPr>
        <w:pStyle w:val="FirstParagraph"/>
      </w:pPr>
      <w:r>
        <w:t xml:space="preserve">where Indonesia_i equals one for the Indonesian and regional platforms and zero for the foreign ones. If revenue is proportional to transaction value, b equals 1, a is close to zero, and the group does not matter, so c and d are zero. A slope below 1 in the Indonesian and regional group would mean that revenue moved with the platform’s pricing and not with the commerce. The correlation between the two growth rates, which Chapter 5 reports for each group, gives the same test in one number.</w:t>
      </w:r>
    </w:p>
    <w:p>
      <w:pPr>
        <w:pStyle w:val="BodyText"/>
      </w:pPr>
      <w:r>
        <w:t xml:space="preserve">The second test regresses the wedge and the ecosystem ratio on the features of a platform and of its home market:</w:t>
      </w:r>
    </w:p>
    <w:p>
      <w:pPr>
        <w:pStyle w:val="SourceCode"/>
      </w:pPr>
      <w:r>
        <w:rPr>
          <w:rStyle w:val="VerbatimChar"/>
        </w:rPr>
        <w:t xml:space="preserve">Y_it = α + β1 Indonesia_i + β2 ln(1 + Listed_it) + β3 ln(Assets_it) + β4′ Type_i + γ′ Macro_it + δ_t + ε_it        (7)</w:t>
      </w:r>
    </w:p>
    <w:p>
      <w:pPr>
        <w:pStyle w:val="FirstParagraph"/>
      </w:pPr>
      <w:r>
        <w:t xml:space="preserve">where Y_it is the natural logarithm of the wedge in US dollars, or the ecosystem ratio. Listed_it is the number of years since the platform listed on a stock exchange. Assets_it is its total assets in US dollars, which measure size without using transaction value, because transaction value is part of the wedge itself. Type_i marks the kind of platform: marketplace, which is the base, on-demand, travel, freelance or resale. Macro_it holds four measures of the platform’s home market: growth in gross domestic product (GDP), consumer-price inflation, growth in household spending and the central bank’s policy rate. The year effects δ_t remove what all platforms share in a year.</w:t>
      </w:r>
    </w:p>
    <w:p>
      <w:pPr>
        <w:pStyle w:val="BodyText"/>
      </w:pPr>
      <w:r>
        <w:t xml:space="preserve">The take rate and its parts do not appear on the right-hand side. The ecosystem ratio equals one divided by the take rate, minus one, so a regression of the ratio on the take rate would restate an identity and show nothing. Chapter 4 describes the data, the variables and the standard errors.</w:t>
      </w:r>
    </w:p>
    <w:bookmarkEnd w:id="35"/>
    <w:bookmarkStart w:id="36"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Each hypothesis, and the entry test of Section 3.5, comes with its main test and with the result that would count against it.</w:t>
      </w:r>
    </w:p>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H1 is tested in two ways. The first is equation (6), an ordinary least squares (OLS) regression of revenue growth on transaction value growth, and H1 holds in a group if the slope is 1. The second compares the size of yearly changes in the take rate, measured as simple percentage changes, between two groups. One group is the Indonesian and regional platforms. The other is listed platforms abroad, where revenue and transaction value broadly move together. A slope far below 1 in Indonesia, or changes far larger in Indonesia than abroad, would count against H1. Chapter 4 describes the two groups and the tests.</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splits in two:</w:t>
      </w:r>
    </w:p>
    <w:p>
      <w:pPr>
        <w:pStyle w:val="SourceCode"/>
      </w:pPr>
      <w:r>
        <w:rPr>
          <w:rStyle w:val="VerbatimChar"/>
        </w:rPr>
        <w:t xml:space="preserve">1 + g(Y_t) = (1 + g(N_t)) × (1 + g(Y_t / N_t))                   (8)</w:t>
      </w:r>
    </w:p>
    <w:p>
      <w:pPr>
        <w:pStyle w:val="FirstParagraph"/>
      </w:pPr>
      <w:r>
        <w:t xml:space="preserve">where g(N) is the growth in the number of businesses, the extensive margin, and g(Y/N) the growth in sales per business, the intensive margin. H2 holds if g(N) is larger than g(Y/N), which is the same as saying that more businesses account for most of the growth.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6"/>
    <w:bookmarkStart w:id="37"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7"/>
    <w:bookmarkStart w:id="38"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They are the tracing of large movements, the market values of listed platforms, the channels and reach of platform records, and the comparison of national figures.</w:t>
      </w:r>
    </w:p>
    <w:p>
      <w:pPr>
        <w:pStyle w:val="BodyText"/>
      </w:pPr>
      <w:r>
        <w:t xml:space="preserve">Tracing large movements asks what moved revenue when it parted from transaction value. Wherever H1 finds a large change in the take rate, the thesis divides the change in revenue into more commerce, higher fees and lower incentives, using company reports (Appendix B). It also reads the reports for changes in the mix of businesses and in reporting scope.</w:t>
      </w:r>
    </w:p>
    <w:p>
      <w:pPr>
        <w:pStyle w:val="BodyText"/>
      </w:pPr>
      <w:r>
        <w:t xml:space="preserve">The market-value analysis asks whether investors, who price revenue (Section 2.1), treat its two sources alike. Equation (4) shows that revenue growth has two sources: growth in transaction value and a change in the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(9)</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 The predictions were registered with changes measured in logs, and the specification is kept as registered.</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8"/>
    <w:bookmarkEnd w:id="39"/>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0"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Appendix B.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t xml:space="preserve">Appendix B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C repeats the test without it. One added pair, Ozon from 2021 to 2022, ends in a kept year but starts in a dropped one. Appendix C repeats the test without Ozon as well. The result is 15 pairs for the Indonesian and regional group and 158 for the foreign group.</w:t>
      </w:r>
    </w:p>
    <w:bookmarkEnd w:id="40"/>
    <w:bookmarkStart w:id="41"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1"/>
    <w:bookmarkStart w:id="42" w:name="testing-h1"/>
    <w:p>
      <w:pPr>
        <w:pStyle w:val="Heading2"/>
      </w:pPr>
      <w:r>
        <w:t xml:space="preserve">4.3 Testing H1</w:t>
      </w:r>
    </w:p>
    <w:p>
      <w:pPr>
        <w:pStyle w:val="FirstParagraph"/>
      </w:pPr>
      <w:r>
        <w:t xml:space="preserve">The test of H1 has two parts, run on the same 32 platforms: the five Indonesian and regional platforms, Tokopedia, Blibli, Bukalapak and the on-demand businesses of Grab and GoTo, and the 27 platforms abroad.</w:t>
      </w:r>
    </w:p>
    <w:p>
      <w:pPr>
        <w:pStyle w:val="BodyText"/>
      </w:pPr>
      <w:r>
        <w:t xml:space="preserve">The first part is equation (6). Each observation is a pair of consecutive years of one platform, and a missing year is never filled. Growth is the simple percentage change, and growth rates are capped at their 5th and 95th percentiles (Section 4.4). The regression runs on all platforms with the group interaction, on the foreign group alone and on the Indonesian and regional group alone, with standard errors clustered by platform. The thesis also reports the correlation between revenue growth and transaction value growth for each group. Appendix C gives the rank correlation and the correlation without caps.</w:t>
      </w:r>
    </w:p>
    <w:p>
      <w:pPr>
        <w:pStyle w:val="BodyText"/>
      </w:pPr>
      <w:r>
        <w:t xml:space="preserve">The second part asks how far each platform’s take rate moves from one year to the next. For each pair of years it takes the simple percentage change in the take rate. Tokopedia’s change in 2023 is 68 percent. A move in either direction counts against H1, so the test uses the size of each yearly change.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C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the change in logs, which the first version of this test used, growth divergence in points as Chapter 3 defines it, exact tests, and the change in the take rate in percentage points, to see whether a thin take rate explains the result. One repeats the test with quarterly pairs.</w:t>
      </w:r>
    </w:p>
    <w:bookmarkEnd w:id="42"/>
    <w:bookmarkStart w:id="43" w:name="Xfbf6e5adbfadf21de73f4530e1ec2c5eb39a9a1"/>
    <w:p>
      <w:pPr>
        <w:pStyle w:val="Heading2"/>
      </w:pPr>
      <w:r>
        <w:t xml:space="preserve">4.4 What explains the wedge and the ecosystem ratio</w:t>
      </w:r>
    </w:p>
    <w:p>
      <w:pPr>
        <w:pStyle w:val="FirstParagraph"/>
      </w:pPr>
      <w:r>
        <w:t xml:space="preserve">Equation (7) is estimated on a panel of 213 platform-years for the same 32 platforms, 20 of them Indonesian and regional platform-years and 193 foreign. A platform-year enters when the company reports both transaction value and revenue for it under the rules of Section 3.1, and a year that fails them stays missing. Amounts are in US dollars at the World Bank’s period-average rate for the year (World Bank 2026).</w:t>
      </w:r>
    </w:p>
    <w:p>
      <w:pPr>
        <w:pStyle w:val="BodyText"/>
      </w:pPr>
      <w:r>
        <w:t xml:space="preserve">Size is the platform’s total assets, taken from annual reports filed with the US Securities and Exchange Commission for 26 platforms (U.S. Securities and Exchange Commission 2026) and from published financial statements for the other six: Tokopedia and GoTo, which share one group statement, Blibli, Bukalapak, Rakuten and Zalando. Total assets are those of the company as a whole. They overstate the platform business at GoTo, Rakuten and Sea. The number of years since listing counts from the year the platform listed on a stock exchange, from public record, and a year before listing counts as zero. The type of platform is the author’s classification (Appendix B).</w:t>
      </w:r>
    </w:p>
    <w:p>
      <w:pPr>
        <w:pStyle w:val="BodyText"/>
      </w:pPr>
      <w:r>
        <w:t xml:space="preserve">The home market is the country of the platform’s main market. It is the United States for most US-listed platforms and Indonesia for the five Indonesian and regional platforms. It is also Indonesia for Sea, whose Shopee business has Indonesia as a main market. GDP growth, inflation and growth in household spending come from the World Bank (2026). The policy rate is the central bank’s rate from the Bank for International Settlements (2026), averaged over the year. It is not available for Kazakhstan or Nigeria, so the regressions with macroeconomic variables have 178 platform-years from 30 platforms.</w:t>
      </w:r>
    </w:p>
    <w:p>
      <w:pPr>
        <w:pStyle w:val="BodyText"/>
      </w:pPr>
      <w:r>
        <w:t xml:space="preserve">Growth rates and the ecosystem ratio are capped at their 5th and 95th percentiles across all platforms, the rule that Section 4.5 uses for market value. Standard errors are clustered by platform, with the small-sample correction, and p-values use a t distribution with one fewer degrees of freedom than platforms. Only five platforms are Indonesian and regional, so the thesis adds a wild cluster bootstrap p-value for the Indonesia coefficient (Cameron, Gelbach and Miller 2008). Appendix C lists the checks on this coefficient. All of these tests are exploratory, because they were designed after the data were seen.</w:t>
      </w:r>
    </w:p>
    <w:p>
      <w:pPr>
        <w:pStyle w:val="BodyText"/>
      </w:pPr>
      <w:r>
        <w:t xml:space="preserve">The second objective, to reconcile large movements in revenue with disclosed changes in fees, discounts and scope, rests on company reports. Where a company discloses both its gross fees and its incentives, the thesis splits the growth of revenue over a window into more commerce, a change in the fee rate and a change in the incentive rate (equation (5)). The split is exact only in logs, so Appendix B keeps the log definition for these windows.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 Grab is read from its annual filings and GoTo from its audited statements. Blibli does not report incentives, so its split rests on a proxy built from its releases. Seven windows are traced, and Appendix B lists them. The thesis also records where accounting treatment or reporting scope matters, such as the deduction of incentives from revenue and the travel business inside Blibli’s retail segment. Company explanations are read as reports and are not tested.</w:t>
      </w:r>
    </w:p>
    <w:bookmarkEnd w:id="43"/>
    <w:bookmarkStart w:id="44" w:name="market-values"/>
    <w:p>
      <w:pPr>
        <w:pStyle w:val="Heading2"/>
      </w:pPr>
      <w:r>
        <w:t xml:space="preserve">4.5 Market values</w:t>
      </w:r>
    </w:p>
    <w:p>
      <w:pPr>
        <w:pStyle w:val="FirstParagraph"/>
      </w:pPr>
      <w:r>
        <w:t xml:space="preserve">The market-value analysis of Section 3.6 uses year-end market values from the data service of the London Stock Exchange Group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(9)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with changes measured in logs, and it keeps that definition.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4"/>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(8).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The three files are the E-Commerce rounds of 2021, 2023 and 2024, which describe the activity years 2020, 2022 and 2023.</w:t>
      </w:r>
      <w:r>
        <w:rPr>
          <w:rStyle w:val="FootnoteReference"/>
        </w:rPr>
        <w:footnoteReference w:id="45"/>
      </w:r>
      <w:r>
        <w:t xml:space="preserve"> </w:t>
      </w:r>
      <w:r>
        <w:t xml:space="preserve">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Appendix A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D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The World Bank indicators, the Bank for International Settlements policy rates and the total assets from the filings with the US Securities and Exchange Commission are public. The repository holds the downloaded values and the scripts that fetched them. 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Each section states the label next to the result it reports.</w:t>
      </w:r>
    </w:p>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5.1 shows each platform.</w:t>
      </w:r>
    </w:p>
    <w:p>
      <w:pPr>
        <w:pStyle w:val="BodyText"/>
      </w:pPr>
      <w:r>
        <w:rPr>
          <w:bCs/>
          <w:b/>
        </w:rPr>
        <w:t xml:space="preserve">Table 5.1. The invisible wedge of three platforms, 2023 (US$ billion)</w:t>
      </w:r>
    </w:p>
    <w:p>
      <w:pPr>
        <w:pStyle w:val="BodyText"/>
      </w:pPr>
      <w:r>
        <w:t xml:space="preserve">This table reports transaction value, revenue, the wedge (transaction value less revenue) and the ecosystem ratio (the wedge divided by revenue) for Tokopedia, Shopee in Indonesia and Grab in Indonesia in 2023. The last column states how each platform’s amounts are obtained. The total row is the sum of the three platforms and is not a national total.</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B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followed transaction value abroad and did not in Indonesia and the region, so the thesis rejects H1 for the Indonesian and regional platforms. Table 5.2 describes the panel behind the test. The typical Indonesian and regional platform-year has an ecosystem ratio of about 35, against about 5.5 abroad. Transaction value grew by a median of 16 percent a year in both groups, and revenue by 38 percent in Indonesia and the region against 21 percent abroad. The Indonesian and regional platforms are also younger, a median of one year since listing against four.</w:t>
      </w:r>
    </w:p>
    <w:p>
      <w:pPr>
        <w:pStyle w:val="BodyText"/>
      </w:pPr>
      <w:r>
        <w:rPr>
          <w:bCs/>
          <w:b/>
        </w:rPr>
        <w:t xml:space="preserve">Table 5.2. Summary statistics and correlations</w:t>
      </w:r>
    </w:p>
    <w:p>
      <w:pPr>
        <w:pStyle w:val="BodyText"/>
      </w:pPr>
      <w:r>
        <w:t xml:space="preserve">This table reports summary statistics and pairwise correlations for the panel of 213 platform-years used in Sections 5.2 and 5.3, which covers 32 platforms. Panel A gives the number of observations (N), the mean, the median (P50) and the standard deviation (SD) of each variable for the Indonesian and regional platforms and for the foreign platforms. Panel B gives pairwise Pearson correlations for all platforms. Growth rates and the ecosystem ratio are capped at their 5th and 95th percentiles; the wedge and total assets are in US$ million. Appendix A defines the variables. ∗∗∗, ∗∗ and ∗ correspond to statistical significance at the 1%, 5% and 10% levels.</w:t>
      </w:r>
    </w:p>
    <w:p>
      <w:pPr>
        <w:pStyle w:val="BodyText"/>
      </w:pPr>
      <w:r>
        <w:rPr>
          <w:iCs/>
          <w:i/>
        </w:rPr>
        <w:t xml:space="preserve">Panel A. Summary statistics</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jc w:val="left"/>
            </w:pPr>
            <w:r>
              <w:t xml:space="preserve">Variable</w:t>
            </w:r>
          </w:p>
        </w:tc>
        <w:tc>
          <w:tcPr/>
          <w:p>
            <w:pPr>
              <w:pStyle w:val="Compact"/>
              <w:jc w:val="right"/>
            </w:pPr>
            <w:r>
              <w:t xml:space="preserve">Indonesian and regional</w:t>
            </w:r>
          </w:p>
        </w:tc>
        <w:tc>
          <w:tcPr/>
          <w:p>
            <w:pPr>
              <w:pStyle w:val="Compact"/>
            </w:pPr>
          </w:p>
        </w:tc>
        <w:tc>
          <w:tcPr/>
          <w:p>
            <w:pPr>
              <w:pStyle w:val="Compact"/>
            </w:pPr>
          </w:p>
        </w:tc>
        <w:tc>
          <w:tcPr/>
          <w:p>
            <w:pPr>
              <w:pStyle w:val="Compact"/>
            </w:pPr>
          </w:p>
        </w:tc>
        <w:tc>
          <w:tcPr/>
          <w:p>
            <w:pPr>
              <w:pStyle w:val="Compact"/>
              <w:jc w:val="right"/>
            </w:pPr>
            <w:r>
              <w:t xml:space="preserve">Foreign</w:t>
            </w:r>
          </w:p>
        </w:tc>
        <w:tc>
          <w:tcPr/>
          <w:p>
            <w:pPr>
              <w:pStyle w:val="Compact"/>
            </w:pPr>
          </w:p>
        </w:tc>
        <w:tc>
          <w:tcPr/>
          <w:p>
            <w:pPr>
              <w:pStyle w:val="Compact"/>
            </w:pPr>
          </w:p>
        </w:tc>
        <w:tc>
          <w:tcPr/>
          <w:p>
            <w:pPr>
              <w:pStyle w:val="Compact"/>
            </w:pPr>
          </w:p>
        </w:tc>
      </w:tr>
      <w:tr>
        <w:tc>
          <w:tcPr/>
          <w:p>
            <w:pPr>
              <w:pStyle w:val="Compact"/>
            </w:pPr>
          </w:p>
        </w:tc>
        <w:tc>
          <w:tcPr/>
          <w:p>
            <w:pPr>
              <w:pStyle w:val="Compact"/>
              <w:jc w:val="right"/>
            </w:pPr>
            <w:r>
              <w:rPr>
                <w:bCs/>
                <w:b/>
              </w:rPr>
              <w:t xml:space="preserve">N</w:t>
            </w:r>
          </w:p>
        </w:tc>
        <w:tc>
          <w:tcPr/>
          <w:p>
            <w:pPr>
              <w:pStyle w:val="Compact"/>
              <w:jc w:val="right"/>
            </w:pPr>
            <w:r>
              <w:rPr>
                <w:bCs/>
                <w:b/>
              </w:rPr>
              <w:t xml:space="preserve">Mean</w:t>
            </w:r>
          </w:p>
        </w:tc>
        <w:tc>
          <w:tcPr/>
          <w:p>
            <w:pPr>
              <w:pStyle w:val="Compact"/>
              <w:jc w:val="right"/>
            </w:pPr>
            <w:r>
              <w:rPr>
                <w:bCs/>
                <w:b/>
              </w:rPr>
              <w:t xml:space="preserve">P50</w:t>
            </w:r>
          </w:p>
        </w:tc>
        <w:tc>
          <w:tcPr/>
          <w:p>
            <w:pPr>
              <w:pStyle w:val="Compact"/>
              <w:jc w:val="right"/>
            </w:pPr>
            <w:r>
              <w:rPr>
                <w:bCs/>
                <w:b/>
              </w:rPr>
              <w:t xml:space="preserve">SD</w:t>
            </w:r>
          </w:p>
        </w:tc>
        <w:tc>
          <w:tcPr/>
          <w:p>
            <w:pPr>
              <w:pStyle w:val="Compact"/>
              <w:jc w:val="right"/>
            </w:pPr>
            <w:r>
              <w:rPr>
                <w:bCs/>
                <w:b/>
              </w:rPr>
              <w:t xml:space="preserve">N</w:t>
            </w:r>
          </w:p>
        </w:tc>
        <w:tc>
          <w:tcPr/>
          <w:p>
            <w:pPr>
              <w:pStyle w:val="Compact"/>
              <w:jc w:val="right"/>
            </w:pPr>
            <w:r>
              <w:rPr>
                <w:bCs/>
                <w:b/>
              </w:rPr>
              <w:t xml:space="preserve">Mean</w:t>
            </w:r>
          </w:p>
        </w:tc>
        <w:tc>
          <w:tcPr/>
          <w:p>
            <w:pPr>
              <w:pStyle w:val="Compact"/>
              <w:jc w:val="right"/>
            </w:pPr>
            <w:r>
              <w:rPr>
                <w:bCs/>
                <w:b/>
              </w:rPr>
              <w:t xml:space="preserve">P50</w:t>
            </w:r>
          </w:p>
        </w:tc>
        <w:tc>
          <w:tcPr/>
          <w:p>
            <w:pPr>
              <w:pStyle w:val="Compact"/>
              <w:jc w:val="right"/>
            </w:pPr>
            <w:r>
              <w:rPr>
                <w:bCs/>
                <w:b/>
              </w:rPr>
              <w:t xml:space="preserve">SD</w:t>
            </w:r>
          </w:p>
        </w:tc>
      </w:tr>
      <w:tr>
        <w:tc>
          <w:tcPr/>
          <w:p>
            <w:pPr>
              <w:pStyle w:val="Compact"/>
              <w:jc w:val="left"/>
            </w:pPr>
            <w:r>
              <w:t xml:space="preserve">Wedge, US$ million</w:t>
            </w:r>
          </w:p>
        </w:tc>
        <w:tc>
          <w:tcPr/>
          <w:p>
            <w:pPr>
              <w:pStyle w:val="Compact"/>
              <w:jc w:val="right"/>
            </w:pPr>
            <w:r>
              <w:t xml:space="preserve">20</w:t>
            </w:r>
          </w:p>
        </w:tc>
        <w:tc>
          <w:tcPr/>
          <w:p>
            <w:pPr>
              <w:pStyle w:val="Compact"/>
              <w:jc w:val="right"/>
            </w:pPr>
            <w:r>
              <w:t xml:space="preserve">7,834</w:t>
            </w:r>
          </w:p>
        </w:tc>
        <w:tc>
          <w:tcPr/>
          <w:p>
            <w:pPr>
              <w:pStyle w:val="Compact"/>
              <w:jc w:val="right"/>
            </w:pPr>
            <w:r>
              <w:t xml:space="preserve">6,999</w:t>
            </w:r>
          </w:p>
        </w:tc>
        <w:tc>
          <w:tcPr/>
          <w:p>
            <w:pPr>
              <w:pStyle w:val="Compact"/>
              <w:jc w:val="right"/>
            </w:pPr>
            <w:r>
              <w:t xml:space="preserve">5,311</w:t>
            </w:r>
          </w:p>
        </w:tc>
        <w:tc>
          <w:tcPr/>
          <w:p>
            <w:pPr>
              <w:pStyle w:val="Compact"/>
              <w:jc w:val="right"/>
            </w:pPr>
            <w:r>
              <w:t xml:space="preserve">193</w:t>
            </w:r>
          </w:p>
        </w:tc>
        <w:tc>
          <w:tcPr/>
          <w:p>
            <w:pPr>
              <w:pStyle w:val="Compact"/>
              <w:jc w:val="right"/>
            </w:pPr>
            <w:r>
              <w:t xml:space="preserve">50,439</w:t>
            </w:r>
          </w:p>
        </w:tc>
        <w:tc>
          <w:tcPr/>
          <w:p>
            <w:pPr>
              <w:pStyle w:val="Compact"/>
              <w:jc w:val="right"/>
            </w:pPr>
            <w:r>
              <w:t xml:space="preserve">3,732</w:t>
            </w:r>
          </w:p>
        </w:tc>
        <w:tc>
          <w:tcPr/>
          <w:p>
            <w:pPr>
              <w:pStyle w:val="Compact"/>
              <w:jc w:val="right"/>
            </w:pPr>
            <w:r>
              <w:t xml:space="preserve">142,180</w:t>
            </w:r>
          </w:p>
        </w:tc>
      </w:tr>
      <w:tr>
        <w:tc>
          <w:tcPr/>
          <w:p>
            <w:pPr>
              <w:pStyle w:val="Compact"/>
              <w:jc w:val="left"/>
            </w:pPr>
            <w:r>
              <w:t xml:space="preserve">Ecosystem ratio</w:t>
            </w:r>
          </w:p>
        </w:tc>
        <w:tc>
          <w:tcPr/>
          <w:p>
            <w:pPr>
              <w:pStyle w:val="Compact"/>
              <w:jc w:val="right"/>
            </w:pPr>
            <w:r>
              <w:t xml:space="preserve">20</w:t>
            </w:r>
          </w:p>
        </w:tc>
        <w:tc>
          <w:tcPr/>
          <w:p>
            <w:pPr>
              <w:pStyle w:val="Compact"/>
              <w:jc w:val="right"/>
            </w:pPr>
            <w:r>
              <w:t xml:space="preserve">25.08</w:t>
            </w:r>
          </w:p>
        </w:tc>
        <w:tc>
          <w:tcPr/>
          <w:p>
            <w:pPr>
              <w:pStyle w:val="Compact"/>
              <w:jc w:val="right"/>
            </w:pPr>
            <w:r>
              <w:t xml:space="preserve">34.66</w:t>
            </w:r>
          </w:p>
        </w:tc>
        <w:tc>
          <w:tcPr/>
          <w:p>
            <w:pPr>
              <w:pStyle w:val="Compact"/>
              <w:jc w:val="right"/>
            </w:pPr>
            <w:r>
              <w:t xml:space="preserve">14.95</w:t>
            </w:r>
          </w:p>
        </w:tc>
        <w:tc>
          <w:tcPr/>
          <w:p>
            <w:pPr>
              <w:pStyle w:val="Compact"/>
              <w:jc w:val="right"/>
            </w:pPr>
            <w:r>
              <w:t xml:space="preserve">193</w:t>
            </w:r>
          </w:p>
        </w:tc>
        <w:tc>
          <w:tcPr/>
          <w:p>
            <w:pPr>
              <w:pStyle w:val="Compact"/>
              <w:jc w:val="right"/>
            </w:pPr>
            <w:r>
              <w:t xml:space="preserve">8.84</w:t>
            </w:r>
          </w:p>
        </w:tc>
        <w:tc>
          <w:tcPr/>
          <w:p>
            <w:pPr>
              <w:pStyle w:val="Compact"/>
              <w:jc w:val="right"/>
            </w:pPr>
            <w:r>
              <w:t xml:space="preserve">5.50</w:t>
            </w:r>
          </w:p>
        </w:tc>
        <w:tc>
          <w:tcPr/>
          <w:p>
            <w:pPr>
              <w:pStyle w:val="Compact"/>
              <w:jc w:val="right"/>
            </w:pPr>
            <w:r>
              <w:t xml:space="preserve">9.56</w:t>
            </w:r>
          </w:p>
        </w:tc>
      </w:tr>
      <w:tr>
        <w:tc>
          <w:tcPr/>
          <w:p>
            <w:pPr>
              <w:pStyle w:val="Compact"/>
              <w:jc w:val="left"/>
            </w:pPr>
            <w:r>
              <w:t xml:space="preserve">Revenue growth, g(R)</w:t>
            </w:r>
          </w:p>
        </w:tc>
        <w:tc>
          <w:tcPr/>
          <w:p>
            <w:pPr>
              <w:pStyle w:val="Compact"/>
              <w:jc w:val="right"/>
            </w:pPr>
            <w:r>
              <w:t xml:space="preserve">15</w:t>
            </w:r>
          </w:p>
        </w:tc>
        <w:tc>
          <w:tcPr/>
          <w:p>
            <w:pPr>
              <w:pStyle w:val="Compact"/>
              <w:jc w:val="right"/>
            </w:pPr>
            <w:r>
              <w:t xml:space="preserve">0.53</w:t>
            </w:r>
          </w:p>
        </w:tc>
        <w:tc>
          <w:tcPr/>
          <w:p>
            <w:pPr>
              <w:pStyle w:val="Compact"/>
              <w:jc w:val="right"/>
            </w:pPr>
            <w:r>
              <w:t xml:space="preserve">0.38</w:t>
            </w:r>
          </w:p>
        </w:tc>
        <w:tc>
          <w:tcPr/>
          <w:p>
            <w:pPr>
              <w:pStyle w:val="Compact"/>
              <w:jc w:val="right"/>
            </w:pPr>
            <w:r>
              <w:t xml:space="preserve">0.44</w:t>
            </w:r>
          </w:p>
        </w:tc>
        <w:tc>
          <w:tcPr/>
          <w:p>
            <w:pPr>
              <w:pStyle w:val="Compact"/>
              <w:jc w:val="right"/>
            </w:pPr>
            <w:r>
              <w:t xml:space="preserve">166</w:t>
            </w:r>
          </w:p>
        </w:tc>
        <w:tc>
          <w:tcPr/>
          <w:p>
            <w:pPr>
              <w:pStyle w:val="Compact"/>
              <w:jc w:val="right"/>
            </w:pPr>
            <w:r>
              <w:t xml:space="preserve">0.32</w:t>
            </w:r>
          </w:p>
        </w:tc>
        <w:tc>
          <w:tcPr/>
          <w:p>
            <w:pPr>
              <w:pStyle w:val="Compact"/>
              <w:jc w:val="right"/>
            </w:pPr>
            <w:r>
              <w:t xml:space="preserve">0.21</w:t>
            </w:r>
          </w:p>
        </w:tc>
        <w:tc>
          <w:tcPr/>
          <w:p>
            <w:pPr>
              <w:pStyle w:val="Compact"/>
              <w:jc w:val="right"/>
            </w:pPr>
            <w:r>
              <w:t xml:space="preserve">0.44</w:t>
            </w:r>
          </w:p>
        </w:tc>
      </w:tr>
      <w:tr>
        <w:tc>
          <w:tcPr/>
          <w:p>
            <w:pPr>
              <w:pStyle w:val="Compact"/>
              <w:jc w:val="left"/>
            </w:pPr>
            <w:r>
              <w:t xml:space="preserve">Transaction value growth, g(V)</w:t>
            </w:r>
          </w:p>
        </w:tc>
        <w:tc>
          <w:tcPr/>
          <w:p>
            <w:pPr>
              <w:pStyle w:val="Compact"/>
              <w:jc w:val="right"/>
            </w:pPr>
            <w:r>
              <w:t xml:space="preserve">15</w:t>
            </w:r>
          </w:p>
        </w:tc>
        <w:tc>
          <w:tcPr/>
          <w:p>
            <w:pPr>
              <w:pStyle w:val="Compact"/>
              <w:jc w:val="right"/>
            </w:pPr>
            <w:r>
              <w:t xml:space="preserve">0.22</w:t>
            </w:r>
          </w:p>
        </w:tc>
        <w:tc>
          <w:tcPr/>
          <w:p>
            <w:pPr>
              <w:pStyle w:val="Compact"/>
              <w:jc w:val="right"/>
            </w:pPr>
            <w:r>
              <w:t xml:space="preserve">0.16</w:t>
            </w:r>
          </w:p>
        </w:tc>
        <w:tc>
          <w:tcPr/>
          <w:p>
            <w:pPr>
              <w:pStyle w:val="Compact"/>
              <w:jc w:val="right"/>
            </w:pPr>
            <w:r>
              <w:t xml:space="preserve">0.34</w:t>
            </w:r>
          </w:p>
        </w:tc>
        <w:tc>
          <w:tcPr/>
          <w:p>
            <w:pPr>
              <w:pStyle w:val="Compact"/>
              <w:jc w:val="right"/>
            </w:pPr>
            <w:r>
              <w:t xml:space="preserve">166</w:t>
            </w:r>
          </w:p>
        </w:tc>
        <w:tc>
          <w:tcPr/>
          <w:p>
            <w:pPr>
              <w:pStyle w:val="Compact"/>
              <w:jc w:val="right"/>
            </w:pPr>
            <w:r>
              <w:t xml:space="preserve">0.26</w:t>
            </w:r>
          </w:p>
        </w:tc>
        <w:tc>
          <w:tcPr/>
          <w:p>
            <w:pPr>
              <w:pStyle w:val="Compact"/>
              <w:jc w:val="right"/>
            </w:pPr>
            <w:r>
              <w:t xml:space="preserve">0.16</w:t>
            </w:r>
          </w:p>
        </w:tc>
        <w:tc>
          <w:tcPr/>
          <w:p>
            <w:pPr>
              <w:pStyle w:val="Compact"/>
              <w:jc w:val="right"/>
            </w:pPr>
            <w:r>
              <w:t xml:space="preserve">0.40</w:t>
            </w:r>
          </w:p>
        </w:tc>
      </w:tr>
      <w:tr>
        <w:tc>
          <w:tcPr/>
          <w:p>
            <w:pPr>
              <w:pStyle w:val="Compact"/>
              <w:jc w:val="left"/>
            </w:pPr>
            <w:r>
              <w:t xml:space="preserve">Total assets, US$ million</w:t>
            </w:r>
          </w:p>
        </w:tc>
        <w:tc>
          <w:tcPr/>
          <w:p>
            <w:pPr>
              <w:pStyle w:val="Compact"/>
              <w:jc w:val="right"/>
            </w:pPr>
            <w:r>
              <w:t xml:space="preserve">20</w:t>
            </w:r>
          </w:p>
        </w:tc>
        <w:tc>
          <w:tcPr/>
          <w:p>
            <w:pPr>
              <w:pStyle w:val="Compact"/>
              <w:jc w:val="right"/>
            </w:pPr>
            <w:r>
              <w:t xml:space="preserve">4,300</w:t>
            </w:r>
          </w:p>
        </w:tc>
        <w:tc>
          <w:tcPr/>
          <w:p>
            <w:pPr>
              <w:pStyle w:val="Compact"/>
              <w:jc w:val="right"/>
            </w:pPr>
            <w:r>
              <w:t xml:space="preserve">2,751</w:t>
            </w:r>
          </w:p>
        </w:tc>
        <w:tc>
          <w:tcPr/>
          <w:p>
            <w:pPr>
              <w:pStyle w:val="Compact"/>
              <w:jc w:val="right"/>
            </w:pPr>
            <w:r>
              <w:t xml:space="preserve">3,727</w:t>
            </w:r>
          </w:p>
        </w:tc>
        <w:tc>
          <w:tcPr/>
          <w:p>
            <w:pPr>
              <w:pStyle w:val="Compact"/>
              <w:jc w:val="right"/>
            </w:pPr>
            <w:r>
              <w:t xml:space="preserve">182</w:t>
            </w:r>
          </w:p>
        </w:tc>
        <w:tc>
          <w:tcPr/>
          <w:p>
            <w:pPr>
              <w:pStyle w:val="Compact"/>
              <w:jc w:val="right"/>
            </w:pPr>
            <w:r>
              <w:t xml:space="preserve">13,252</w:t>
            </w:r>
          </w:p>
        </w:tc>
        <w:tc>
          <w:tcPr/>
          <w:p>
            <w:pPr>
              <w:pStyle w:val="Compact"/>
              <w:jc w:val="right"/>
            </w:pPr>
            <w:r>
              <w:t xml:space="preserve">1,461</w:t>
            </w:r>
          </w:p>
        </w:tc>
        <w:tc>
          <w:tcPr/>
          <w:p>
            <w:pPr>
              <w:pStyle w:val="Compact"/>
              <w:jc w:val="right"/>
            </w:pPr>
            <w:r>
              <w:t xml:space="preserve">35,325</w:t>
            </w:r>
          </w:p>
        </w:tc>
      </w:tr>
      <w:tr>
        <w:tc>
          <w:tcPr/>
          <w:p>
            <w:pPr>
              <w:pStyle w:val="Compact"/>
              <w:jc w:val="left"/>
            </w:pPr>
            <w:r>
              <w:t xml:space="preserve">Years since listing</w:t>
            </w:r>
          </w:p>
        </w:tc>
        <w:tc>
          <w:tcPr/>
          <w:p>
            <w:pPr>
              <w:pStyle w:val="Compact"/>
              <w:jc w:val="right"/>
            </w:pPr>
            <w:r>
              <w:t xml:space="preserve">20</w:t>
            </w:r>
          </w:p>
        </w:tc>
        <w:tc>
          <w:tcPr/>
          <w:p>
            <w:pPr>
              <w:pStyle w:val="Compact"/>
              <w:jc w:val="right"/>
            </w:pPr>
            <w:r>
              <w:t xml:space="preserve">1.10</w:t>
            </w:r>
          </w:p>
        </w:tc>
        <w:tc>
          <w:tcPr/>
          <w:p>
            <w:pPr>
              <w:pStyle w:val="Compact"/>
              <w:jc w:val="right"/>
            </w:pPr>
            <w:r>
              <w:t xml:space="preserve">1.00</w:t>
            </w:r>
          </w:p>
        </w:tc>
        <w:tc>
          <w:tcPr/>
          <w:p>
            <w:pPr>
              <w:pStyle w:val="Compact"/>
              <w:jc w:val="right"/>
            </w:pPr>
            <w:r>
              <w:t xml:space="preserve">1.12</w:t>
            </w:r>
          </w:p>
        </w:tc>
        <w:tc>
          <w:tcPr/>
          <w:p>
            <w:pPr>
              <w:pStyle w:val="Compact"/>
              <w:jc w:val="right"/>
            </w:pPr>
            <w:r>
              <w:t xml:space="preserve">193</w:t>
            </w:r>
          </w:p>
        </w:tc>
        <w:tc>
          <w:tcPr/>
          <w:p>
            <w:pPr>
              <w:pStyle w:val="Compact"/>
              <w:jc w:val="right"/>
            </w:pPr>
            <w:r>
              <w:t xml:space="preserve">6.38</w:t>
            </w:r>
          </w:p>
        </w:tc>
        <w:tc>
          <w:tcPr/>
          <w:p>
            <w:pPr>
              <w:pStyle w:val="Compact"/>
              <w:jc w:val="right"/>
            </w:pPr>
            <w:r>
              <w:t xml:space="preserve">4.00</w:t>
            </w:r>
          </w:p>
        </w:tc>
        <w:tc>
          <w:tcPr/>
          <w:p>
            <w:pPr>
              <w:pStyle w:val="Compact"/>
              <w:jc w:val="right"/>
            </w:pPr>
            <w:r>
              <w:t xml:space="preserve">7.21</w:t>
            </w:r>
          </w:p>
        </w:tc>
      </w:tr>
      <w:tr>
        <w:tc>
          <w:tcPr/>
          <w:p>
            <w:pPr>
              <w:pStyle w:val="Compact"/>
              <w:jc w:val="left"/>
            </w:pPr>
            <w:r>
              <w:t xml:space="preserve">GDP growth, percent</w:t>
            </w:r>
          </w:p>
        </w:tc>
        <w:tc>
          <w:tcPr/>
          <w:p>
            <w:pPr>
              <w:pStyle w:val="Compact"/>
              <w:jc w:val="right"/>
            </w:pPr>
            <w:r>
              <w:t xml:space="preserve">20</w:t>
            </w:r>
          </w:p>
        </w:tc>
        <w:tc>
          <w:tcPr/>
          <w:p>
            <w:pPr>
              <w:pStyle w:val="Compact"/>
              <w:jc w:val="right"/>
            </w:pPr>
            <w:r>
              <w:t xml:space="preserve">4.20</w:t>
            </w:r>
          </w:p>
        </w:tc>
        <w:tc>
          <w:tcPr/>
          <w:p>
            <w:pPr>
              <w:pStyle w:val="Compact"/>
              <w:jc w:val="right"/>
            </w:pPr>
            <w:r>
              <w:t xml:space="preserve">5.05</w:t>
            </w:r>
          </w:p>
        </w:tc>
        <w:tc>
          <w:tcPr/>
          <w:p>
            <w:pPr>
              <w:pStyle w:val="Compact"/>
              <w:jc w:val="right"/>
            </w:pPr>
            <w:r>
              <w:t xml:space="preserve">2.21</w:t>
            </w:r>
          </w:p>
        </w:tc>
        <w:tc>
          <w:tcPr/>
          <w:p>
            <w:pPr>
              <w:pStyle w:val="Compact"/>
              <w:jc w:val="right"/>
            </w:pPr>
            <w:r>
              <w:t xml:space="preserve">193</w:t>
            </w:r>
          </w:p>
        </w:tc>
        <w:tc>
          <w:tcPr/>
          <w:p>
            <w:pPr>
              <w:pStyle w:val="Compact"/>
              <w:jc w:val="right"/>
            </w:pPr>
            <w:r>
              <w:t xml:space="preserve">3.06</w:t>
            </w:r>
          </w:p>
        </w:tc>
        <w:tc>
          <w:tcPr/>
          <w:p>
            <w:pPr>
              <w:pStyle w:val="Compact"/>
              <w:jc w:val="right"/>
            </w:pPr>
            <w:r>
              <w:t xml:space="preserve">2.79</w:t>
            </w:r>
          </w:p>
        </w:tc>
        <w:tc>
          <w:tcPr/>
          <w:p>
            <w:pPr>
              <w:pStyle w:val="Compact"/>
              <w:jc w:val="right"/>
            </w:pPr>
            <w:r>
              <w:t xml:space="preserve">3.00</w:t>
            </w:r>
          </w:p>
        </w:tc>
      </w:tr>
      <w:tr>
        <w:tc>
          <w:tcPr/>
          <w:p>
            <w:pPr>
              <w:pStyle w:val="Compact"/>
              <w:jc w:val="left"/>
            </w:pPr>
            <w:r>
              <w:t xml:space="preserve">Inflation, percent</w:t>
            </w:r>
          </w:p>
        </w:tc>
        <w:tc>
          <w:tcPr/>
          <w:p>
            <w:pPr>
              <w:pStyle w:val="Compact"/>
              <w:jc w:val="right"/>
            </w:pPr>
            <w:r>
              <w:t xml:space="preserve">20</w:t>
            </w:r>
          </w:p>
        </w:tc>
        <w:tc>
          <w:tcPr/>
          <w:p>
            <w:pPr>
              <w:pStyle w:val="Compact"/>
              <w:jc w:val="right"/>
            </w:pPr>
            <w:r>
              <w:t xml:space="preserve">2.91</w:t>
            </w:r>
          </w:p>
        </w:tc>
        <w:tc>
          <w:tcPr/>
          <w:p>
            <w:pPr>
              <w:pStyle w:val="Compact"/>
              <w:jc w:val="right"/>
            </w:pPr>
            <w:r>
              <w:t xml:space="preserve">2.93</w:t>
            </w:r>
          </w:p>
        </w:tc>
        <w:tc>
          <w:tcPr/>
          <w:p>
            <w:pPr>
              <w:pStyle w:val="Compact"/>
              <w:jc w:val="right"/>
            </w:pPr>
            <w:r>
              <w:t xml:space="preserve">1.08</w:t>
            </w:r>
          </w:p>
        </w:tc>
        <w:tc>
          <w:tcPr/>
          <w:p>
            <w:pPr>
              <w:pStyle w:val="Compact"/>
              <w:jc w:val="right"/>
            </w:pPr>
            <w:r>
              <w:t xml:space="preserve">179</w:t>
            </w:r>
          </w:p>
        </w:tc>
        <w:tc>
          <w:tcPr/>
          <w:p>
            <w:pPr>
              <w:pStyle w:val="Compact"/>
              <w:jc w:val="right"/>
            </w:pPr>
            <w:r>
              <w:t xml:space="preserve">8.55</w:t>
            </w:r>
          </w:p>
        </w:tc>
        <w:tc>
          <w:tcPr/>
          <w:p>
            <w:pPr>
              <w:pStyle w:val="Compact"/>
              <w:jc w:val="right"/>
            </w:pPr>
            <w:r>
              <w:t xml:space="preserve">2.95</w:t>
            </w:r>
          </w:p>
        </w:tc>
        <w:tc>
          <w:tcPr/>
          <w:p>
            <w:pPr>
              <w:pStyle w:val="Compact"/>
              <w:jc w:val="right"/>
            </w:pPr>
            <w:r>
              <w:t xml:space="preserve">21.84</w:t>
            </w:r>
          </w:p>
        </w:tc>
      </w:tr>
      <w:tr>
        <w:tc>
          <w:tcPr/>
          <w:p>
            <w:pPr>
              <w:pStyle w:val="Compact"/>
              <w:jc w:val="left"/>
            </w:pPr>
            <w:r>
              <w:t xml:space="preserve">Household spending growth, percent</w:t>
            </w:r>
          </w:p>
        </w:tc>
        <w:tc>
          <w:tcPr/>
          <w:p>
            <w:pPr>
              <w:pStyle w:val="Compact"/>
              <w:jc w:val="right"/>
            </w:pPr>
            <w:r>
              <w:t xml:space="preserve">20</w:t>
            </w:r>
          </w:p>
        </w:tc>
        <w:tc>
          <w:tcPr/>
          <w:p>
            <w:pPr>
              <w:pStyle w:val="Compact"/>
              <w:jc w:val="right"/>
            </w:pPr>
            <w:r>
              <w:t xml:space="preserve">3.77</w:t>
            </w:r>
          </w:p>
        </w:tc>
        <w:tc>
          <w:tcPr/>
          <w:p>
            <w:pPr>
              <w:pStyle w:val="Compact"/>
              <w:jc w:val="right"/>
            </w:pPr>
            <w:r>
              <w:t xml:space="preserve">4.95</w:t>
            </w:r>
          </w:p>
        </w:tc>
        <w:tc>
          <w:tcPr/>
          <w:p>
            <w:pPr>
              <w:pStyle w:val="Compact"/>
              <w:jc w:val="right"/>
            </w:pPr>
            <w:r>
              <w:t xml:space="preserve">2.45</w:t>
            </w:r>
          </w:p>
        </w:tc>
        <w:tc>
          <w:tcPr/>
          <w:p>
            <w:pPr>
              <w:pStyle w:val="Compact"/>
              <w:jc w:val="right"/>
            </w:pPr>
            <w:r>
              <w:t xml:space="preserve">174</w:t>
            </w:r>
          </w:p>
        </w:tc>
        <w:tc>
          <w:tcPr/>
          <w:p>
            <w:pPr>
              <w:pStyle w:val="Compact"/>
              <w:jc w:val="right"/>
            </w:pPr>
            <w:r>
              <w:t xml:space="preserve">3.55</w:t>
            </w:r>
          </w:p>
        </w:tc>
        <w:tc>
          <w:tcPr/>
          <w:p>
            <w:pPr>
              <w:pStyle w:val="Compact"/>
              <w:jc w:val="right"/>
            </w:pPr>
            <w:r>
              <w:t xml:space="preserve">2.95</w:t>
            </w:r>
          </w:p>
        </w:tc>
        <w:tc>
          <w:tcPr/>
          <w:p>
            <w:pPr>
              <w:pStyle w:val="Compact"/>
              <w:jc w:val="right"/>
            </w:pPr>
            <w:r>
              <w:t xml:space="preserve">4.21</w:t>
            </w:r>
          </w:p>
        </w:tc>
      </w:tr>
      <w:tr>
        <w:tc>
          <w:tcPr/>
          <w:p>
            <w:pPr>
              <w:pStyle w:val="Compact"/>
              <w:jc w:val="left"/>
            </w:pPr>
            <w:r>
              <w:t xml:space="preserve">Policy rate, percent</w:t>
            </w:r>
          </w:p>
        </w:tc>
        <w:tc>
          <w:tcPr/>
          <w:p>
            <w:pPr>
              <w:pStyle w:val="Compact"/>
              <w:jc w:val="right"/>
            </w:pPr>
            <w:r>
              <w:t xml:space="preserve">20</w:t>
            </w:r>
          </w:p>
        </w:tc>
        <w:tc>
          <w:tcPr/>
          <w:p>
            <w:pPr>
              <w:pStyle w:val="Compact"/>
              <w:jc w:val="right"/>
            </w:pPr>
            <w:r>
              <w:t xml:space="preserve">4.85</w:t>
            </w:r>
          </w:p>
        </w:tc>
        <w:tc>
          <w:tcPr/>
          <w:p>
            <w:pPr>
              <w:pStyle w:val="Compact"/>
              <w:jc w:val="right"/>
            </w:pPr>
            <w:r>
              <w:t xml:space="preserve">4.76</w:t>
            </w:r>
          </w:p>
        </w:tc>
        <w:tc>
          <w:tcPr/>
          <w:p>
            <w:pPr>
              <w:pStyle w:val="Compact"/>
              <w:jc w:val="right"/>
            </w:pPr>
            <w:r>
              <w:t xml:space="preserve">1.01</w:t>
            </w:r>
          </w:p>
        </w:tc>
        <w:tc>
          <w:tcPr/>
          <w:p>
            <w:pPr>
              <w:pStyle w:val="Compact"/>
              <w:jc w:val="right"/>
            </w:pPr>
            <w:r>
              <w:t xml:space="preserve">183</w:t>
            </w:r>
          </w:p>
        </w:tc>
        <w:tc>
          <w:tcPr/>
          <w:p>
            <w:pPr>
              <w:pStyle w:val="Compact"/>
              <w:jc w:val="right"/>
            </w:pPr>
            <w:r>
              <w:t xml:space="preserve">6.24</w:t>
            </w:r>
          </w:p>
        </w:tc>
        <w:tc>
          <w:tcPr/>
          <w:p>
            <w:pPr>
              <w:pStyle w:val="Compact"/>
              <w:jc w:val="right"/>
            </w:pPr>
            <w:r>
              <w:t xml:space="preserve">3.91</w:t>
            </w:r>
          </w:p>
        </w:tc>
        <w:tc>
          <w:tcPr/>
          <w:p>
            <w:pPr>
              <w:pStyle w:val="Compact"/>
              <w:jc w:val="right"/>
            </w:pPr>
            <w:r>
              <w:t xml:space="preserve">12.34</w:t>
            </w:r>
          </w:p>
        </w:tc>
      </w:tr>
    </w:tbl>
    <w:p>
      <w:pPr>
        <w:pStyle w:val="BodyText"/>
      </w:pPr>
      <w:r>
        <w:rPr>
          <w:iCs/>
          <w:i/>
        </w:rPr>
        <w:t xml:space="preserve">Panel B. Pairwise correlations</w:t>
      </w:r>
    </w:p>
    <w:tbl>
      <w:tblPr>
        <w:tblStyle w:val="Table"/>
        <w:tblW w:type="pct" w:w="5000"/>
        <w:tblLook w:firstRow="1" w:lastRow="0" w:firstColumn="0" w:lastColumn="0" w:noHBand="0" w:noVBand="0" w:val="0020"/>
        <w:jc w:val="start"/>
      </w:tblPr>
      <w:tblGrid>
        <w:gridCol w:w="609"/>
        <w:gridCol w:w="812"/>
        <w:gridCol w:w="812"/>
        <w:gridCol w:w="812"/>
        <w:gridCol w:w="812"/>
        <w:gridCol w:w="812"/>
        <w:gridCol w:w="812"/>
        <w:gridCol w:w="812"/>
        <w:gridCol w:w="812"/>
        <w:gridCol w:w="812"/>
      </w:tblGrid>
      <w:tr>
        <w:trPr>
          <w:tblHeader w:val="true"/>
        </w:trPr>
        <w:tc>
          <w:tcPr/>
          <w:p>
            <w:pPr>
              <w:pStyle w:val="Compact"/>
              <w:jc w:val="left"/>
            </w:pPr>
            <w:r>
              <w:t xml:space="preserve">Variables</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(1) ln(Wedge)</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 Ecosystem ratio</w:t>
            </w:r>
          </w:p>
        </w:tc>
        <w:tc>
          <w:tcPr/>
          <w:p>
            <w:pPr>
              <w:pStyle w:val="Compact"/>
              <w:jc w:val="right"/>
            </w:pPr>
            <w:r>
              <w:t xml:space="preserve">0.37∗∗∗</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 g(R)</w:t>
            </w:r>
          </w:p>
        </w:tc>
        <w:tc>
          <w:tcPr/>
          <w:p>
            <w:pPr>
              <w:pStyle w:val="Compact"/>
              <w:jc w:val="right"/>
            </w:pPr>
            <w:r>
              <w:t xml:space="preserve">0.13∗</w:t>
            </w:r>
          </w:p>
        </w:tc>
        <w:tc>
          <w:tcPr/>
          <w:p>
            <w:pPr>
              <w:pStyle w:val="Compact"/>
              <w:jc w:val="right"/>
            </w:pPr>
            <w:r>
              <w:t xml:space="preserve">0.18∗∗</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 g(V)</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0.84∗∗∗</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ln(Assets)</w:t>
            </w:r>
          </w:p>
        </w:tc>
        <w:tc>
          <w:tcPr/>
          <w:p>
            <w:pPr>
              <w:pStyle w:val="Compact"/>
              <w:jc w:val="right"/>
            </w:pPr>
            <w:r>
              <w:t xml:space="preserve">0.88∗∗∗</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0.01</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 ln(1+YearsListed)</w:t>
            </w:r>
          </w:p>
        </w:tc>
        <w:tc>
          <w:tcPr/>
          <w:p>
            <w:pPr>
              <w:pStyle w:val="Compact"/>
              <w:jc w:val="right"/>
            </w:pPr>
            <w:r>
              <w:t xml:space="preserve">0.44∗∗∗</w:t>
            </w:r>
          </w:p>
        </w:tc>
        <w:tc>
          <w:tcPr/>
          <w:p>
            <w:pPr>
              <w:pStyle w:val="Compact"/>
              <w:jc w:val="right"/>
            </w:pPr>
            <w:r>
              <w:t xml:space="preserve">-0.20∗∗∗</w:t>
            </w:r>
          </w:p>
        </w:tc>
        <w:tc>
          <w:tcPr/>
          <w:p>
            <w:pPr>
              <w:pStyle w:val="Compact"/>
              <w:jc w:val="right"/>
            </w:pPr>
            <w:r>
              <w:t xml:space="preserve">-0.30∗∗∗</w:t>
            </w:r>
          </w:p>
        </w:tc>
        <w:tc>
          <w:tcPr/>
          <w:p>
            <w:pPr>
              <w:pStyle w:val="Compact"/>
              <w:jc w:val="right"/>
            </w:pPr>
            <w:r>
              <w:t xml:space="preserve">-0.35∗∗∗</w:t>
            </w:r>
          </w:p>
        </w:tc>
        <w:tc>
          <w:tcPr/>
          <w:p>
            <w:pPr>
              <w:pStyle w:val="Compact"/>
              <w:jc w:val="right"/>
            </w:pPr>
            <w:r>
              <w:t xml:space="preserve">0.46∗∗∗</w:t>
            </w:r>
          </w:p>
        </w:tc>
        <w:tc>
          <w:tcPr/>
          <w:p>
            <w:pPr>
              <w:pStyle w:val="Compact"/>
              <w:jc w:val="right"/>
            </w:pPr>
            <w:r>
              <w:t xml:space="preserve">1</w:t>
            </w:r>
          </w:p>
        </w:tc>
        <w:tc>
          <w:tcPr/>
          <w:p>
            <w:pPr>
              <w:pStyle w:val="Compact"/>
            </w:pPr>
          </w:p>
        </w:tc>
        <w:tc>
          <w:tcPr/>
          <w:p>
            <w:pPr>
              <w:pStyle w:val="Compact"/>
            </w:pPr>
          </w:p>
        </w:tc>
        <w:tc>
          <w:tcPr/>
          <w:p>
            <w:pPr>
              <w:pStyle w:val="Compact"/>
            </w:pPr>
          </w:p>
        </w:tc>
      </w:tr>
      <w:tr>
        <w:tc>
          <w:tcPr/>
          <w:p>
            <w:pPr>
              <w:pStyle w:val="Compact"/>
              <w:jc w:val="left"/>
            </w:pPr>
            <w:r>
              <w:t xml:space="preserve">(7) IndonesiaRegion</w:t>
            </w:r>
          </w:p>
        </w:tc>
        <w:tc>
          <w:tcPr/>
          <w:p>
            <w:pPr>
              <w:pStyle w:val="Compact"/>
              <w:jc w:val="right"/>
            </w:pPr>
            <w:r>
              <w:t xml:space="preserve">0.02</w:t>
            </w:r>
          </w:p>
        </w:tc>
        <w:tc>
          <w:tcPr/>
          <w:p>
            <w:pPr>
              <w:pStyle w:val="Compact"/>
              <w:jc w:val="right"/>
            </w:pPr>
            <w:r>
              <w:t xml:space="preserve">0.42∗∗∗</w:t>
            </w:r>
          </w:p>
        </w:tc>
        <w:tc>
          <w:tcPr/>
          <w:p>
            <w:pPr>
              <w:pStyle w:val="Compact"/>
              <w:jc w:val="right"/>
            </w:pPr>
            <w:r>
              <w:t xml:space="preserve">0.13∗</w:t>
            </w:r>
          </w:p>
        </w:tc>
        <w:tc>
          <w:tcPr/>
          <w:p>
            <w:pPr>
              <w:pStyle w:val="Compact"/>
              <w:jc w:val="right"/>
            </w:pPr>
            <w:r>
              <w:t xml:space="preserve">-0.03</w:t>
            </w:r>
          </w:p>
        </w:tc>
        <w:tc>
          <w:tcPr/>
          <w:p>
            <w:pPr>
              <w:pStyle w:val="Compact"/>
              <w:jc w:val="right"/>
            </w:pPr>
            <w:r>
              <w:t xml:space="preserve">0.04</w:t>
            </w:r>
          </w:p>
        </w:tc>
        <w:tc>
          <w:tcPr/>
          <w:p>
            <w:pPr>
              <w:pStyle w:val="Compact"/>
              <w:jc w:val="right"/>
            </w:pPr>
            <w:r>
              <w:t xml:space="preserve">-0.27∗∗∗</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(8) GDPGrowth</w:t>
            </w:r>
          </w:p>
        </w:tc>
        <w:tc>
          <w:tcPr/>
          <w:p>
            <w:pPr>
              <w:pStyle w:val="Compact"/>
              <w:jc w:val="right"/>
            </w:pPr>
            <w:r>
              <w:t xml:space="preserve">0.10</w:t>
            </w:r>
          </w:p>
        </w:tc>
        <w:tc>
          <w:tcPr/>
          <w:p>
            <w:pPr>
              <w:pStyle w:val="Compact"/>
              <w:jc w:val="right"/>
            </w:pPr>
            <w:r>
              <w:t xml:space="preserve">0.23∗∗∗</w:t>
            </w:r>
          </w:p>
        </w:tc>
        <w:tc>
          <w:tcPr/>
          <w:p>
            <w:pPr>
              <w:pStyle w:val="Compact"/>
              <w:jc w:val="right"/>
            </w:pPr>
            <w:r>
              <w:t xml:space="preserve">0.23∗∗∗</w:t>
            </w:r>
          </w:p>
        </w:tc>
        <w:tc>
          <w:tcPr/>
          <w:p>
            <w:pPr>
              <w:pStyle w:val="Compact"/>
              <w:jc w:val="right"/>
            </w:pPr>
            <w:r>
              <w:t xml:space="preserve">0.21∗∗∗</w:t>
            </w:r>
          </w:p>
        </w:tc>
        <w:tc>
          <w:tcPr/>
          <w:p>
            <w:pPr>
              <w:pStyle w:val="Compact"/>
              <w:jc w:val="right"/>
            </w:pPr>
            <w:r>
              <w:t xml:space="preserve">0.06</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1</w:t>
            </w:r>
          </w:p>
        </w:tc>
        <w:tc>
          <w:tcPr/>
          <w:p>
            <w:pPr>
              <w:pStyle w:val="Compact"/>
            </w:pPr>
          </w:p>
        </w:tc>
      </w:tr>
      <w:tr>
        <w:tc>
          <w:tcPr/>
          <w:p>
            <w:pPr>
              <w:pStyle w:val="Compact"/>
              <w:jc w:val="left"/>
            </w:pPr>
            <w:r>
              <w:t xml:space="preserve">(9) PolicyRate</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-0.04</w:t>
            </w:r>
          </w:p>
        </w:tc>
        <w:tc>
          <w:tcPr/>
          <w:p>
            <w:pPr>
              <w:pStyle w:val="Compact"/>
              <w:jc w:val="right"/>
            </w:pPr>
            <w:r>
              <w:t xml:space="preserve">-0.14∗∗</w:t>
            </w:r>
          </w:p>
        </w:tc>
        <w:tc>
          <w:tcPr/>
          <w:p>
            <w:pPr>
              <w:pStyle w:val="Compact"/>
              <w:jc w:val="right"/>
            </w:pPr>
            <w:r>
              <w:t xml:space="preserve">1</w:t>
            </w:r>
          </w:p>
        </w:tc>
      </w:tr>
    </w:tbl>
    <w:p>
      <w:pPr>
        <w:pStyle w:val="BodyText"/>
      </w:pPr>
      <w:r>
        <w:rPr>
          <w:iCs/>
          <w:i/>
        </w:rPr>
        <w:t xml:space="preserve">Note:</w:t>
      </w:r>
      <w:r>
        <w:t xml:space="preserve"> </w:t>
      </w:r>
      <w:r>
        <w:t xml:space="preserve">Inflation and household spending growth are left out of Panel B to fit the page; they correlate 0.80 with the policy rate and 0.92 with GDP growth. The policy rate is missing for Kazakhstan and Nigeria, and some growth and macroeconomic values are missing for the first year of a platform or for 2025. Source: company filings; World Bank; Bank for International Settlements; author’s calculations. Exploratory.</w:t>
      </w:r>
    </w:p>
    <w:p>
      <w:pPr>
        <w:pStyle w:val="BodyText"/>
      </w:pPr>
      <w:r>
        <w:t xml:space="preserve">Across all platforms, revenue growth and transaction value growth have a correlation of 0.84 (Panel B). The wedge and transaction value correlate at 0.9994 in levels, as they must, because the wedge is transaction value minus revenue and revenue is a small part of it. So the test of H1 uses growth rates.</w:t>
      </w:r>
    </w:p>
    <w:p>
      <w:pPr>
        <w:pStyle w:val="BodyText"/>
      </w:pPr>
      <w:r>
        <w:t xml:space="preserve">Table 5.3 tests H1 in growth rates. Abroad, a rise of 1 percentage point in the growth of transaction value goes with a rise of 0.99 points in the growth of revenue (standard error 0.07), which cannot be told from the 1 that proportional growth requires (p = 0.84). The two growth rates correlate at 0.90. In Indonesia and the region the slope is 0.40 (standard error 0.16) and differs from 1 (p = 0.02). The correlation is 0.31, and the constant is 0.44: revenue grew by about 44 percent a year whatever transaction value did. In the regression on all platforms, the slope of the Indonesian and regional group is 0.59 below the foreign slope. The Indonesian and regional result rests on 15 pairs from five platforms, so its standard errors are less reliable than those abroad.</w:t>
      </w:r>
    </w:p>
    <w:p>
      <w:pPr>
        <w:pStyle w:val="BodyText"/>
      </w:pPr>
      <w:r>
        <w:rPr>
          <w:bCs/>
          <w:b/>
        </w:rPr>
        <w:t xml:space="preserve">Table 5.3. Revenue growth and transaction value growth</w:t>
      </w:r>
    </w:p>
    <w:p>
      <w:pPr>
        <w:pStyle w:val="BodyText"/>
      </w:pPr>
      <w:r>
        <w:t xml:space="preserve">This table reports OLS estimates of equation (6). The dependent variable is the growth of revenue, g(R), the simple percentage change from the previous year. Column (1) uses all platforms, with an interaction between transaction value growth and the Indonesia and region dummy, so the coefficient on g(V) in that column is the slope of the foreign platforms. Column (2) uses the 26 foreign platforms with a pair of consecutive years, and column (3) the five Indonesian and regional platforms. Growth rates are capped at their 5th and 95th percentiles. Appendix A defines the variables. Standard errors (in parentheses) are clustered at the platform level. ∗∗∗, ∗∗ and ∗ correspond to statistical significance at the 1%, 5% and 10%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iCs/>
                <w:i/>
              </w:rPr>
              <w:t xml:space="preserve">Dependent variable</w:t>
            </w:r>
          </w:p>
        </w:tc>
        <w:tc>
          <w:tcPr/>
          <w:p>
            <w:pPr>
              <w:pStyle w:val="Compact"/>
              <w:jc w:val="right"/>
            </w:pPr>
            <w:r>
              <w:t xml:space="preserve">g(R)</w:t>
            </w:r>
          </w:p>
        </w:tc>
        <w:tc>
          <w:tcPr/>
          <w:p>
            <w:pPr>
              <w:pStyle w:val="Compact"/>
              <w:jc w:val="right"/>
            </w:pPr>
            <w:r>
              <w:t xml:space="preserve">g(R)</w:t>
            </w:r>
          </w:p>
        </w:tc>
        <w:tc>
          <w:tcPr/>
          <w:p>
            <w:pPr>
              <w:pStyle w:val="Compact"/>
              <w:jc w:val="right"/>
            </w:pPr>
            <w:r>
              <w:t xml:space="preserve">g(R)</w:t>
            </w:r>
          </w:p>
        </w:tc>
      </w:tr>
      <w:tr>
        <w:tc>
          <w:tcPr/>
          <w:p>
            <w:pPr>
              <w:pStyle w:val="Compact"/>
              <w:jc w:val="left"/>
            </w:pPr>
            <w:r>
              <w:t xml:space="preserve">Sample</w:t>
            </w:r>
          </w:p>
        </w:tc>
        <w:tc>
          <w:tcPr/>
          <w:p>
            <w:pPr>
              <w:pStyle w:val="Compact"/>
              <w:jc w:val="right"/>
            </w:pPr>
            <w:r>
              <w:t xml:space="preserve">All platforms</w:t>
            </w:r>
          </w:p>
        </w:tc>
        <w:tc>
          <w:tcPr/>
          <w:p>
            <w:pPr>
              <w:pStyle w:val="Compact"/>
              <w:jc w:val="right"/>
            </w:pPr>
            <w:r>
              <w:t xml:space="preserve">Foreign</w:t>
            </w:r>
          </w:p>
        </w:tc>
        <w:tc>
          <w:tcPr/>
          <w:p>
            <w:pPr>
              <w:pStyle w:val="Compact"/>
              <w:jc w:val="right"/>
            </w:pPr>
            <w:r>
              <w:t xml:space="preserve">Indonesian and regional</w:t>
            </w:r>
          </w:p>
        </w:tc>
      </w:tr>
      <w:tr>
        <w:tc>
          <w:tcPr/>
          <w:p>
            <w:pPr>
              <w:pStyle w:val="Compact"/>
            </w:pP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g(V)</w:t>
            </w:r>
          </w:p>
        </w:tc>
        <w:tc>
          <w:tcPr/>
          <w:p>
            <w:pPr>
              <w:pStyle w:val="Compact"/>
              <w:jc w:val="right"/>
            </w:pPr>
            <w:r>
              <w:t xml:space="preserve">0.986∗∗∗</w:t>
            </w:r>
          </w:p>
        </w:tc>
        <w:tc>
          <w:tcPr/>
          <w:p>
            <w:pPr>
              <w:pStyle w:val="Compact"/>
              <w:jc w:val="right"/>
            </w:pPr>
            <w:r>
              <w:t xml:space="preserve">0.986∗∗∗</w:t>
            </w:r>
          </w:p>
        </w:tc>
        <w:tc>
          <w:tcPr/>
          <w:p>
            <w:pPr>
              <w:pStyle w:val="Compact"/>
              <w:jc w:val="right"/>
            </w:pPr>
            <w:r>
              <w:t xml:space="preserve">0.399∗</w:t>
            </w:r>
          </w:p>
        </w:tc>
      </w:tr>
      <w:tr>
        <w:tc>
          <w:tcPr/>
          <w:p>
            <w:pPr>
              <w:pStyle w:val="Compact"/>
            </w:pPr>
          </w:p>
        </w:tc>
        <w:tc>
          <w:tcPr/>
          <w:p>
            <w:pPr>
              <w:pStyle w:val="Compact"/>
              <w:jc w:val="right"/>
            </w:pPr>
            <w:r>
              <w:t xml:space="preserve">(0.072)</w:t>
            </w:r>
          </w:p>
        </w:tc>
        <w:tc>
          <w:tcPr/>
          <w:p>
            <w:pPr>
              <w:pStyle w:val="Compact"/>
              <w:jc w:val="right"/>
            </w:pPr>
            <w:r>
              <w:t xml:space="preserve">(0.072)</w:t>
            </w:r>
          </w:p>
        </w:tc>
        <w:tc>
          <w:tcPr/>
          <w:p>
            <w:pPr>
              <w:pStyle w:val="Compact"/>
              <w:jc w:val="right"/>
            </w:pPr>
            <w:r>
              <w:t xml:space="preserve">(0.159)</w:t>
            </w:r>
          </w:p>
        </w:tc>
      </w:tr>
      <w:tr>
        <w:tc>
          <w:tcPr/>
          <w:p>
            <w:pPr>
              <w:pStyle w:val="Compact"/>
              <w:jc w:val="left"/>
            </w:pPr>
            <w:r>
              <w:t xml:space="preserve">IndonesiaRegion</w:t>
            </w:r>
          </w:p>
        </w:tc>
        <w:tc>
          <w:tcPr/>
          <w:p>
            <w:pPr>
              <w:pStyle w:val="Compact"/>
              <w:jc w:val="right"/>
            </w:pPr>
            <w:r>
              <w:t xml:space="preserve">0.379∗∗∗</w:t>
            </w:r>
          </w:p>
        </w:tc>
        <w:tc>
          <w:tcPr/>
          <w:p>
            <w:pPr>
              <w:pStyle w:val="Compact"/>
            </w:pPr>
          </w:p>
        </w:tc>
        <w:tc>
          <w:tcPr/>
          <w:p>
            <w:pPr>
              <w:pStyle w:val="Compact"/>
            </w:pPr>
          </w:p>
        </w:tc>
      </w:tr>
      <w:tr>
        <w:tc>
          <w:tcPr/>
          <w:p>
            <w:pPr>
              <w:pStyle w:val="Compact"/>
            </w:pPr>
          </w:p>
        </w:tc>
        <w:tc>
          <w:tcPr/>
          <w:p>
            <w:pPr>
              <w:pStyle w:val="Compact"/>
              <w:jc w:val="right"/>
            </w:pPr>
            <w:r>
              <w:t xml:space="preserve">(0.060)</w:t>
            </w:r>
          </w:p>
        </w:tc>
        <w:tc>
          <w:tcPr/>
          <w:p>
            <w:pPr>
              <w:pStyle w:val="Compact"/>
            </w:pPr>
          </w:p>
        </w:tc>
        <w:tc>
          <w:tcPr/>
          <w:p>
            <w:pPr>
              <w:pStyle w:val="Compact"/>
            </w:pPr>
          </w:p>
        </w:tc>
      </w:tr>
      <w:tr>
        <w:tc>
          <w:tcPr/>
          <w:p>
            <w:pPr>
              <w:pStyle w:val="Compact"/>
              <w:jc w:val="left"/>
            </w:pPr>
            <w:r>
              <w:t xml:space="preserve">IndonesiaRegion × g(V)</w:t>
            </w:r>
          </w:p>
        </w:tc>
        <w:tc>
          <w:tcPr/>
          <w:p>
            <w:pPr>
              <w:pStyle w:val="Compact"/>
              <w:jc w:val="right"/>
            </w:pPr>
            <w:r>
              <w:t xml:space="preserve">-0.587∗∗∗</w:t>
            </w:r>
          </w:p>
        </w:tc>
        <w:tc>
          <w:tcPr/>
          <w:p>
            <w:pPr>
              <w:pStyle w:val="Compact"/>
            </w:pPr>
          </w:p>
        </w:tc>
        <w:tc>
          <w:tcPr/>
          <w:p>
            <w:pPr>
              <w:pStyle w:val="Compact"/>
            </w:pPr>
          </w:p>
        </w:tc>
      </w:tr>
      <w:tr>
        <w:tc>
          <w:tcPr/>
          <w:p>
            <w:pPr>
              <w:pStyle w:val="Compact"/>
            </w:pPr>
          </w:p>
        </w:tc>
        <w:tc>
          <w:tcPr/>
          <w:p>
            <w:pPr>
              <w:pStyle w:val="Compact"/>
              <w:jc w:val="right"/>
            </w:pPr>
            <w:r>
              <w:t xml:space="preserve">(0.158)</w:t>
            </w:r>
          </w:p>
        </w:tc>
        <w:tc>
          <w:tcPr/>
          <w:p>
            <w:pPr>
              <w:pStyle w:val="Compact"/>
            </w:pPr>
          </w:p>
        </w:tc>
        <w:tc>
          <w:tcPr/>
          <w:p>
            <w:pPr>
              <w:pStyle w:val="Compact"/>
            </w:pPr>
          </w:p>
        </w:tc>
      </w:tr>
      <w:tr>
        <w:tc>
          <w:tcPr/>
          <w:p>
            <w:pPr>
              <w:pStyle w:val="Compact"/>
              <w:jc w:val="left"/>
            </w:pPr>
            <w:r>
              <w:t xml:space="preserve">Constant</w:t>
            </w:r>
          </w:p>
        </w:tc>
        <w:tc>
          <w:tcPr/>
          <w:p>
            <w:pPr>
              <w:pStyle w:val="Compact"/>
              <w:jc w:val="right"/>
            </w:pPr>
            <w:r>
              <w:t xml:space="preserve">0.059∗∗∗</w:t>
            </w:r>
          </w:p>
        </w:tc>
        <w:tc>
          <w:tcPr/>
          <w:p>
            <w:pPr>
              <w:pStyle w:val="Compact"/>
              <w:jc w:val="right"/>
            </w:pPr>
            <w:r>
              <w:t xml:space="preserve">0.059∗∗∗</w:t>
            </w:r>
          </w:p>
        </w:tc>
        <w:tc>
          <w:tcPr/>
          <w:p>
            <w:pPr>
              <w:pStyle w:val="Compact"/>
              <w:jc w:val="right"/>
            </w:pPr>
            <w:r>
              <w:t xml:space="preserve">0.439∗∗∗</w:t>
            </w:r>
          </w:p>
        </w:tc>
      </w:tr>
      <w:tr>
        <w:tc>
          <w:tcPr/>
          <w:p>
            <w:pPr>
              <w:pStyle w:val="Compact"/>
            </w:pPr>
          </w:p>
        </w:tc>
        <w:tc>
          <w:tcPr/>
          <w:p>
            <w:pPr>
              <w:pStyle w:val="Compact"/>
              <w:jc w:val="right"/>
            </w:pPr>
            <w:r>
              <w:t xml:space="preserve">(0.019)</w:t>
            </w:r>
          </w:p>
        </w:tc>
        <w:tc>
          <w:tcPr/>
          <w:p>
            <w:pPr>
              <w:pStyle w:val="Compact"/>
              <w:jc w:val="right"/>
            </w:pPr>
            <w:r>
              <w:t xml:space="preserve">(0.019)</w:t>
            </w:r>
          </w:p>
        </w:tc>
        <w:tc>
          <w:tcPr/>
          <w:p>
            <w:pPr>
              <w:pStyle w:val="Compact"/>
              <w:jc w:val="right"/>
            </w:pPr>
            <w:r>
              <w:t xml:space="preserve">(0.065)</w:t>
            </w:r>
          </w:p>
        </w:tc>
      </w:tr>
      <w:tr>
        <w:tc>
          <w:tcPr/>
          <w:p>
            <w:pPr>
              <w:pStyle w:val="Compact"/>
              <w:jc w:val="left"/>
            </w:pPr>
            <w:r>
              <w:t xml:space="preserve">Observations</w:t>
            </w:r>
          </w:p>
        </w:tc>
        <w:tc>
          <w:tcPr/>
          <w:p>
            <w:pPr>
              <w:pStyle w:val="Compact"/>
              <w:jc w:val="right"/>
            </w:pPr>
            <w:r>
              <w:t xml:space="preserve">181</w:t>
            </w:r>
          </w:p>
        </w:tc>
        <w:tc>
          <w:tcPr/>
          <w:p>
            <w:pPr>
              <w:pStyle w:val="Compact"/>
              <w:jc w:val="right"/>
            </w:pPr>
            <w:r>
              <w:t xml:space="preserve">166</w:t>
            </w:r>
          </w:p>
        </w:tc>
        <w:tc>
          <w:tcPr/>
          <w:p>
            <w:pPr>
              <w:pStyle w:val="Compact"/>
              <w:jc w:val="right"/>
            </w:pPr>
            <w:r>
              <w:t xml:space="preserve">15</w:t>
            </w:r>
          </w:p>
        </w:tc>
      </w:tr>
      <w:tr>
        <w:tc>
          <w:tcPr/>
          <w:p>
            <w:pPr>
              <w:pStyle w:val="Compact"/>
              <w:jc w:val="left"/>
            </w:pPr>
            <w:r>
              <w:t xml:space="preserve">Platforms (clusters)</w:t>
            </w:r>
          </w:p>
        </w:tc>
        <w:tc>
          <w:tcPr/>
          <w:p>
            <w:pPr>
              <w:pStyle w:val="Compact"/>
              <w:jc w:val="right"/>
            </w:pPr>
            <w:r>
              <w:t xml:space="preserve">31</w:t>
            </w:r>
          </w:p>
        </w:tc>
        <w:tc>
          <w:tcPr/>
          <w:p>
            <w:pPr>
              <w:pStyle w:val="Compact"/>
              <w:jc w:val="right"/>
            </w:pPr>
            <w:r>
              <w:t xml:space="preserve">26</w:t>
            </w:r>
          </w:p>
        </w:tc>
        <w:tc>
          <w:tcPr/>
          <w:p>
            <w:pPr>
              <w:pStyle w:val="Compact"/>
              <w:jc w:val="right"/>
            </w:pPr>
            <w:r>
              <w:t xml:space="preserve">5</w:t>
            </w:r>
          </w:p>
        </w:tc>
      </w:tr>
      <w:tr>
        <w:tc>
          <w:tcPr/>
          <w:p>
            <w:pPr>
              <w:pStyle w:val="Compact"/>
              <w:jc w:val="left"/>
            </w:pPr>
            <w:r>
              <w:rPr>
                <w:iCs/>
                <w:i/>
              </w:rPr>
              <w:t xml:space="preserve">R</w:t>
            </w:r>
            <w:r>
              <w:rPr>
                <w:vertAlign w:val="superscript"/>
              </w:rPr>
              <w:t xml:space="preserve">2</w:t>
            </w:r>
          </w:p>
        </w:tc>
        <w:tc>
          <w:tcPr/>
          <w:p>
            <w:pPr>
              <w:pStyle w:val="Compact"/>
              <w:jc w:val="right"/>
            </w:pPr>
            <w:r>
              <w:t xml:space="preserve">0.750</w:t>
            </w:r>
          </w:p>
        </w:tc>
        <w:tc>
          <w:tcPr/>
          <w:p>
            <w:pPr>
              <w:pStyle w:val="Compact"/>
              <w:jc w:val="right"/>
            </w:pPr>
            <w:r>
              <w:t xml:space="preserve">0.802</w:t>
            </w:r>
          </w:p>
        </w:tc>
        <w:tc>
          <w:tcPr/>
          <w:p>
            <w:pPr>
              <w:pStyle w:val="Compact"/>
              <w:jc w:val="right"/>
            </w:pPr>
            <w:r>
              <w:t xml:space="preserve">0.094</w:t>
            </w:r>
          </w:p>
        </w:tc>
      </w:tr>
      <w:tr>
        <w:tc>
          <w:tcPr/>
          <w:p>
            <w:pPr>
              <w:pStyle w:val="Compact"/>
              <w:jc w:val="left"/>
            </w:pPr>
            <w:r>
              <w:rPr>
                <w:iCs/>
                <w:i/>
              </w:rPr>
              <w:t xml:space="preserve">p</w:t>
            </w:r>
            <w:r>
              <w:t xml:space="preserve">-value, slope on g(V) equal to 1</w:t>
            </w:r>
          </w:p>
        </w:tc>
        <w:tc>
          <w:tcPr/>
          <w:p>
            <w:pPr>
              <w:pStyle w:val="Compact"/>
              <w:jc w:val="right"/>
            </w:pPr>
            <w:r>
              <w:t xml:space="preserve">0.845</w:t>
            </w:r>
          </w:p>
        </w:tc>
        <w:tc>
          <w:tcPr/>
          <w:p>
            <w:pPr>
              <w:pStyle w:val="Compact"/>
              <w:jc w:val="right"/>
            </w:pPr>
            <w:r>
              <w:t xml:space="preserve">0.845</w:t>
            </w:r>
          </w:p>
        </w:tc>
        <w:tc>
          <w:tcPr/>
          <w:p>
            <w:pPr>
              <w:pStyle w:val="Compact"/>
              <w:jc w:val="right"/>
            </w:pPr>
            <w:r>
              <w:t xml:space="preserve">0.019</w:t>
            </w:r>
          </w:p>
        </w:tc>
      </w:tr>
      <w:tr>
        <w:tc>
          <w:tcPr/>
          <w:p>
            <w:pPr>
              <w:pStyle w:val="Compact"/>
              <w:jc w:val="left"/>
            </w:pPr>
            <w:r>
              <w:t xml:space="preserve">Pearson correlation, g(R) and g(V)</w:t>
            </w:r>
          </w:p>
        </w:tc>
        <w:tc>
          <w:tcPr/>
          <w:p>
            <w:pPr>
              <w:pStyle w:val="Compact"/>
              <w:jc w:val="right"/>
            </w:pPr>
            <w:r>
              <w:t xml:space="preserve">0.843</w:t>
            </w:r>
          </w:p>
        </w:tc>
        <w:tc>
          <w:tcPr/>
          <w:p>
            <w:pPr>
              <w:pStyle w:val="Compact"/>
              <w:jc w:val="right"/>
            </w:pPr>
            <w:r>
              <w:t xml:space="preserve">0.896</w:t>
            </w:r>
          </w:p>
        </w:tc>
        <w:tc>
          <w:tcPr/>
          <w:p>
            <w:pPr>
              <w:pStyle w:val="Compact"/>
              <w:jc w:val="right"/>
            </w:pPr>
            <w:r>
              <w:t xml:space="preserve">0.307</w:t>
            </w:r>
          </w:p>
        </w:tc>
      </w:tr>
    </w:tbl>
    <w:p>
      <w:pPr>
        <w:pStyle w:val="BodyText"/>
      </w:pPr>
      <w:r>
        <w:rPr>
          <w:iCs/>
          <w:i/>
        </w:rPr>
        <w:t xml:space="preserve">Note:</w:t>
      </w:r>
      <w:r>
        <w:t xml:space="preserve"> </w:t>
      </w:r>
      <w:r>
        <w:t xml:space="preserve">The slope on g(V) is 1 if revenue grows in proportion to transaction value. Source: company filings; author’s calculations. Exploratory.</w:t>
      </w:r>
    </w:p>
    <w:p>
      <w:pPr>
        <w:pStyle w:val="BodyText"/>
      </w:pPr>
      <w:r>
        <w:t xml:space="preserve">The earlier test of the size of take-rate moves points the same way. At the typical Indonesian and regional platform the take rate moved by 22 percent a year, up or down. At the typical foreign platform it moved by 6 percent, so the moves were about 3.6 times as large (Mann–Whitney p = 0.003; shuffling the group labels, p = 0.01). Measured in logs, as in an earlier version of this test, the medians are 0.20 and 0.06 (p = 0.004), and exact versions that list every possible split of the 32 platforms agree (p = 0.004 and 0.021). No single platform carries that result: dropping any one, or treating Tokopedia and GoTo as one company, keeps p at 0.016 or below. Dropping the two largest movers, Blibli and Tokopedia, weakens it to p = 0.058 (Appendix C).</w:t>
      </w:r>
    </w:p>
    <w:p>
      <w:pPr>
        <w:pStyle w:val="BodyText"/>
      </w:pPr>
      <w:r>
        <w:t xml:space="preserve">The test of the size of moves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Both tests of the size of moves ask about their size,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Age does not explain the result. The Indonesian and regional platforms made their largest moves one or two years after listing on the stock market, but foreign platforms did not move their take rates more in their first three years after listing than later (median 0.07 against 0.08 in logs, p = 0.24, an exploratory check), and Table 5.4 shows that years since listing explains neither the wedge nor the ecosystem ratio.</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 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in its Panels A, B and C. The test shows that take rates moved, but not what the platforms changed to move them.</w:t>
      </w:r>
    </w:p>
    <w:p>
      <w:pPr>
        <w:pStyle w:val="BodyText"/>
      </w:pPr>
      <w:r>
        <w:drawing>
          <wp:inline>
            <wp:extent cx="5334000" cy="1931664"/>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31664"/>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Panel A: the share of each sale that the platform keeps, on a log scale. Panel B: the yearly change in that share, in percentage points. Panel C: the same change relative to the share itself, as a simple percentage change. Black bars mark group medians. The foreign group has 26 platforms here and 27 in the main test, because one platform has no pair of usable years for the change in points. Source: company filings; author’s calculations. Exploratory.</w:t>
      </w:r>
    </w:p>
    <w:bookmarkEnd w:id="56"/>
    <w:bookmarkStart w:id="60" w:name="X56de9ba7770ef3105b879e5bfcd70c78553d119"/>
    <w:p>
      <w:pPr>
        <w:pStyle w:val="Heading2"/>
      </w:pPr>
      <w:r>
        <w:t xml:space="preserve">5.3 What explains the wedge and the ecosystem ratio</w:t>
      </w:r>
    </w:p>
    <w:p>
      <w:pPr>
        <w:pStyle w:val="FirstParagraph"/>
      </w:pPr>
      <w:r>
        <w:t xml:space="preserve">Size explains the wedge, and pricing explains the ecosystem ratio. Table 5.4 regresses each on the features of the platform and of its home market.</w:t>
      </w:r>
    </w:p>
    <w:p>
      <w:pPr>
        <w:pStyle w:val="BodyText"/>
      </w:pPr>
      <w:r>
        <w:rPr>
          <w:bCs/>
          <w:b/>
        </w:rPr>
        <w:t xml:space="preserve">Table 5.4. What explains the wedge and the ecosystem ratio</w:t>
      </w:r>
    </w:p>
    <w:p>
      <w:pPr>
        <w:pStyle w:val="BodyText"/>
      </w:pPr>
      <w:r>
        <w:t xml:space="preserve">This table reports OLS estimates of equation (7). The dependent variable is the natural logarithm of the wedge in US dollars in columns (1) to (3) and the ecosystem ratio, capped at its 5th and 95th percentiles, in columns (4) to (6). IndonesiaRegion equals one for the Indonesian and regional platforms. Size is total assets in US dollars. The base type is marketplace. Columns (2), (3), (5) and (6) add the GDP growth, inflation, household spending growth and policy rate of the platform’s main market, and columns (3) and (6) add year dummies. Appendix A defines the variables. Standard errors (in parentheses) are clustered at the platform level. ∗∗∗, ∗∗ and ∗ correspond to statistical significance at the 1%, 5% and 10% levels. The last row gives the p-value of a wild cluster bootstrap with 2,999 replications for IndonesiaRegion.</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rPr>
                <w:iCs/>
                <w:i/>
              </w:rPr>
              <w:t xml:space="preserve">Dependent variable</w:t>
            </w:r>
          </w:p>
        </w:tc>
        <w:tc>
          <w:tcPr/>
          <w:p>
            <w:pPr>
              <w:pStyle w:val="Compact"/>
              <w:jc w:val="right"/>
            </w:pPr>
            <w:r>
              <w:t xml:space="preserve">ln(Wedge)</w:t>
            </w:r>
          </w:p>
        </w:tc>
        <w:tc>
          <w:tcPr/>
          <w:p>
            <w:pPr>
              <w:pStyle w:val="Compact"/>
              <w:jc w:val="right"/>
            </w:pPr>
            <w:r>
              <w:t xml:space="preserve">ln(Wedge)</w:t>
            </w:r>
          </w:p>
        </w:tc>
        <w:tc>
          <w:tcPr/>
          <w:p>
            <w:pPr>
              <w:pStyle w:val="Compact"/>
              <w:jc w:val="right"/>
            </w:pPr>
            <w:r>
              <w:t xml:space="preserve">ln(Wedge)</w:t>
            </w:r>
          </w:p>
        </w:tc>
        <w:tc>
          <w:tcPr/>
          <w:p>
            <w:pPr>
              <w:pStyle w:val="Compact"/>
              <w:jc w:val="right"/>
            </w:pPr>
            <w:r>
              <w:t xml:space="preserve">Ecosystem ratio</w:t>
            </w:r>
          </w:p>
        </w:tc>
        <w:tc>
          <w:tcPr/>
          <w:p>
            <w:pPr>
              <w:pStyle w:val="Compact"/>
              <w:jc w:val="right"/>
            </w:pPr>
            <w:r>
              <w:t xml:space="preserve">Ecosystem ratio</w:t>
            </w:r>
          </w:p>
        </w:tc>
        <w:tc>
          <w:tcPr/>
          <w:p>
            <w:pPr>
              <w:pStyle w:val="Compact"/>
              <w:jc w:val="right"/>
            </w:pPr>
            <w:r>
              <w:t xml:space="preserve">Ecosystem ratio</w:t>
            </w:r>
          </w:p>
        </w:tc>
      </w:tr>
      <w:tr>
        <w:tc>
          <w:tcPr/>
          <w:p>
            <w:pPr>
              <w:pStyle w:val="Compact"/>
            </w:pP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r>
      <w:tr>
        <w:tc>
          <w:tcPr/>
          <w:p>
            <w:pPr>
              <w:pStyle w:val="Compact"/>
              <w:jc w:val="left"/>
            </w:pPr>
            <w:r>
              <w:t xml:space="preserve">IndonesiaRegion</w:t>
            </w:r>
          </w:p>
        </w:tc>
        <w:tc>
          <w:tcPr/>
          <w:p>
            <w:pPr>
              <w:pStyle w:val="Compact"/>
              <w:jc w:val="right"/>
            </w:pPr>
            <w:r>
              <w:t xml:space="preserve">-0.075</w:t>
            </w:r>
          </w:p>
        </w:tc>
        <w:tc>
          <w:tcPr/>
          <w:p>
            <w:pPr>
              <w:pStyle w:val="Compact"/>
              <w:jc w:val="right"/>
            </w:pPr>
            <w:r>
              <w:t xml:space="preserve">-0.302</w:t>
            </w:r>
          </w:p>
        </w:tc>
        <w:tc>
          <w:tcPr/>
          <w:p>
            <w:pPr>
              <w:pStyle w:val="Compact"/>
              <w:jc w:val="right"/>
            </w:pPr>
            <w:r>
              <w:t xml:space="preserve">0.080</w:t>
            </w:r>
          </w:p>
        </w:tc>
        <w:tc>
          <w:tcPr/>
          <w:p>
            <w:pPr>
              <w:pStyle w:val="Compact"/>
              <w:jc w:val="right"/>
            </w:pPr>
            <w:r>
              <w:t xml:space="preserve">15.214∗∗∗</w:t>
            </w:r>
          </w:p>
        </w:tc>
        <w:tc>
          <w:tcPr/>
          <w:p>
            <w:pPr>
              <w:pStyle w:val="Compact"/>
              <w:jc w:val="right"/>
            </w:pPr>
            <w:r>
              <w:t xml:space="preserve">12.939∗∗∗</w:t>
            </w:r>
          </w:p>
        </w:tc>
        <w:tc>
          <w:tcPr/>
          <w:p>
            <w:pPr>
              <w:pStyle w:val="Compact"/>
              <w:jc w:val="right"/>
            </w:pPr>
            <w:r>
              <w:t xml:space="preserve">17.092∗∗∗</w:t>
            </w:r>
          </w:p>
        </w:tc>
      </w:tr>
      <w:tr>
        <w:tc>
          <w:tcPr/>
          <w:p>
            <w:pPr>
              <w:pStyle w:val="Compact"/>
            </w:pPr>
          </w:p>
        </w:tc>
        <w:tc>
          <w:tcPr/>
          <w:p>
            <w:pPr>
              <w:pStyle w:val="Compact"/>
              <w:jc w:val="right"/>
            </w:pPr>
            <w:r>
              <w:t xml:space="preserve">(0.361)</w:t>
            </w:r>
          </w:p>
        </w:tc>
        <w:tc>
          <w:tcPr/>
          <w:p>
            <w:pPr>
              <w:pStyle w:val="Compact"/>
              <w:jc w:val="right"/>
            </w:pPr>
            <w:r>
              <w:t xml:space="preserve">(0.349)</w:t>
            </w:r>
          </w:p>
        </w:tc>
        <w:tc>
          <w:tcPr/>
          <w:p>
            <w:pPr>
              <w:pStyle w:val="Compact"/>
              <w:jc w:val="right"/>
            </w:pPr>
            <w:r>
              <w:t xml:space="preserve">(0.396)</w:t>
            </w:r>
          </w:p>
        </w:tc>
        <w:tc>
          <w:tcPr/>
          <w:p>
            <w:pPr>
              <w:pStyle w:val="Compact"/>
              <w:jc w:val="right"/>
            </w:pPr>
            <w:r>
              <w:t xml:space="preserve">(3.857)</w:t>
            </w:r>
          </w:p>
        </w:tc>
        <w:tc>
          <w:tcPr/>
          <w:p>
            <w:pPr>
              <w:pStyle w:val="Compact"/>
              <w:jc w:val="right"/>
            </w:pPr>
            <w:r>
              <w:t xml:space="preserve">(3.290)</w:t>
            </w:r>
          </w:p>
        </w:tc>
        <w:tc>
          <w:tcPr/>
          <w:p>
            <w:pPr>
              <w:pStyle w:val="Compact"/>
              <w:jc w:val="right"/>
            </w:pPr>
            <w:r>
              <w:t xml:space="preserve">(3.168)</w:t>
            </w:r>
          </w:p>
        </w:tc>
      </w:tr>
      <w:tr>
        <w:tc>
          <w:tcPr/>
          <w:p>
            <w:pPr>
              <w:pStyle w:val="Compact"/>
              <w:jc w:val="left"/>
            </w:pPr>
            <w:r>
              <w:t xml:space="preserve">ln(1+YearsListed)</w:t>
            </w:r>
          </w:p>
        </w:tc>
        <w:tc>
          <w:tcPr/>
          <w:p>
            <w:pPr>
              <w:pStyle w:val="Compact"/>
              <w:jc w:val="right"/>
            </w:pPr>
            <w:r>
              <w:t xml:space="preserve">-0.066</w:t>
            </w:r>
          </w:p>
        </w:tc>
        <w:tc>
          <w:tcPr/>
          <w:p>
            <w:pPr>
              <w:pStyle w:val="Compact"/>
              <w:jc w:val="right"/>
            </w:pPr>
            <w:r>
              <w:t xml:space="preserve">-0.068</w:t>
            </w:r>
          </w:p>
        </w:tc>
        <w:tc>
          <w:tcPr/>
          <w:p>
            <w:pPr>
              <w:pStyle w:val="Compact"/>
              <w:jc w:val="right"/>
            </w:pPr>
            <w:r>
              <w:t xml:space="preserve">0.093</w:t>
            </w:r>
          </w:p>
        </w:tc>
        <w:tc>
          <w:tcPr/>
          <w:p>
            <w:pPr>
              <w:pStyle w:val="Compact"/>
              <w:jc w:val="right"/>
            </w:pPr>
            <w:r>
              <w:t xml:space="preserve">-2.722</w:t>
            </w:r>
          </w:p>
        </w:tc>
        <w:tc>
          <w:tcPr/>
          <w:p>
            <w:pPr>
              <w:pStyle w:val="Compact"/>
              <w:jc w:val="right"/>
            </w:pPr>
            <w:r>
              <w:t xml:space="preserve">-2.719∗</w:t>
            </w:r>
          </w:p>
        </w:tc>
        <w:tc>
          <w:tcPr/>
          <w:p>
            <w:pPr>
              <w:pStyle w:val="Compact"/>
              <w:jc w:val="right"/>
            </w:pPr>
            <w:r>
              <w:t xml:space="preserve">-1.274</w:t>
            </w:r>
          </w:p>
        </w:tc>
      </w:tr>
      <w:tr>
        <w:tc>
          <w:tcPr/>
          <w:p>
            <w:pPr>
              <w:pStyle w:val="Compact"/>
            </w:pPr>
          </w:p>
        </w:tc>
        <w:tc>
          <w:tcPr/>
          <w:p>
            <w:pPr>
              <w:pStyle w:val="Compact"/>
              <w:jc w:val="right"/>
            </w:pPr>
            <w:r>
              <w:t xml:space="preserve">(0.156)</w:t>
            </w:r>
          </w:p>
        </w:tc>
        <w:tc>
          <w:tcPr/>
          <w:p>
            <w:pPr>
              <w:pStyle w:val="Compact"/>
              <w:jc w:val="right"/>
            </w:pPr>
            <w:r>
              <w:t xml:space="preserve">(0.141)</w:t>
            </w:r>
          </w:p>
        </w:tc>
        <w:tc>
          <w:tcPr/>
          <w:p>
            <w:pPr>
              <w:pStyle w:val="Compact"/>
              <w:jc w:val="right"/>
            </w:pPr>
            <w:r>
              <w:t xml:space="preserve">(0.169)</w:t>
            </w:r>
          </w:p>
        </w:tc>
        <w:tc>
          <w:tcPr/>
          <w:p>
            <w:pPr>
              <w:pStyle w:val="Compact"/>
              <w:jc w:val="right"/>
            </w:pPr>
            <w:r>
              <w:t xml:space="preserve">(1.623)</w:t>
            </w:r>
          </w:p>
        </w:tc>
        <w:tc>
          <w:tcPr/>
          <w:p>
            <w:pPr>
              <w:pStyle w:val="Compact"/>
              <w:jc w:val="right"/>
            </w:pPr>
            <w:r>
              <w:t xml:space="preserve">(1.531)</w:t>
            </w:r>
          </w:p>
        </w:tc>
        <w:tc>
          <w:tcPr/>
          <w:p>
            <w:pPr>
              <w:pStyle w:val="Compact"/>
              <w:jc w:val="right"/>
            </w:pPr>
            <w:r>
              <w:t xml:space="preserve">(1.516)</w:t>
            </w:r>
          </w:p>
        </w:tc>
      </w:tr>
      <w:tr>
        <w:tc>
          <w:tcPr/>
          <w:p>
            <w:pPr>
              <w:pStyle w:val="Compact"/>
              <w:jc w:val="left"/>
            </w:pPr>
            <w:r>
              <w:t xml:space="preserve">ln(Assets)</w:t>
            </w:r>
          </w:p>
        </w:tc>
        <w:tc>
          <w:tcPr/>
          <w:p>
            <w:pPr>
              <w:pStyle w:val="Compact"/>
              <w:jc w:val="right"/>
            </w:pPr>
            <w:r>
              <w:t xml:space="preserve">0.898∗∗∗</w:t>
            </w:r>
          </w:p>
        </w:tc>
        <w:tc>
          <w:tcPr/>
          <w:p>
            <w:pPr>
              <w:pStyle w:val="Compact"/>
              <w:jc w:val="right"/>
            </w:pPr>
            <w:r>
              <w:t xml:space="preserve">0.917∗∗∗</w:t>
            </w:r>
          </w:p>
        </w:tc>
        <w:tc>
          <w:tcPr/>
          <w:p>
            <w:pPr>
              <w:pStyle w:val="Compact"/>
              <w:jc w:val="right"/>
            </w:pPr>
            <w:r>
              <w:t xml:space="preserve">0.900∗∗∗</w:t>
            </w:r>
          </w:p>
        </w:tc>
        <w:tc>
          <w:tcPr/>
          <w:p>
            <w:pPr>
              <w:pStyle w:val="Compact"/>
              <w:jc w:val="right"/>
            </w:pPr>
            <w:r>
              <w:t xml:space="preserve">0.016</w:t>
            </w:r>
          </w:p>
        </w:tc>
        <w:tc>
          <w:tcPr/>
          <w:p>
            <w:pPr>
              <w:pStyle w:val="Compact"/>
              <w:jc w:val="right"/>
            </w:pPr>
            <w:r>
              <w:t xml:space="preserve">-0.281</w:t>
            </w:r>
          </w:p>
        </w:tc>
        <w:tc>
          <w:tcPr/>
          <w:p>
            <w:pPr>
              <w:pStyle w:val="Compact"/>
              <w:jc w:val="right"/>
            </w:pPr>
            <w:r>
              <w:t xml:space="preserve">-0.621</w:t>
            </w:r>
          </w:p>
        </w:tc>
      </w:tr>
      <w:tr>
        <w:tc>
          <w:tcPr/>
          <w:p>
            <w:pPr>
              <w:pStyle w:val="Compact"/>
            </w:pPr>
          </w:p>
        </w:tc>
        <w:tc>
          <w:tcPr/>
          <w:p>
            <w:pPr>
              <w:pStyle w:val="Compact"/>
              <w:jc w:val="right"/>
            </w:pPr>
            <w:r>
              <w:t xml:space="preserve">(0.086)</w:t>
            </w:r>
          </w:p>
        </w:tc>
        <w:tc>
          <w:tcPr/>
          <w:p>
            <w:pPr>
              <w:pStyle w:val="Compact"/>
              <w:jc w:val="right"/>
            </w:pPr>
            <w:r>
              <w:t xml:space="preserve">(0.073)</w:t>
            </w:r>
          </w:p>
        </w:tc>
        <w:tc>
          <w:tcPr/>
          <w:p>
            <w:pPr>
              <w:pStyle w:val="Compact"/>
              <w:jc w:val="right"/>
            </w:pPr>
            <w:r>
              <w:t xml:space="preserve">(0.060)</w:t>
            </w:r>
          </w:p>
        </w:tc>
        <w:tc>
          <w:tcPr/>
          <w:p>
            <w:pPr>
              <w:pStyle w:val="Compact"/>
              <w:jc w:val="right"/>
            </w:pPr>
            <w:r>
              <w:t xml:space="preserve">(0.897)</w:t>
            </w:r>
          </w:p>
        </w:tc>
        <w:tc>
          <w:tcPr/>
          <w:p>
            <w:pPr>
              <w:pStyle w:val="Compact"/>
              <w:jc w:val="right"/>
            </w:pPr>
            <w:r>
              <w:t xml:space="preserve">(0.676)</w:t>
            </w:r>
          </w:p>
        </w:tc>
        <w:tc>
          <w:tcPr/>
          <w:p>
            <w:pPr>
              <w:pStyle w:val="Compact"/>
              <w:jc w:val="right"/>
            </w:pPr>
            <w:r>
              <w:t xml:space="preserve">(0.662)</w:t>
            </w:r>
          </w:p>
        </w:tc>
      </w:tr>
      <w:tr>
        <w:tc>
          <w:tcPr/>
          <w:p>
            <w:pPr>
              <w:pStyle w:val="Compact"/>
              <w:jc w:val="left"/>
            </w:pPr>
            <w:r>
              <w:t xml:space="preserve">OnDemand</w:t>
            </w:r>
          </w:p>
        </w:tc>
        <w:tc>
          <w:tcPr/>
          <w:p>
            <w:pPr>
              <w:pStyle w:val="Compact"/>
              <w:jc w:val="right"/>
            </w:pPr>
            <w:r>
              <w:t xml:space="preserve">-0.950∗∗∗</w:t>
            </w:r>
          </w:p>
        </w:tc>
        <w:tc>
          <w:tcPr/>
          <w:p>
            <w:pPr>
              <w:pStyle w:val="Compact"/>
              <w:jc w:val="right"/>
            </w:pPr>
            <w:r>
              <w:t xml:space="preserve">-0.975∗∗∗</w:t>
            </w:r>
          </w:p>
        </w:tc>
        <w:tc>
          <w:tcPr/>
          <w:p>
            <w:pPr>
              <w:pStyle w:val="Compact"/>
              <w:jc w:val="right"/>
            </w:pPr>
            <w:r>
              <w:t xml:space="preserve">-1.011∗∗∗</w:t>
            </w:r>
          </w:p>
        </w:tc>
        <w:tc>
          <w:tcPr/>
          <w:p>
            <w:pPr>
              <w:pStyle w:val="Compact"/>
              <w:jc w:val="right"/>
            </w:pPr>
            <w:r>
              <w:t xml:space="preserve">-16.597∗∗∗</w:t>
            </w:r>
          </w:p>
        </w:tc>
        <w:tc>
          <w:tcPr/>
          <w:p>
            <w:pPr>
              <w:pStyle w:val="Compact"/>
              <w:jc w:val="right"/>
            </w:pPr>
            <w:r>
              <w:t xml:space="preserve">-17.876∗∗∗</w:t>
            </w:r>
          </w:p>
        </w:tc>
        <w:tc>
          <w:tcPr/>
          <w:p>
            <w:pPr>
              <w:pStyle w:val="Compact"/>
              <w:jc w:val="right"/>
            </w:pPr>
            <w:r>
              <w:t xml:space="preserve">-19.787∗∗∗</w:t>
            </w:r>
          </w:p>
        </w:tc>
      </w:tr>
      <w:tr>
        <w:tc>
          <w:tcPr/>
          <w:p>
            <w:pPr>
              <w:pStyle w:val="Compact"/>
            </w:pPr>
          </w:p>
        </w:tc>
        <w:tc>
          <w:tcPr/>
          <w:p>
            <w:pPr>
              <w:pStyle w:val="Compact"/>
              <w:jc w:val="right"/>
            </w:pPr>
            <w:r>
              <w:t xml:space="preserve">(0.267)</w:t>
            </w:r>
          </w:p>
        </w:tc>
        <w:tc>
          <w:tcPr/>
          <w:p>
            <w:pPr>
              <w:pStyle w:val="Compact"/>
              <w:jc w:val="right"/>
            </w:pPr>
            <w:r>
              <w:t xml:space="preserve">(0.305)</w:t>
            </w:r>
          </w:p>
        </w:tc>
        <w:tc>
          <w:tcPr/>
          <w:p>
            <w:pPr>
              <w:pStyle w:val="Compact"/>
              <w:jc w:val="right"/>
            </w:pPr>
            <w:r>
              <w:t xml:space="preserve">(0.273)</w:t>
            </w:r>
          </w:p>
        </w:tc>
        <w:tc>
          <w:tcPr/>
          <w:p>
            <w:pPr>
              <w:pStyle w:val="Compact"/>
              <w:jc w:val="right"/>
            </w:pPr>
            <w:r>
              <w:t xml:space="preserve">(3.837)</w:t>
            </w:r>
          </w:p>
        </w:tc>
        <w:tc>
          <w:tcPr/>
          <w:p>
            <w:pPr>
              <w:pStyle w:val="Compact"/>
              <w:jc w:val="right"/>
            </w:pPr>
            <w:r>
              <w:t xml:space="preserve">(3.640)</w:t>
            </w:r>
          </w:p>
        </w:tc>
        <w:tc>
          <w:tcPr/>
          <w:p>
            <w:pPr>
              <w:pStyle w:val="Compact"/>
              <w:jc w:val="right"/>
            </w:pPr>
            <w:r>
              <w:t xml:space="preserve">(3.251)</w:t>
            </w:r>
          </w:p>
        </w:tc>
      </w:tr>
      <w:tr>
        <w:tc>
          <w:tcPr/>
          <w:p>
            <w:pPr>
              <w:pStyle w:val="Compact"/>
              <w:jc w:val="left"/>
            </w:pPr>
            <w:r>
              <w:t xml:space="preserve">Travel</w:t>
            </w:r>
          </w:p>
        </w:tc>
        <w:tc>
          <w:tcPr/>
          <w:p>
            <w:pPr>
              <w:pStyle w:val="Compact"/>
              <w:jc w:val="right"/>
            </w:pPr>
            <w:r>
              <w:t xml:space="preserve">-0.053</w:t>
            </w:r>
          </w:p>
        </w:tc>
        <w:tc>
          <w:tcPr/>
          <w:p>
            <w:pPr>
              <w:pStyle w:val="Compact"/>
              <w:jc w:val="right"/>
            </w:pPr>
            <w:r>
              <w:t xml:space="preserve">-0.261</w:t>
            </w:r>
          </w:p>
        </w:tc>
        <w:tc>
          <w:tcPr/>
          <w:p>
            <w:pPr>
              <w:pStyle w:val="Compact"/>
              <w:jc w:val="right"/>
            </w:pPr>
            <w:r>
              <w:t xml:space="preserve">-0.266</w:t>
            </w:r>
          </w:p>
        </w:tc>
        <w:tc>
          <w:tcPr/>
          <w:p>
            <w:pPr>
              <w:pStyle w:val="Compact"/>
              <w:jc w:val="right"/>
            </w:pPr>
            <w:r>
              <w:t xml:space="preserve">-7.313∗</w:t>
            </w:r>
          </w:p>
        </w:tc>
        <w:tc>
          <w:tcPr/>
          <w:p>
            <w:pPr>
              <w:pStyle w:val="Compact"/>
              <w:jc w:val="right"/>
            </w:pPr>
            <w:r>
              <w:t xml:space="preserve">-8.346∗∗</w:t>
            </w:r>
          </w:p>
        </w:tc>
        <w:tc>
          <w:tcPr/>
          <w:p>
            <w:pPr>
              <w:pStyle w:val="Compact"/>
              <w:jc w:val="right"/>
            </w:pPr>
            <w:r>
              <w:t xml:space="preserve">-9.250∗∗</w:t>
            </w:r>
          </w:p>
        </w:tc>
      </w:tr>
      <w:tr>
        <w:tc>
          <w:tcPr/>
          <w:p>
            <w:pPr>
              <w:pStyle w:val="Compact"/>
            </w:pPr>
          </w:p>
        </w:tc>
        <w:tc>
          <w:tcPr/>
          <w:p>
            <w:pPr>
              <w:pStyle w:val="Compact"/>
              <w:jc w:val="right"/>
            </w:pPr>
            <w:r>
              <w:t xml:space="preserve">(0.346)</w:t>
            </w:r>
          </w:p>
        </w:tc>
        <w:tc>
          <w:tcPr/>
          <w:p>
            <w:pPr>
              <w:pStyle w:val="Compact"/>
              <w:jc w:val="right"/>
            </w:pPr>
            <w:r>
              <w:t xml:space="preserve">(0.397)</w:t>
            </w:r>
          </w:p>
        </w:tc>
        <w:tc>
          <w:tcPr/>
          <w:p>
            <w:pPr>
              <w:pStyle w:val="Compact"/>
              <w:jc w:val="right"/>
            </w:pPr>
            <w:r>
              <w:t xml:space="preserve">(0.317)</w:t>
            </w:r>
          </w:p>
        </w:tc>
        <w:tc>
          <w:tcPr/>
          <w:p>
            <w:pPr>
              <w:pStyle w:val="Compact"/>
              <w:jc w:val="right"/>
            </w:pPr>
            <w:r>
              <w:t xml:space="preserve">(3.795)</w:t>
            </w:r>
          </w:p>
        </w:tc>
        <w:tc>
          <w:tcPr/>
          <w:p>
            <w:pPr>
              <w:pStyle w:val="Compact"/>
              <w:jc w:val="right"/>
            </w:pPr>
            <w:r>
              <w:t xml:space="preserve">(3.937)</w:t>
            </w:r>
          </w:p>
        </w:tc>
        <w:tc>
          <w:tcPr/>
          <w:p>
            <w:pPr>
              <w:pStyle w:val="Compact"/>
              <w:jc w:val="right"/>
            </w:pPr>
            <w:r>
              <w:t xml:space="preserve">(3.429)</w:t>
            </w:r>
          </w:p>
        </w:tc>
      </w:tr>
      <w:tr>
        <w:tc>
          <w:tcPr/>
          <w:p>
            <w:pPr>
              <w:pStyle w:val="Compact"/>
              <w:jc w:val="left"/>
            </w:pPr>
            <w:r>
              <w:t xml:space="preserve">Freelance</w:t>
            </w:r>
          </w:p>
        </w:tc>
        <w:tc>
          <w:tcPr/>
          <w:p>
            <w:pPr>
              <w:pStyle w:val="Compact"/>
              <w:jc w:val="right"/>
            </w:pPr>
            <w:r>
              <w:t xml:space="preserve">-0.822</w:t>
            </w:r>
          </w:p>
        </w:tc>
        <w:tc>
          <w:tcPr/>
          <w:p>
            <w:pPr>
              <w:pStyle w:val="Compact"/>
              <w:jc w:val="right"/>
            </w:pPr>
            <w:r>
              <w:t xml:space="preserve">-0.878</w:t>
            </w:r>
          </w:p>
        </w:tc>
        <w:tc>
          <w:tcPr/>
          <w:p>
            <w:pPr>
              <w:pStyle w:val="Compact"/>
              <w:jc w:val="right"/>
            </w:pPr>
            <w:r>
              <w:t xml:space="preserve">-0.741</w:t>
            </w:r>
          </w:p>
        </w:tc>
        <w:tc>
          <w:tcPr/>
          <w:p>
            <w:pPr>
              <w:pStyle w:val="Compact"/>
              <w:jc w:val="right"/>
            </w:pPr>
            <w:r>
              <w:t xml:space="preserve">-11.946∗∗∗</w:t>
            </w:r>
          </w:p>
        </w:tc>
        <w:tc>
          <w:tcPr/>
          <w:p>
            <w:pPr>
              <w:pStyle w:val="Compact"/>
              <w:jc w:val="right"/>
            </w:pPr>
            <w:r>
              <w:t xml:space="preserve">-14.088∗∗∗</w:t>
            </w:r>
          </w:p>
        </w:tc>
        <w:tc>
          <w:tcPr/>
          <w:p>
            <w:pPr>
              <w:pStyle w:val="Compact"/>
              <w:jc w:val="right"/>
            </w:pPr>
            <w:r>
              <w:t xml:space="preserve">-13.658∗∗∗</w:t>
            </w:r>
          </w:p>
        </w:tc>
      </w:tr>
      <w:tr>
        <w:tc>
          <w:tcPr/>
          <w:p>
            <w:pPr>
              <w:pStyle w:val="Compact"/>
            </w:pPr>
          </w:p>
        </w:tc>
        <w:tc>
          <w:tcPr/>
          <w:p>
            <w:pPr>
              <w:pStyle w:val="Compact"/>
              <w:jc w:val="right"/>
            </w:pPr>
            <w:r>
              <w:t xml:space="preserve">(0.540)</w:t>
            </w:r>
          </w:p>
        </w:tc>
        <w:tc>
          <w:tcPr/>
          <w:p>
            <w:pPr>
              <w:pStyle w:val="Compact"/>
              <w:jc w:val="right"/>
            </w:pPr>
            <w:r>
              <w:t xml:space="preserve">(0.576)</w:t>
            </w:r>
          </w:p>
        </w:tc>
        <w:tc>
          <w:tcPr/>
          <w:p>
            <w:pPr>
              <w:pStyle w:val="Compact"/>
              <w:jc w:val="right"/>
            </w:pPr>
            <w:r>
              <w:t xml:space="preserve">(0.580)</w:t>
            </w:r>
          </w:p>
        </w:tc>
        <w:tc>
          <w:tcPr/>
          <w:p>
            <w:pPr>
              <w:pStyle w:val="Compact"/>
              <w:jc w:val="right"/>
            </w:pPr>
            <w:r>
              <w:t xml:space="preserve">(3.706)</w:t>
            </w:r>
          </w:p>
        </w:tc>
        <w:tc>
          <w:tcPr/>
          <w:p>
            <w:pPr>
              <w:pStyle w:val="Compact"/>
              <w:jc w:val="right"/>
            </w:pPr>
            <w:r>
              <w:t xml:space="preserve">(3.599)</w:t>
            </w:r>
          </w:p>
        </w:tc>
        <w:tc>
          <w:tcPr/>
          <w:p>
            <w:pPr>
              <w:pStyle w:val="Compact"/>
              <w:jc w:val="right"/>
            </w:pPr>
            <w:r>
              <w:t xml:space="preserve">(3.581)</w:t>
            </w:r>
          </w:p>
        </w:tc>
      </w:tr>
      <w:tr>
        <w:tc>
          <w:tcPr/>
          <w:p>
            <w:pPr>
              <w:pStyle w:val="Compact"/>
              <w:jc w:val="left"/>
            </w:pPr>
            <w:r>
              <w:t xml:space="preserve">Resale</w:t>
            </w:r>
          </w:p>
        </w:tc>
        <w:tc>
          <w:tcPr/>
          <w:p>
            <w:pPr>
              <w:pStyle w:val="Compact"/>
              <w:jc w:val="right"/>
            </w:pPr>
            <w:r>
              <w:t xml:space="preserve">-0.444</w:t>
            </w:r>
          </w:p>
        </w:tc>
        <w:tc>
          <w:tcPr/>
          <w:p>
            <w:pPr>
              <w:pStyle w:val="Compact"/>
              <w:jc w:val="right"/>
            </w:pPr>
            <w:r>
              <w:t xml:space="preserve">-0.527</w:t>
            </w:r>
          </w:p>
        </w:tc>
        <w:tc>
          <w:tcPr/>
          <w:p>
            <w:pPr>
              <w:pStyle w:val="Compact"/>
              <w:jc w:val="right"/>
            </w:pPr>
            <w:r>
              <w:t xml:space="preserve">-0.477</w:t>
            </w:r>
          </w:p>
        </w:tc>
        <w:tc>
          <w:tcPr/>
          <w:p>
            <w:pPr>
              <w:pStyle w:val="Compact"/>
              <w:jc w:val="right"/>
            </w:pPr>
            <w:r>
              <w:t xml:space="preserve">-8.393∗</w:t>
            </w:r>
          </w:p>
        </w:tc>
        <w:tc>
          <w:tcPr/>
          <w:p>
            <w:pPr>
              <w:pStyle w:val="Compact"/>
              <w:jc w:val="right"/>
            </w:pPr>
            <w:r>
              <w:t xml:space="preserve">-10.223∗∗</w:t>
            </w:r>
          </w:p>
        </w:tc>
        <w:tc>
          <w:tcPr/>
          <w:p>
            <w:pPr>
              <w:pStyle w:val="Compact"/>
              <w:jc w:val="right"/>
            </w:pPr>
            <w:r>
              <w:t xml:space="preserve">-10.912∗∗</w:t>
            </w:r>
          </w:p>
        </w:tc>
      </w:tr>
      <w:tr>
        <w:tc>
          <w:tcPr/>
          <w:p>
            <w:pPr>
              <w:pStyle w:val="Compact"/>
            </w:pPr>
          </w:p>
        </w:tc>
        <w:tc>
          <w:tcPr/>
          <w:p>
            <w:pPr>
              <w:pStyle w:val="Compact"/>
              <w:jc w:val="right"/>
            </w:pPr>
            <w:r>
              <w:t xml:space="preserve">(0.367)</w:t>
            </w:r>
          </w:p>
        </w:tc>
        <w:tc>
          <w:tcPr/>
          <w:p>
            <w:pPr>
              <w:pStyle w:val="Compact"/>
              <w:jc w:val="right"/>
            </w:pPr>
            <w:r>
              <w:t xml:space="preserve">(0.402)</w:t>
            </w:r>
          </w:p>
        </w:tc>
        <w:tc>
          <w:tcPr/>
          <w:p>
            <w:pPr>
              <w:pStyle w:val="Compact"/>
              <w:jc w:val="right"/>
            </w:pPr>
            <w:r>
              <w:t xml:space="preserve">(0.484)</w:t>
            </w:r>
          </w:p>
        </w:tc>
        <w:tc>
          <w:tcPr/>
          <w:p>
            <w:pPr>
              <w:pStyle w:val="Compact"/>
              <w:jc w:val="right"/>
            </w:pPr>
            <w:r>
              <w:t xml:space="preserve">(4.385)</w:t>
            </w:r>
          </w:p>
        </w:tc>
        <w:tc>
          <w:tcPr/>
          <w:p>
            <w:pPr>
              <w:pStyle w:val="Compact"/>
              <w:jc w:val="right"/>
            </w:pPr>
            <w:r>
              <w:t xml:space="preserve">(4.491)</w:t>
            </w:r>
          </w:p>
        </w:tc>
        <w:tc>
          <w:tcPr/>
          <w:p>
            <w:pPr>
              <w:pStyle w:val="Compact"/>
              <w:jc w:val="right"/>
            </w:pPr>
            <w:r>
              <w:t xml:space="preserve">(4.700)</w:t>
            </w:r>
          </w:p>
        </w:tc>
      </w:tr>
      <w:tr>
        <w:tc>
          <w:tcPr/>
          <w:p>
            <w:pPr>
              <w:pStyle w:val="Compact"/>
              <w:jc w:val="left"/>
            </w:pPr>
            <w:r>
              <w:t xml:space="preserve">GDPGrowth</w:t>
            </w:r>
          </w:p>
        </w:tc>
        <w:tc>
          <w:tcPr/>
          <w:p>
            <w:pPr>
              <w:pStyle w:val="Compact"/>
            </w:pPr>
          </w:p>
        </w:tc>
        <w:tc>
          <w:tcPr/>
          <w:p>
            <w:pPr>
              <w:pStyle w:val="Compact"/>
              <w:jc w:val="right"/>
            </w:pPr>
            <w:r>
              <w:t xml:space="preserve">0.106∗</w:t>
            </w:r>
          </w:p>
        </w:tc>
        <w:tc>
          <w:tcPr/>
          <w:p>
            <w:pPr>
              <w:pStyle w:val="Compact"/>
              <w:jc w:val="right"/>
            </w:pPr>
            <w:r>
              <w:t xml:space="preserve">0.148∗∗</w:t>
            </w:r>
          </w:p>
        </w:tc>
        <w:tc>
          <w:tcPr/>
          <w:p>
            <w:pPr>
              <w:pStyle w:val="Compact"/>
            </w:pPr>
          </w:p>
        </w:tc>
        <w:tc>
          <w:tcPr/>
          <w:p>
            <w:pPr>
              <w:pStyle w:val="Compact"/>
              <w:jc w:val="right"/>
            </w:pPr>
            <w:r>
              <w:t xml:space="preserve">1.301∗∗</w:t>
            </w:r>
          </w:p>
        </w:tc>
        <w:tc>
          <w:tcPr/>
          <w:p>
            <w:pPr>
              <w:pStyle w:val="Compact"/>
              <w:jc w:val="right"/>
            </w:pPr>
            <w:r>
              <w:t xml:space="preserve">1.479∗∗</w:t>
            </w:r>
          </w:p>
        </w:tc>
      </w:tr>
      <w:tr>
        <w:tc>
          <w:tcPr/>
          <w:p>
            <w:pPr>
              <w:pStyle w:val="Compact"/>
            </w:pPr>
          </w:p>
        </w:tc>
        <w:tc>
          <w:tcPr/>
          <w:p>
            <w:pPr>
              <w:pStyle w:val="Compact"/>
            </w:pPr>
          </w:p>
        </w:tc>
        <w:tc>
          <w:tcPr/>
          <w:p>
            <w:pPr>
              <w:pStyle w:val="Compact"/>
              <w:jc w:val="right"/>
            </w:pPr>
            <w:r>
              <w:t xml:space="preserve">(0.057)</w:t>
            </w:r>
          </w:p>
        </w:tc>
        <w:tc>
          <w:tcPr/>
          <w:p>
            <w:pPr>
              <w:pStyle w:val="Compact"/>
              <w:jc w:val="right"/>
            </w:pPr>
            <w:r>
              <w:t xml:space="preserve">(0.067)</w:t>
            </w:r>
          </w:p>
        </w:tc>
        <w:tc>
          <w:tcPr/>
          <w:p>
            <w:pPr>
              <w:pStyle w:val="Compact"/>
            </w:pPr>
          </w:p>
        </w:tc>
        <w:tc>
          <w:tcPr/>
          <w:p>
            <w:pPr>
              <w:pStyle w:val="Compact"/>
              <w:jc w:val="right"/>
            </w:pPr>
            <w:r>
              <w:t xml:space="preserve">(0.573)</w:t>
            </w:r>
          </w:p>
        </w:tc>
        <w:tc>
          <w:tcPr/>
          <w:p>
            <w:pPr>
              <w:pStyle w:val="Compact"/>
              <w:jc w:val="right"/>
            </w:pPr>
            <w:r>
              <w:t xml:space="preserve">(0.552)</w:t>
            </w:r>
          </w:p>
        </w:tc>
      </w:tr>
      <w:tr>
        <w:tc>
          <w:tcPr/>
          <w:p>
            <w:pPr>
              <w:pStyle w:val="Compact"/>
              <w:jc w:val="left"/>
            </w:pPr>
            <w:r>
              <w:t xml:space="preserve">Inflation</w:t>
            </w:r>
          </w:p>
        </w:tc>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pPr>
          </w:p>
        </w:tc>
        <w:tc>
          <w:tcPr/>
          <w:p>
            <w:pPr>
              <w:pStyle w:val="Compact"/>
              <w:jc w:val="right"/>
            </w:pPr>
            <w:r>
              <w:t xml:space="preserve">-0.018</w:t>
            </w:r>
          </w:p>
        </w:tc>
        <w:tc>
          <w:tcPr/>
          <w:p>
            <w:pPr>
              <w:pStyle w:val="Compact"/>
              <w:jc w:val="right"/>
            </w:pPr>
            <w:r>
              <w:t xml:space="preserve">-0.006</w:t>
            </w:r>
          </w:p>
        </w:tc>
      </w:tr>
      <w:tr>
        <w:tc>
          <w:tcPr/>
          <w:p>
            <w:pPr>
              <w:pStyle w:val="Compact"/>
            </w:pPr>
          </w:p>
        </w:tc>
        <w:tc>
          <w:tcPr/>
          <w:p>
            <w:pPr>
              <w:pStyle w:val="Compact"/>
            </w:pPr>
          </w:p>
        </w:tc>
        <w:tc>
          <w:tcPr/>
          <w:p>
            <w:pPr>
              <w:pStyle w:val="Compact"/>
              <w:jc w:val="right"/>
            </w:pPr>
            <w:r>
              <w:t xml:space="preserve">(0.003)</w:t>
            </w:r>
          </w:p>
        </w:tc>
        <w:tc>
          <w:tcPr/>
          <w:p>
            <w:pPr>
              <w:pStyle w:val="Compact"/>
              <w:jc w:val="right"/>
            </w:pPr>
            <w:r>
              <w:t xml:space="preserve">(0.003)</w:t>
            </w:r>
          </w:p>
        </w:tc>
        <w:tc>
          <w:tcPr/>
          <w:p>
            <w:pPr>
              <w:pStyle w:val="Compact"/>
            </w:pPr>
          </w:p>
        </w:tc>
        <w:tc>
          <w:tcPr/>
          <w:p>
            <w:pPr>
              <w:pStyle w:val="Compact"/>
              <w:jc w:val="right"/>
            </w:pPr>
            <w:r>
              <w:t xml:space="preserve">(0.024)</w:t>
            </w:r>
          </w:p>
        </w:tc>
        <w:tc>
          <w:tcPr/>
          <w:p>
            <w:pPr>
              <w:pStyle w:val="Compact"/>
              <w:jc w:val="right"/>
            </w:pPr>
            <w:r>
              <w:t xml:space="preserve">(0.027)</w:t>
            </w:r>
          </w:p>
        </w:tc>
      </w:tr>
      <w:tr>
        <w:tc>
          <w:tcPr/>
          <w:p>
            <w:pPr>
              <w:pStyle w:val="Compact"/>
              <w:jc w:val="left"/>
            </w:pPr>
            <w:r>
              <w:t xml:space="preserve">HouseholdGrowth</w:t>
            </w:r>
          </w:p>
        </w:tc>
        <w:tc>
          <w:tcPr/>
          <w:p>
            <w:pPr>
              <w:pStyle w:val="Compact"/>
            </w:pPr>
          </w:p>
        </w:tc>
        <w:tc>
          <w:tcPr/>
          <w:p>
            <w:pPr>
              <w:pStyle w:val="Compact"/>
              <w:jc w:val="right"/>
            </w:pPr>
            <w:r>
              <w:t xml:space="preserve">-0.053∗∗</w:t>
            </w:r>
          </w:p>
        </w:tc>
        <w:tc>
          <w:tcPr/>
          <w:p>
            <w:pPr>
              <w:pStyle w:val="Compact"/>
              <w:jc w:val="right"/>
            </w:pPr>
            <w:r>
              <w:t xml:space="preserve">-0.014</w:t>
            </w:r>
          </w:p>
        </w:tc>
        <w:tc>
          <w:tcPr/>
          <w:p>
            <w:pPr>
              <w:pStyle w:val="Compact"/>
            </w:pPr>
          </w:p>
        </w:tc>
        <w:tc>
          <w:tcPr/>
          <w:p>
            <w:pPr>
              <w:pStyle w:val="Compact"/>
              <w:jc w:val="right"/>
            </w:pPr>
            <w:r>
              <w:t xml:space="preserve">-0.785∗</w:t>
            </w:r>
          </w:p>
        </w:tc>
        <w:tc>
          <w:tcPr/>
          <w:p>
            <w:pPr>
              <w:pStyle w:val="Compact"/>
              <w:jc w:val="right"/>
            </w:pPr>
            <w:r>
              <w:t xml:space="preserve">-0.687</w:t>
            </w:r>
          </w:p>
        </w:tc>
      </w:tr>
      <w:tr>
        <w:tc>
          <w:tcPr/>
          <w:p>
            <w:pPr>
              <w:pStyle w:val="Compact"/>
            </w:pPr>
          </w:p>
        </w:tc>
        <w:tc>
          <w:tcPr/>
          <w:p>
            <w:pPr>
              <w:pStyle w:val="Compact"/>
            </w:pPr>
          </w:p>
        </w:tc>
        <w:tc>
          <w:tcPr/>
          <w:p>
            <w:pPr>
              <w:pStyle w:val="Compact"/>
              <w:jc w:val="right"/>
            </w:pPr>
            <w:r>
              <w:t xml:space="preserve">(0.025)</w:t>
            </w:r>
          </w:p>
        </w:tc>
        <w:tc>
          <w:tcPr/>
          <w:p>
            <w:pPr>
              <w:pStyle w:val="Compact"/>
              <w:jc w:val="right"/>
            </w:pPr>
            <w:r>
              <w:t xml:space="preserve">(0.031)</w:t>
            </w:r>
          </w:p>
        </w:tc>
        <w:tc>
          <w:tcPr/>
          <w:p>
            <w:pPr>
              <w:pStyle w:val="Compact"/>
            </w:pPr>
          </w:p>
        </w:tc>
        <w:tc>
          <w:tcPr/>
          <w:p>
            <w:pPr>
              <w:pStyle w:val="Compact"/>
              <w:jc w:val="right"/>
            </w:pPr>
            <w:r>
              <w:t xml:space="preserve">(0.452)</w:t>
            </w:r>
          </w:p>
        </w:tc>
        <w:tc>
          <w:tcPr/>
          <w:p>
            <w:pPr>
              <w:pStyle w:val="Compact"/>
              <w:jc w:val="right"/>
            </w:pPr>
            <w:r>
              <w:t xml:space="preserve">(0.490)</w:t>
            </w:r>
          </w:p>
        </w:tc>
      </w:tr>
      <w:tr>
        <w:tc>
          <w:tcPr/>
          <w:p>
            <w:pPr>
              <w:pStyle w:val="Compact"/>
              <w:jc w:val="left"/>
            </w:pPr>
            <w:r>
              <w:t xml:space="preserve">PolicyRate</w:t>
            </w:r>
          </w:p>
        </w:tc>
        <w:tc>
          <w:tcPr/>
          <w:p>
            <w:pPr>
              <w:pStyle w:val="Compact"/>
            </w:pPr>
          </w:p>
        </w:tc>
        <w:tc>
          <w:tcPr/>
          <w:p>
            <w:pPr>
              <w:pStyle w:val="Compact"/>
              <w:jc w:val="right"/>
            </w:pPr>
            <w:r>
              <w:t xml:space="preserve">0.008</w:t>
            </w:r>
          </w:p>
        </w:tc>
        <w:tc>
          <w:tcPr/>
          <w:p>
            <w:pPr>
              <w:pStyle w:val="Compact"/>
              <w:jc w:val="right"/>
            </w:pPr>
            <w:r>
              <w:t xml:space="preserve">0.011</w:t>
            </w:r>
          </w:p>
        </w:tc>
        <w:tc>
          <w:tcPr/>
          <w:p>
            <w:pPr>
              <w:pStyle w:val="Compact"/>
            </w:pPr>
          </w:p>
        </w:tc>
        <w:tc>
          <w:tcPr/>
          <w:p>
            <w:pPr>
              <w:pStyle w:val="Compact"/>
              <w:jc w:val="right"/>
            </w:pPr>
            <w:r>
              <w:t xml:space="preserve">-0.033</w:t>
            </w:r>
          </w:p>
        </w:tc>
        <w:tc>
          <w:tcPr/>
          <w:p>
            <w:pPr>
              <w:pStyle w:val="Compact"/>
              <w:jc w:val="right"/>
            </w:pPr>
            <w:r>
              <w:t xml:space="preserve">-0.005</w:t>
            </w:r>
          </w:p>
        </w:tc>
      </w:tr>
      <w:tr>
        <w:tc>
          <w:tcPr/>
          <w:p>
            <w:pPr>
              <w:pStyle w:val="Compact"/>
            </w:pPr>
          </w:p>
        </w:tc>
        <w:tc>
          <w:tcPr/>
          <w:p>
            <w:pPr>
              <w:pStyle w:val="Compact"/>
            </w:pPr>
          </w:p>
        </w:tc>
        <w:tc>
          <w:tcPr/>
          <w:p>
            <w:pPr>
              <w:pStyle w:val="Compact"/>
              <w:jc w:val="right"/>
            </w:pPr>
            <w:r>
              <w:t xml:space="preserve">(0.007)</w:t>
            </w:r>
          </w:p>
        </w:tc>
        <w:tc>
          <w:tcPr/>
          <w:p>
            <w:pPr>
              <w:pStyle w:val="Compact"/>
              <w:jc w:val="right"/>
            </w:pPr>
            <w:r>
              <w:t xml:space="preserve">(0.007)</w:t>
            </w:r>
          </w:p>
        </w:tc>
        <w:tc>
          <w:tcPr/>
          <w:p>
            <w:pPr>
              <w:pStyle w:val="Compact"/>
            </w:pPr>
          </w:p>
        </w:tc>
        <w:tc>
          <w:tcPr/>
          <w:p>
            <w:pPr>
              <w:pStyle w:val="Compact"/>
              <w:jc w:val="right"/>
            </w:pPr>
            <w:r>
              <w:t xml:space="preserve">(0.082)</w:t>
            </w:r>
          </w:p>
        </w:tc>
        <w:tc>
          <w:tcPr/>
          <w:p>
            <w:pPr>
              <w:pStyle w:val="Compact"/>
              <w:jc w:val="right"/>
            </w:pPr>
            <w:r>
              <w:t xml:space="preserve">(0.075)</w:t>
            </w:r>
          </w:p>
        </w:tc>
      </w:tr>
      <w:tr>
        <w:tc>
          <w:tcPr/>
          <w:p>
            <w:pPr>
              <w:pStyle w:val="Compact"/>
              <w:jc w:val="left"/>
            </w:pPr>
            <w:r>
              <w:t xml:space="preserve">Constant</w:t>
            </w:r>
          </w:p>
        </w:tc>
        <w:tc>
          <w:tcPr/>
          <w:p>
            <w:pPr>
              <w:pStyle w:val="Compact"/>
              <w:jc w:val="right"/>
            </w:pPr>
            <w:r>
              <w:t xml:space="preserve">2.148∗∗∗</w:t>
            </w:r>
          </w:p>
        </w:tc>
        <w:tc>
          <w:tcPr/>
          <w:p>
            <w:pPr>
              <w:pStyle w:val="Compact"/>
              <w:jc w:val="right"/>
            </w:pPr>
            <w:r>
              <w:t xml:space="preserve">1.962∗∗∗</w:t>
            </w:r>
          </w:p>
        </w:tc>
        <w:tc>
          <w:tcPr/>
          <w:p>
            <w:pPr>
              <w:pStyle w:val="Compact"/>
              <w:jc w:val="right"/>
            </w:pPr>
            <w:r>
              <w:t xml:space="preserve">2.108∗∗∗</w:t>
            </w:r>
          </w:p>
        </w:tc>
        <w:tc>
          <w:tcPr/>
          <w:p>
            <w:pPr>
              <w:pStyle w:val="Compact"/>
              <w:jc w:val="right"/>
            </w:pPr>
            <w:r>
              <w:t xml:space="preserve">18.840∗∗</w:t>
            </w:r>
          </w:p>
        </w:tc>
        <w:tc>
          <w:tcPr/>
          <w:p>
            <w:pPr>
              <w:pStyle w:val="Compact"/>
              <w:jc w:val="right"/>
            </w:pPr>
            <w:r>
              <w:t xml:space="preserve">21.744∗∗∗</w:t>
            </w:r>
          </w:p>
        </w:tc>
        <w:tc>
          <w:tcPr/>
          <w:p>
            <w:pPr>
              <w:pStyle w:val="Compact"/>
              <w:jc w:val="right"/>
            </w:pPr>
            <w:r>
              <w:t xml:space="preserve">27.343∗∗∗</w:t>
            </w:r>
          </w:p>
        </w:tc>
      </w:tr>
      <w:tr>
        <w:tc>
          <w:tcPr/>
          <w:p>
            <w:pPr>
              <w:pStyle w:val="Compact"/>
            </w:pPr>
          </w:p>
        </w:tc>
        <w:tc>
          <w:tcPr/>
          <w:p>
            <w:pPr>
              <w:pStyle w:val="Compact"/>
              <w:jc w:val="right"/>
            </w:pPr>
            <w:r>
              <w:t xml:space="preserve">(0.490)</w:t>
            </w:r>
          </w:p>
        </w:tc>
        <w:tc>
          <w:tcPr/>
          <w:p>
            <w:pPr>
              <w:pStyle w:val="Compact"/>
              <w:jc w:val="right"/>
            </w:pPr>
            <w:r>
              <w:t xml:space="preserve">(0.572)</w:t>
            </w:r>
          </w:p>
        </w:tc>
        <w:tc>
          <w:tcPr/>
          <w:p>
            <w:pPr>
              <w:pStyle w:val="Compact"/>
              <w:jc w:val="right"/>
            </w:pPr>
            <w:r>
              <w:t xml:space="preserve">(0.575)</w:t>
            </w:r>
          </w:p>
        </w:tc>
        <w:tc>
          <w:tcPr/>
          <w:p>
            <w:pPr>
              <w:pStyle w:val="Compact"/>
              <w:jc w:val="right"/>
            </w:pPr>
            <w:r>
              <w:t xml:space="preserve">(7.237)</w:t>
            </w:r>
          </w:p>
        </w:tc>
        <w:tc>
          <w:tcPr/>
          <w:p>
            <w:pPr>
              <w:pStyle w:val="Compact"/>
              <w:jc w:val="right"/>
            </w:pPr>
            <w:r>
              <w:t xml:space="preserve">(6.165)</w:t>
            </w:r>
          </w:p>
        </w:tc>
        <w:tc>
          <w:tcPr/>
          <w:p>
            <w:pPr>
              <w:pStyle w:val="Compact"/>
              <w:jc w:val="right"/>
            </w:pPr>
            <w:r>
              <w:t xml:space="preserve">(7.166)</w:t>
            </w:r>
          </w:p>
        </w:tc>
      </w:tr>
      <w:tr>
        <w:tc>
          <w:tcPr/>
          <w:p>
            <w:pPr>
              <w:pStyle w:val="Compact"/>
              <w:jc w:val="left"/>
            </w:pPr>
            <w:r>
              <w:t xml:space="preserve">Observations</w:t>
            </w:r>
          </w:p>
        </w:tc>
        <w:tc>
          <w:tcPr/>
          <w:p>
            <w:pPr>
              <w:pStyle w:val="Compact"/>
              <w:jc w:val="right"/>
            </w:pPr>
            <w:r>
              <w:t xml:space="preserve">202</w:t>
            </w:r>
          </w:p>
        </w:tc>
        <w:tc>
          <w:tcPr/>
          <w:p>
            <w:pPr>
              <w:pStyle w:val="Compact"/>
              <w:jc w:val="right"/>
            </w:pPr>
            <w:r>
              <w:t xml:space="preserve">178</w:t>
            </w:r>
          </w:p>
        </w:tc>
        <w:tc>
          <w:tcPr/>
          <w:p>
            <w:pPr>
              <w:pStyle w:val="Compact"/>
              <w:jc w:val="right"/>
            </w:pPr>
            <w:r>
              <w:t xml:space="preserve">178</w:t>
            </w:r>
          </w:p>
        </w:tc>
        <w:tc>
          <w:tcPr/>
          <w:p>
            <w:pPr>
              <w:pStyle w:val="Compact"/>
              <w:jc w:val="right"/>
            </w:pPr>
            <w:r>
              <w:t xml:space="preserve">202</w:t>
            </w:r>
          </w:p>
        </w:tc>
        <w:tc>
          <w:tcPr/>
          <w:p>
            <w:pPr>
              <w:pStyle w:val="Compact"/>
              <w:jc w:val="right"/>
            </w:pPr>
            <w:r>
              <w:t xml:space="preserve">178</w:t>
            </w:r>
          </w:p>
        </w:tc>
        <w:tc>
          <w:tcPr/>
          <w:p>
            <w:pPr>
              <w:pStyle w:val="Compact"/>
              <w:jc w:val="right"/>
            </w:pPr>
            <w:r>
              <w:t xml:space="preserve">178</w:t>
            </w:r>
          </w:p>
        </w:tc>
      </w:tr>
      <w:tr>
        <w:tc>
          <w:tcPr/>
          <w:p>
            <w:pPr>
              <w:pStyle w:val="Compact"/>
              <w:jc w:val="left"/>
            </w:pPr>
            <w:r>
              <w:t xml:space="preserve">Platforms (clusters)</w:t>
            </w:r>
          </w:p>
        </w:tc>
        <w:tc>
          <w:tcPr/>
          <w:p>
            <w:pPr>
              <w:pStyle w:val="Compact"/>
              <w:jc w:val="right"/>
            </w:pPr>
            <w:r>
              <w:t xml:space="preserve">32</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32</w:t>
            </w:r>
          </w:p>
        </w:tc>
        <w:tc>
          <w:tcPr/>
          <w:p>
            <w:pPr>
              <w:pStyle w:val="Compact"/>
              <w:jc w:val="right"/>
            </w:pPr>
            <w:r>
              <w:t xml:space="preserve">30</w:t>
            </w:r>
          </w:p>
        </w:tc>
        <w:tc>
          <w:tcPr/>
          <w:p>
            <w:pPr>
              <w:pStyle w:val="Compact"/>
              <w:jc w:val="right"/>
            </w:pPr>
            <w:r>
              <w:t xml:space="preserve">30</w:t>
            </w:r>
          </w:p>
        </w:tc>
      </w:tr>
      <w:tr>
        <w:tc>
          <w:tcPr/>
          <w:p>
            <w:pPr>
              <w:pStyle w:val="Compact"/>
              <w:jc w:val="left"/>
            </w:pPr>
            <w:r>
              <w:rPr>
                <w:iCs/>
                <w:i/>
              </w:rPr>
              <w:t xml:space="preserve">R</w:t>
            </w:r>
            <w:r>
              <w:rPr>
                <w:vertAlign w:val="superscript"/>
              </w:rPr>
              <w:t xml:space="preserve">2</w:t>
            </w:r>
          </w:p>
        </w:tc>
        <w:tc>
          <w:tcPr/>
          <w:p>
            <w:pPr>
              <w:pStyle w:val="Compact"/>
              <w:jc w:val="right"/>
            </w:pPr>
            <w:r>
              <w:t xml:space="preserve">0.808</w:t>
            </w:r>
          </w:p>
        </w:tc>
        <w:tc>
          <w:tcPr/>
          <w:p>
            <w:pPr>
              <w:pStyle w:val="Compact"/>
              <w:jc w:val="right"/>
            </w:pPr>
            <w:r>
              <w:t xml:space="preserve">0.842</w:t>
            </w:r>
          </w:p>
        </w:tc>
        <w:tc>
          <w:tcPr/>
          <w:p>
            <w:pPr>
              <w:pStyle w:val="Compact"/>
              <w:jc w:val="right"/>
            </w:pPr>
            <w:r>
              <w:t xml:space="preserve">0.867</w:t>
            </w:r>
          </w:p>
        </w:tc>
        <w:tc>
          <w:tcPr/>
          <w:p>
            <w:pPr>
              <w:pStyle w:val="Compact"/>
              <w:jc w:val="right"/>
            </w:pPr>
            <w:r>
              <w:t xml:space="preserve">0.438</w:t>
            </w:r>
          </w:p>
        </w:tc>
        <w:tc>
          <w:tcPr/>
          <w:p>
            <w:pPr>
              <w:pStyle w:val="Compact"/>
              <w:jc w:val="right"/>
            </w:pPr>
            <w:r>
              <w:t xml:space="preserve">0.515</w:t>
            </w:r>
          </w:p>
        </w:tc>
        <w:tc>
          <w:tcPr/>
          <w:p>
            <w:pPr>
              <w:pStyle w:val="Compact"/>
              <w:jc w:val="right"/>
            </w:pPr>
            <w:r>
              <w:t xml:space="preserve">0.571</w:t>
            </w:r>
          </w:p>
        </w:tc>
      </w:tr>
      <w:tr>
        <w:tc>
          <w:tcPr/>
          <w:p>
            <w:pPr>
              <w:pStyle w:val="Compact"/>
              <w:jc w:val="left"/>
            </w:pPr>
            <w:r>
              <w:t xml:space="preserve">Year dummies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r>
      <w:tr>
        <w:tc>
          <w:tcPr/>
          <w:p>
            <w:pPr>
              <w:pStyle w:val="Compact"/>
              <w:jc w:val="left"/>
            </w:pPr>
            <w:r>
              <w:t xml:space="preserve">Wild-bootstrap</w:t>
            </w:r>
            <w:r>
              <w:t xml:space="preserve"> </w:t>
            </w:r>
            <w:r>
              <w:rPr>
                <w:iCs/>
                <w:i/>
              </w:rPr>
              <w:t xml:space="preserve">p</w:t>
            </w:r>
            <w:r>
              <w:t xml:space="preserve">, IndonesiaRegion</w:t>
            </w:r>
          </w:p>
        </w:tc>
        <w:tc>
          <w:tcPr/>
          <w:p>
            <w:pPr>
              <w:pStyle w:val="Compact"/>
              <w:jc w:val="right"/>
            </w:pPr>
            <w:r>
              <w:t xml:space="preserve">0.848</w:t>
            </w:r>
          </w:p>
        </w:tc>
        <w:tc>
          <w:tcPr/>
          <w:p>
            <w:pPr>
              <w:pStyle w:val="Compact"/>
              <w:jc w:val="right"/>
            </w:pPr>
            <w:r>
              <w:t xml:space="preserve">0.475</w:t>
            </w:r>
          </w:p>
        </w:tc>
        <w:tc>
          <w:tcPr/>
          <w:p>
            <w:pPr>
              <w:pStyle w:val="Compact"/>
              <w:jc w:val="right"/>
            </w:pPr>
            <w:r>
              <w:t xml:space="preserve">0.866</w:t>
            </w:r>
          </w:p>
        </w:tc>
        <w:tc>
          <w:tcPr/>
          <w:p>
            <w:pPr>
              <w:pStyle w:val="Compact"/>
              <w:jc w:val="right"/>
            </w:pPr>
            <w:r>
              <w:t xml:space="preserve">0.031</w:t>
            </w:r>
          </w:p>
        </w:tc>
        <w:tc>
          <w:tcPr/>
          <w:p>
            <w:pPr>
              <w:pStyle w:val="Compact"/>
              <w:jc w:val="right"/>
            </w:pPr>
            <w:r>
              <w:t xml:space="preserve">0.039</w:t>
            </w:r>
          </w:p>
        </w:tc>
        <w:tc>
          <w:tcPr/>
          <w:p>
            <w:pPr>
              <w:pStyle w:val="Compact"/>
              <w:jc w:val="right"/>
            </w:pPr>
            <w:r>
              <w:t xml:space="preserve">0.005</w:t>
            </w:r>
          </w:p>
        </w:tc>
      </w:tr>
    </w:tbl>
    <w:p>
      <w:pPr>
        <w:pStyle w:val="BodyText"/>
      </w:pPr>
      <w:r>
        <w:rPr>
          <w:iCs/>
          <w:i/>
        </w:rPr>
        <w:t xml:space="preserve">Note:</w:t>
      </w:r>
      <w:r>
        <w:t xml:space="preserve"> </w:t>
      </w:r>
      <w:r>
        <w:t xml:space="preserve">The take rate and its parts are not regressors, because the ecosystem ratio is one divided by the take rate, minus one. Source: company filings; filings with the US Securities and Exchange Commission; World Bank; Bank for International Settlements; author’s calculations. Exploratory.</w:t>
      </w:r>
    </w:p>
    <w:p>
      <w:pPr>
        <w:pStyle w:val="BodyText"/>
      </w:pPr>
      <w:r>
        <w:t xml:space="preserve">The wedge scales with the size of the platform. A 1 percent rise in total assets goes with a rise of about 0.9 percent in the wedge, and the regressors of column (1) explain 81 percent of its variation. Once size is held fixed, Indonesian and regional platforms do not carry a different wedge. The coefficient on IndonesiaRegion is −0.07 in column (1) and stays between −0.30 and 0.08 in the others, never close to significance. On-demand platforms carry about 60 percent less wedge for their assets than marketplaces do.</w:t>
      </w:r>
    </w:p>
    <w:p>
      <w:pPr>
        <w:pStyle w:val="BodyText"/>
      </w:pPr>
      <w:r>
        <w:t xml:space="preserve">The ecosystem ratio is different. The Indonesian and regional platforms have a ratio 13 to 17 points above foreign platforms of the same type, size and age, in markets with the same growth, inflation and interest rates (columns 4 to 6). The foreign mean is about 9. The wild-bootstrap p-values, which allow for the small number of clusters, are between 0.005 and 0.04. Size and age explain little of the ratio. Type explains a good deal: on-demand platforms have ratios 17 to 20 points below marketplaces, which means that they keep a much larger share of each sale, and travel, freelance and resale platforms are 7 to 14 points below. A home market that grows faster has a higher ratio, by about 1.3 to 1.5 points for each point of GDP growth, an exploratory pattern that the thesis does not read as causal.</w:t>
      </w:r>
    </w:p>
    <w:p>
      <w:pPr>
        <w:pStyle w:val="BodyText"/>
      </w:pPr>
      <w:r>
        <w:t xml:space="preserve">The result for the Indonesian and regional platforms survives the checks of Appendix C. The coefficient stays between 15 and 18 when each of the five platforms is dropped in turn, and it is 21 without Alibaba, Pinduoduo, Rakuten and Shopify. It is 28.5 when the ratio is not capped (p = 0.008), 17 when a dummy for emerging home markets is added, whose own coefficient is close to zero (0.4, p = 0.94), and 17 without the six platforms whose main market is ambiguous. So the thin take rates of Indonesian and regional platforms are not a general emerging-market pattern. Total assets are those of the whole company, which is larger than the platform business at GoTo, Rakuten and Sea, so size is measured with error, and the result rests on five platforms.</w:t>
      </w:r>
    </w:p>
    <w:p>
      <w:pPr>
        <w:pStyle w:val="BodyText"/>
      </w:pPr>
      <w:r>
        <w:t xml:space="preserve">The regression does not say how a platform moved its take rate. Company reports do, for the seven windows traced in Appendix B, where the growth of revenue is split into more commerce, higher fees and lower incentives. Higher fees and lower incentives together outweighed more commerce in every window. Lower incentives were the larger of the two in four windows and higher fees in two. In the seventh, Grab from 2021 to 2024, the two were nearly equal. The windows of one platform overlap, so they are not seven independent cases.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higher fees account for more of the rise in the take rate. The two views differ only on which lever led (Figure 5.2).</w:t>
      </w:r>
    </w:p>
    <w:p>
      <w:pPr>
        <w:pStyle w:val="BodyText"/>
      </w:pPr>
      <w:r>
        <w:drawing>
          <wp:inline>
            <wp:extent cx="5334000" cy="1769806"/>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769806"/>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p>
      <w:pPr>
        <w:pStyle w:val="BodyText"/>
      </w:pPr>
      <w:r>
        <w:t xml:space="preserve">The ecosystem ratio matters for three groups. For investors, a high ratio means that small changes in fees or discounts produce large swings in revenue growth. At the typical Indonesian and regional ratio of 35, the platform keeps about 2.8 percent of each sale, and a rise of 1 point in the take rate lifts revenue by about 36 percent at constant volume. At the typical foreign ratio of 5.5, the same rise lifts it by 6.5 percent. So a revenue multiple means something different in the two groups, because each unit of revenue stands for 36 units of transaction value in one and 6.5 in the other. Growth that comes from the take rate cannot go on without end, and Section 5.4 shows that markets priced transaction value.</w:t>
      </w:r>
    </w:p>
    <w:p>
      <w:pPr>
        <w:pStyle w:val="BodyText"/>
      </w:pPr>
      <w:r>
        <w:t xml:space="preserve">For sellers and drivers, a high ratio means that most of each sale goes to them and not to the platform. A rising take rate means that the platform keeps more of each sale. The take rate rose in 87 percent of the Indonesian and regional pairs, against 65 percent abroad, and at Tokopedia part of the rise came from smaller discounts, which are paid to buyers. Whether that shows market power is a question the thesis cannot answer, because it holds no data on what sellers and drivers paid or could have chosen instead. The pattern is also consistent with platforms that listed in 2021 and 2022 moving from growth to earnings, since their largest moves came one or two years after listing.</w:t>
      </w:r>
    </w:p>
    <w:p>
      <w:pPr>
        <w:pStyle w:val="BodyText"/>
      </w:pPr>
      <w:r>
        <w:t xml:space="preserve">For policy, the wedge is the base that revenue-based rules do not reach. A rule that acts on platform revenue acts on about 3 percent of the commerce at a typical Indonesian or regional platform. A cap on commissions acts on the fee rate, and a limit on discounts acts on the incentive rate, the two parts of the take rate in equation (5). Chapter 6 sets each rule against the part it reaches.</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(9),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54816"/>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54816"/>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E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The number of businesses grew by 27 percent and sales per business by 10 percent, so more businesses account for most of the growth.</w:t>
      </w:r>
    </w:p>
    <w:p>
      <w:pPr>
        <w:pStyle w:val="BodyText"/>
      </w:pPr>
      <w:r>
        <w:t xml:space="preserve">H2 holds again from 2023 to 2024. Value grew by 17 percent, the number of businesses by 15 percent and sales per business by 1.5 percent, or by 12 and 4.7 percent on BPS’s other count for 2023. The split of equation (8)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p>
      <w:pPr>
        <w:pStyle w:val="BodyText"/>
      </w:pPr>
      <w:r>
        <w:t xml:space="preserve">This table splits the rise in the number of online sellers between the weighted totals of the two BPS survey files into net entry and earlier sellers who were newly counted. The first column assumes that no seller stopped between the surveys, and the second assumes that sellers stopped at 5 percent a year. The percentages are shares of the rise.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the number of businesses grows by 17 percent if no seller stopped, against 14 to 15 percent for sales per business, so H2 holds narrowly. If sellers stopped at 5 percent a year, the number of businesses grows by 12 percent and sales per business by about 16 to 17 percent, so H2 fails by a few points. H2 requires the first growth rate to be the larger. Taking out the sellers but keeping their sales gives 17 against 20 percent, and 12 against 25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04537"/>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04537"/>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445478"/>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445478"/>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Appendix A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payments through the Quick Response Code Indonesian Standard (QRIS)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ac9ab56db9ced99e03f55956eafe7ff22a86ddc"/>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p>
      <w:pPr>
        <w:pStyle w:val="BodyText"/>
      </w:pPr>
      <w:r>
        <w:t xml:space="preserve">This table lists each recent Indonesian rule that bears on the figures in Chapters 4 and 5. For each rule it gives what the rule does, which part of the figures it acts on, the section of Chapter 5 that measures that part, and the status of the legal text when this thesis was written. Amounts in rupiah (Rp) are converted to US dollars in the note.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identity number</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(5)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Appendix B.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identity number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p>
      <w:pPr>
        <w:pStyle w:val="BodyText"/>
      </w:pPr>
      <w:r>
        <w:t xml:space="preserve">This table lists the registered predictions on the 2026 rules. For each prediction it gives what is expected, the rule it bears on and the date it is scored. The outcome stays blank until the company or BPS releases the figure.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D.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D,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(5),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Abroad, revenue growth matched transaction value growth one for one, with a slope of 0.99, so revenue was a workable stand-in. In Indonesia and the region the slope was 0.40, and revenue grew by about 44 percent a year whatever transaction value did, so H1 is rejected there. The Indonesian and regional platforms changed their take rates about 3.6 times as much as platforms abroad. They also keep a much thinner share of each sale: their ecosystem ratio is 13 to 17 points above that of comparable foreign platforms, after the type, size and age of the platform and the conditions of its home market are held fixed.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near its threshold: the number of businesses then grows by 12 to 17 percent and sales per business by 14 to 17 percent, so H2 holds narrowly in one reading and fails by a few points in the other.</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growth in transaction value and a change in the take rate with two public figures (equation (4)). At the Indonesian and regional platforms, revenue growth moved little with transaction value, while abroad it moved one for one. The thinner the take rate, the more a small change in fees or incentives moves revenue growth. At the typical Indonesian and regional ecosystem ratio of 35, a rise of 1 point in the take rate lifts revenue by about 36 percent at constant volume, against 6.5 percent at the typical foreign ratio of 5.5. A revenue multiple then stands for 36 units of transaction value per unit of revenue in one group and 6.5 in the other.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D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Appendix B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C).</w:t>
      </w:r>
    </w:p>
    <w:p>
      <w:pPr>
        <w:pStyle w:val="BodyText"/>
      </w:pPr>
      <w:r>
        <w:t xml:space="preserve">The new regressions are exploratory and rest on few platforms. The growth test for Indonesia and the region has 15 pairs from five platforms, and the Indonesia coefficients of Table 5.4 are identified by the same five. A wild cluster bootstrap allows for the small number of clusters but cannot remove the limit. Total assets are those of the whole company, so size is overstated at GoTo, Rakuten and Sea. The home market of each platform is assigned by the author, and the policy rate is missing for Kazakhstan and Nigeria. The regressions describe how the wedge and the ecosystem ratio differ across platforms and do not show what causes the difference.</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C).</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6"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3" w:name="appendix-a.-definition-of-variables"/>
    <w:p>
      <w:pPr>
        <w:pStyle w:val="Heading2"/>
      </w:pPr>
      <w:r>
        <w:t xml:space="preserve">Appendix A. Definition of variables</w:t>
      </w:r>
    </w:p>
    <w:bookmarkStart w:id="91" w:name="a.1-variables"/>
    <w:p>
      <w:pPr>
        <w:pStyle w:val="Heading3"/>
      </w:pPr>
      <w:r>
        <w:t xml:space="preserve">A.1 Variables</w:t>
      </w:r>
    </w:p>
    <w:p>
      <w:pPr>
        <w:pStyle w:val="FirstParagraph"/>
      </w:pPr>
      <w:r>
        <w:t xml:space="preserve">Every variable and symbol used in the empirical analyses is listed with its definition and data source. The subscripts i and t mark the platform and the year. Amounts in the text are in US dollars, at the World Bank’s average rate for the year (World Bank 2026). Growth is the simple percentage change, g(X), defined in Panel 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w:t>
            </w:r>
          </w:p>
        </w:tc>
      </w:tr>
      <w:tr>
        <w:tc>
          <w:tcPr/>
          <w:p>
            <w:pPr>
              <w:pStyle w:val="Compact"/>
              <w:jc w:val="left"/>
            </w:pPr>
            <w:r>
              <w:rPr>
                <w:iCs/>
                <w:i/>
              </w:rPr>
              <w:t xml:space="preserve">Panel A: Platform measures</w:t>
            </w:r>
          </w:p>
        </w:tc>
        <w:tc>
          <w:tcPr/>
          <w:p>
            <w:pPr>
              <w:pStyle w:val="Compact"/>
            </w:pPr>
          </w:p>
        </w:tc>
        <w:tc>
          <w:tcPr/>
          <w:p>
            <w:pPr>
              <w:pStyle w:val="Compact"/>
            </w:pPr>
          </w:p>
        </w:tc>
      </w:tr>
      <w:tr>
        <w:tc>
          <w:tcPr/>
          <w:p>
            <w:pPr>
              <w:pStyle w:val="Compact"/>
              <w:jc w:val="left"/>
            </w:pPr>
            <w:r>
              <w:t xml:space="preserve">V</w:t>
            </w:r>
            <w:r>
              <w:rPr>
                <w:vertAlign w:val="subscript"/>
              </w:rPr>
              <w:t xml:space="preserve">it</w:t>
            </w:r>
          </w:p>
        </w:tc>
        <w:tc>
          <w:tcPr/>
          <w:p>
            <w:pPr>
              <w:pStyle w:val="Compact"/>
              <w:jc w:val="left"/>
            </w:pPr>
            <w:r>
              <w:t xml:space="preserve">Transaction value: everything bought through platform i in year t, in the company’s own currency. Companies also call it gross merchandise value (GMV), gross transaction value (GTV) or total payment volume (TPV).</w:t>
            </w:r>
          </w:p>
        </w:tc>
        <w:tc>
          <w:tcPr/>
          <w:p>
            <w:pPr>
              <w:pStyle w:val="Compact"/>
              <w:jc w:val="left"/>
            </w:pPr>
            <w:r>
              <w:t xml:space="preserve">Company annual reports, annual filings (Form 20-F) and investor releases; Appendix B lists each series</w:t>
            </w:r>
          </w:p>
        </w:tc>
      </w:tr>
      <w:tr>
        <w:tc>
          <w:tcPr/>
          <w:p>
            <w:pPr>
              <w:pStyle w:val="Compact"/>
              <w:jc w:val="left"/>
            </w:pPr>
            <w:r>
              <w:t xml:space="preserve">R</w:t>
            </w:r>
            <w:r>
              <w:rPr>
                <w:vertAlign w:val="subscript"/>
              </w:rPr>
              <w:t xml:space="preserve">it</w:t>
            </w:r>
          </w:p>
        </w:tc>
        <w:tc>
          <w:tcPr/>
          <w:p>
            <w:pPr>
              <w:pStyle w:val="Compact"/>
              <w:jc w:val="left"/>
            </w:pPr>
            <w:r>
              <w:t xml:space="preserve">Revenue: what the platform recognizes as its own income in its accounts, for the same business and period as V</w:t>
            </w:r>
            <w:r>
              <w:rPr>
                <w:vertAlign w:val="subscript"/>
              </w:rPr>
              <w:t xml:space="preserve">it</w:t>
            </w:r>
            <w:r>
              <w:t xml:space="preserve">.</w:t>
            </w:r>
          </w:p>
        </w:tc>
        <w:tc>
          <w:tcPr/>
          <w:p>
            <w:pPr>
              <w:pStyle w:val="Compact"/>
              <w:jc w:val="left"/>
            </w:pPr>
            <w:r>
              <w:t xml:space="preserve">Same as V</w:t>
            </w:r>
            <w:r>
              <w:rPr>
                <w:vertAlign w:val="subscript"/>
              </w:rPr>
              <w:t xml:space="preserve">it</w:t>
            </w:r>
          </w:p>
        </w:tc>
      </w:tr>
      <w:tr>
        <w:tc>
          <w:tcPr/>
          <w:p>
            <w:pPr>
              <w:pStyle w:val="Compact"/>
              <w:jc w:val="left"/>
            </w:pPr>
            <w:r>
              <w:t xml:space="preserve">m</w:t>
            </w:r>
            <w:r>
              <w:rPr>
                <w:vertAlign w:val="subscript"/>
              </w:rPr>
              <w:t xml:space="preserve">it</w:t>
            </w:r>
          </w:p>
        </w:tc>
        <w:tc>
          <w:tcPr/>
          <w:p>
            <w:pPr>
              <w:pStyle w:val="Compact"/>
              <w:jc w:val="left"/>
            </w:pPr>
            <w:r>
              <w:t xml:space="preserve">Take rate: R</w:t>
            </w:r>
            <w:r>
              <w:rPr>
                <w:vertAlign w:val="subscript"/>
              </w:rPr>
              <w:t xml:space="preserve">it</w:t>
            </w:r>
            <w:r>
              <w:t xml:space="preserve"> </w:t>
            </w:r>
            <w:r>
              <w:t xml:space="preserve">divided by V</w:t>
            </w:r>
            <w:r>
              <w:rPr>
                <w:vertAlign w:val="subscript"/>
              </w:rPr>
              <w:t xml:space="preserve">it</w:t>
            </w:r>
            <w:r>
              <w:t xml:space="preserve">, the share of each sale that the platform keeps.</w:t>
            </w:r>
          </w:p>
        </w:tc>
        <w:tc>
          <w:tcPr/>
          <w:p>
            <w:pPr>
              <w:pStyle w:val="Compact"/>
              <w:jc w:val="left"/>
            </w:pPr>
            <w:r>
              <w:t xml:space="preserve">Author’s calculation</w:t>
            </w:r>
          </w:p>
        </w:tc>
      </w:tr>
      <w:tr>
        <w:tc>
          <w:tcPr/>
          <w:p>
            <w:pPr>
              <w:pStyle w:val="Compact"/>
              <w:jc w:val="left"/>
            </w:pPr>
            <w:r>
              <w:t xml:space="preserve">f</w:t>
            </w:r>
            <w:r>
              <w:rPr>
                <w:vertAlign w:val="subscript"/>
              </w:rPr>
              <w:t xml:space="preserve">it</w:t>
            </w:r>
          </w:p>
        </w:tc>
        <w:tc>
          <w:tcPr/>
          <w:p>
            <w:pPr>
              <w:pStyle w:val="Compact"/>
              <w:jc w:val="left"/>
            </w:pPr>
            <w:r>
              <w:t xml:space="preserve">Fee rate: the platform’s revenue before customer incentives, divided by V</w:t>
            </w:r>
            <w:r>
              <w:rPr>
                <w:vertAlign w:val="subscript"/>
              </w:rPr>
              <w:t xml:space="preserve">it</w:t>
            </w:r>
            <w:r>
              <w:t xml:space="preserve">.</w:t>
            </w:r>
          </w:p>
        </w:tc>
        <w:tc>
          <w:tcPr/>
          <w:p>
            <w:pPr>
              <w:pStyle w:val="Compact"/>
              <w:jc w:val="left"/>
            </w:pPr>
            <w:r>
              <w:t xml:space="preserve">Company reports; author’s calculation</w:t>
            </w:r>
          </w:p>
        </w:tc>
      </w:tr>
      <w:tr>
        <w:tc>
          <w:tcPr/>
          <w:p>
            <w:pPr>
              <w:pStyle w:val="Compact"/>
              <w:jc w:val="left"/>
            </w:pPr>
            <w:r>
              <w:t xml:space="preserve">s</w:t>
            </w:r>
            <w:r>
              <w:rPr>
                <w:vertAlign w:val="subscript"/>
              </w:rPr>
              <w:t xml:space="preserve">it</w:t>
            </w:r>
          </w:p>
        </w:tc>
        <w:tc>
          <w:tcPr/>
          <w:p>
            <w:pPr>
              <w:pStyle w:val="Compact"/>
              <w:jc w:val="left"/>
            </w:pPr>
            <w:r>
              <w:t xml:space="preserve">Incentive rate: customer incentives divided by V</w:t>
            </w:r>
            <w:r>
              <w:rPr>
                <w:vertAlign w:val="subscript"/>
              </w:rPr>
              <w:t xml:space="preserve">it</w:t>
            </w:r>
            <w:r>
              <w:t xml:space="preserve">. Customer incentives are the discounts, vouchers and other promotions that a platform pays for, which accounting rules normally deduct from revenue.</w:t>
            </w:r>
          </w:p>
        </w:tc>
        <w:tc>
          <w:tcPr/>
          <w:p>
            <w:pPr>
              <w:pStyle w:val="Compact"/>
              <w:jc w:val="left"/>
            </w:pPr>
            <w:r>
              <w:t xml:space="preserve">Company reports; author’s calculation. Blibli’s incentives are a proxy (Appendix B)</w:t>
            </w:r>
          </w:p>
        </w:tc>
      </w:tr>
      <w:tr>
        <w:tc>
          <w:tcPr/>
          <w:p>
            <w:pPr>
              <w:pStyle w:val="Compact"/>
              <w:jc w:val="left"/>
            </w:pPr>
            <w:r>
              <w:t xml:space="preserve">W</w:t>
            </w:r>
            <w:r>
              <w:rPr>
                <w:vertAlign w:val="subscript"/>
              </w:rPr>
              <w:t xml:space="preserve">it</w:t>
            </w:r>
          </w:p>
        </w:tc>
        <w:tc>
          <w:tcPr/>
          <w:p>
            <w:pPr>
              <w:pStyle w:val="Compact"/>
              <w:jc w:val="left"/>
            </w:pPr>
            <w:r>
              <w:t xml:space="preserve">Invisible wedge: V</w:t>
            </w:r>
            <w:r>
              <w:rPr>
                <w:vertAlign w:val="subscript"/>
              </w:rPr>
              <w:t xml:space="preserve">it</w:t>
            </w:r>
            <w:r>
              <w:t xml:space="preserve"> </w:t>
            </w:r>
            <w:r>
              <w:t xml:space="preserve">minus R</w:t>
            </w:r>
            <w:r>
              <w:rPr>
                <w:vertAlign w:val="subscript"/>
              </w:rPr>
              <w:t xml:space="preserve">it</w:t>
            </w:r>
            <w:r>
              <w:t xml:space="preserve">, the part of transaction value that lies outside revenue, in currency.</w:t>
            </w:r>
          </w:p>
        </w:tc>
        <w:tc>
          <w:tcPr/>
          <w:p>
            <w:pPr>
              <w:pStyle w:val="Compact"/>
              <w:jc w:val="left"/>
            </w:pPr>
            <w:r>
              <w:t xml:space="preserve">Author’s calculation</w:t>
            </w:r>
          </w:p>
        </w:tc>
      </w:tr>
      <w:tr>
        <w:tc>
          <w:tcPr/>
          <w:p>
            <w:pPr>
              <w:pStyle w:val="Compact"/>
              <w:jc w:val="left"/>
            </w:pPr>
            <w:r>
              <w:t xml:space="preserve">E</w:t>
            </w:r>
            <w:r>
              <w:rPr>
                <w:vertAlign w:val="subscript"/>
              </w:rPr>
              <w:t xml:space="preserve">it</w:t>
            </w:r>
          </w:p>
        </w:tc>
        <w:tc>
          <w:tcPr/>
          <w:p>
            <w:pPr>
              <w:pStyle w:val="Compact"/>
              <w:jc w:val="left"/>
            </w:pPr>
            <w:r>
              <w:t xml:space="preserve">Ecosystem ratio: W</w:t>
            </w:r>
            <w:r>
              <w:rPr>
                <w:vertAlign w:val="subscript"/>
              </w:rPr>
              <w:t xml:space="preserve">it</w:t>
            </w:r>
            <w:r>
              <w:t xml:space="preserve"> </w:t>
            </w:r>
            <w:r>
              <w:t xml:space="preserve">divided by R</w:t>
            </w:r>
            <w:r>
              <w:rPr>
                <w:vertAlign w:val="subscript"/>
              </w:rPr>
              <w:t xml:space="preserve">it</w:t>
            </w:r>
            <w:r>
              <w:t xml:space="preserve">, equal to one divided by m</w:t>
            </w:r>
            <w:r>
              <w:rPr>
                <w:vertAlign w:val="subscript"/>
              </w:rPr>
              <w:t xml:space="preserve">it</w:t>
            </w:r>
            <w:r>
              <w:t xml:space="preserve">, minus one. The author’s own measure.</w:t>
            </w:r>
          </w:p>
        </w:tc>
        <w:tc>
          <w:tcPr/>
          <w:p>
            <w:pPr>
              <w:pStyle w:val="Compact"/>
              <w:jc w:val="left"/>
            </w:pPr>
            <w:r>
              <w:t xml:space="preserve">Author’s calculation</w:t>
            </w:r>
          </w:p>
        </w:tc>
      </w:tr>
      <w:tr>
        <w:tc>
          <w:tcPr/>
          <w:p>
            <w:pPr>
              <w:pStyle w:val="Compact"/>
              <w:jc w:val="left"/>
            </w:pPr>
            <w:r>
              <w:t xml:space="preserve">g(X</w:t>
            </w:r>
            <w:r>
              <w:rPr>
                <w:vertAlign w:val="subscript"/>
              </w:rPr>
              <w:t xml:space="preserve">t</w:t>
            </w:r>
            <w:r>
              <w:t xml:space="preserve">)</w:t>
            </w:r>
          </w:p>
        </w:tc>
        <w:tc>
          <w:tcPr/>
          <w:p>
            <w:pPr>
              <w:pStyle w:val="Compact"/>
              <w:jc w:val="left"/>
            </w:pPr>
            <w:r>
              <w:t xml:space="preserve">Growth of X from one year to the next as a share of the first year: (X</w:t>
            </w:r>
            <w:r>
              <w:rPr>
                <w:vertAlign w:val="subscript"/>
              </w:rPr>
              <w:t xml:space="preserve">t</w:t>
            </w:r>
            <w:r>
              <w:t xml:space="preserve"> </w:t>
            </w:r>
            <w:r>
              <w:t xml:space="preserve">− X</w:t>
            </w:r>
            <w:r>
              <w:rPr>
                <w:vertAlign w:val="subscript"/>
              </w:rPr>
              <w:t xml:space="preserve">t−1</w:t>
            </w:r>
            <w:r>
              <w:t xml:space="preserve">) divided by X</w:t>
            </w:r>
            <w:r>
              <w:rPr>
                <w:vertAlign w:val="subscript"/>
              </w:rPr>
              <w:t xml:space="preserve">t−1</w:t>
            </w:r>
            <w:r>
              <w:t xml:space="preserve">. A value of 0.09 means 9 percent.</w:t>
            </w:r>
          </w:p>
        </w:tc>
        <w:tc>
          <w:tcPr/>
          <w:p>
            <w:pPr>
              <w:pStyle w:val="Compact"/>
              <w:jc w:val="left"/>
            </w:pPr>
            <w:r>
              <w:t xml:space="preserve">Author’s calculation</w:t>
            </w:r>
          </w:p>
        </w:tc>
      </w:tr>
      <w:tr>
        <w:tc>
          <w:tcPr/>
          <w:p>
            <w:pPr>
              <w:pStyle w:val="Compact"/>
              <w:jc w:val="left"/>
            </w:pPr>
            <w:r>
              <w:t xml:space="preserve">D</w:t>
            </w:r>
            <w:r>
              <w:rPr>
                <w:vertAlign w:val="subscript"/>
              </w:rPr>
              <w:t xml:space="preserve">it</w:t>
            </w:r>
          </w:p>
        </w:tc>
        <w:tc>
          <w:tcPr/>
          <w:p>
            <w:pPr>
              <w:pStyle w:val="Compact"/>
              <w:jc w:val="left"/>
            </w:pPr>
            <w:r>
              <w:t xml:space="preserve">Growth divergence: g(R</w:t>
            </w:r>
            <w:r>
              <w:rPr>
                <w:vertAlign w:val="subscript"/>
              </w:rPr>
              <w:t xml:space="preserve">it</w:t>
            </w:r>
            <w:r>
              <w:t xml:space="preserve">) minus g(V</w:t>
            </w:r>
            <w:r>
              <w:rPr>
                <w:vertAlign w:val="subscript"/>
              </w:rPr>
              <w:t xml:space="preserve">it</w:t>
            </w:r>
            <w:r>
              <w:t xml:space="preserve">). A value of 0.62 means 62 percentage points.</w:t>
            </w:r>
          </w:p>
        </w:tc>
        <w:tc>
          <w:tcPr/>
          <w:p>
            <w:pPr>
              <w:pStyle w:val="Compact"/>
              <w:jc w:val="left"/>
            </w:pPr>
            <w:r>
              <w:t xml:space="preserve">Author’s calculation</w:t>
            </w:r>
          </w:p>
        </w:tc>
      </w:tr>
      <w:tr>
        <w:tc>
          <w:tcPr/>
          <w:p>
            <w:pPr>
              <w:pStyle w:val="Compact"/>
              <w:jc w:val="left"/>
            </w:pPr>
            <w:r>
              <w:t xml:space="preserve">Δln X</w:t>
            </w:r>
            <w:r>
              <w:rPr>
                <w:vertAlign w:val="subscript"/>
              </w:rPr>
              <w:t xml:space="preserve">t</w:t>
            </w:r>
          </w:p>
        </w:tc>
        <w:tc>
          <w:tcPr/>
          <w:p>
            <w:pPr>
              <w:pStyle w:val="Compact"/>
              <w:jc w:val="left"/>
            </w:pPr>
            <w:r>
              <w:t xml:space="preserve">Change in the natural logarithm of X from one year to the next. Used only where a registered test defined it so (equation (9)); everywhere else the change is g(X).</w:t>
            </w:r>
          </w:p>
        </w:tc>
        <w:tc>
          <w:tcPr/>
          <w:p>
            <w:pPr>
              <w:pStyle w:val="Compact"/>
              <w:jc w:val="left"/>
            </w:pPr>
            <w:r>
              <w:t xml:space="preserve">Author’s calculation</w:t>
            </w:r>
          </w:p>
        </w:tc>
      </w:tr>
      <w:tr>
        <w:tc>
          <w:tcPr/>
          <w:p>
            <w:pPr>
              <w:pStyle w:val="Compact"/>
              <w:jc w:val="left"/>
            </w:pPr>
            <w:r>
              <w:rPr>
                <w:iCs/>
                <w:i/>
              </w:rPr>
              <w:t xml:space="preserve">Panel B: National and survey measures</w:t>
            </w:r>
          </w:p>
        </w:tc>
        <w:tc>
          <w:tcPr/>
          <w:p>
            <w:pPr>
              <w:pStyle w:val="Compact"/>
            </w:pPr>
          </w:p>
        </w:tc>
        <w:tc>
          <w:tcPr/>
          <w:p>
            <w:pPr>
              <w:pStyle w:val="Compact"/>
            </w:pPr>
          </w:p>
        </w:tc>
      </w:tr>
      <w:tr>
        <w:tc>
          <w:tcPr/>
          <w:p>
            <w:pPr>
              <w:pStyle w:val="Compact"/>
              <w:jc w:val="left"/>
            </w:pPr>
            <w:r>
              <w:t xml:space="preserve">N</w:t>
            </w:r>
            <w:r>
              <w:rPr>
                <w:vertAlign w:val="subscript"/>
              </w:rPr>
              <w:t xml:space="preserve">t</w:t>
            </w:r>
          </w:p>
        </w:tc>
        <w:tc>
          <w:tcPr/>
          <w:p>
            <w:pPr>
              <w:pStyle w:val="Compact"/>
              <w:jc w:val="left"/>
            </w:pPr>
            <w:r>
              <w:t xml:space="preserve">Count of online sellers: BPS’s estimate of the number of businesses selling online in year t.</w:t>
            </w:r>
          </w:p>
        </w:tc>
        <w:tc>
          <w:tcPr/>
          <w:p>
            <w:pPr>
              <w:pStyle w:val="Compact"/>
              <w:jc w:val="left"/>
            </w:pPr>
            <w:r>
              <w:t xml:space="preserve">BPS-Statistics Indonesia (2025a, 2025b); BPS e-commerce survey files for 2020, 2022 and 2023 (licensed)</w:t>
            </w:r>
          </w:p>
        </w:tc>
      </w:tr>
      <w:tr>
        <w:tc>
          <w:tcPr/>
          <w:p>
            <w:pPr>
              <w:pStyle w:val="Compact"/>
              <w:jc w:val="left"/>
            </w:pPr>
            <w:r>
              <w:t xml:space="preserve">Y</w:t>
            </w:r>
            <w:r>
              <w:rPr>
                <w:vertAlign w:val="subscript"/>
              </w:rPr>
              <w:t xml:space="preserve">t</w:t>
            </w:r>
          </w:p>
        </w:tc>
        <w:tc>
          <w:tcPr/>
          <w:p>
            <w:pPr>
              <w:pStyle w:val="Compact"/>
              <w:jc w:val="left"/>
            </w:pPr>
            <w:r>
              <w:t xml:space="preserve">Total online sales value: BPS’s published value of online sales in year t.</w:t>
            </w:r>
          </w:p>
        </w:tc>
        <w:tc>
          <w:tcPr/>
          <w:p>
            <w:pPr>
              <w:pStyle w:val="Compact"/>
              <w:jc w:val="left"/>
            </w:pPr>
            <w:r>
              <w:t xml:space="preserve">BPS-Statistics Indonesia (2025a, 2025b)</w:t>
            </w:r>
          </w:p>
        </w:tc>
      </w:tr>
      <w:tr>
        <w:tc>
          <w:tcPr/>
          <w:p>
            <w:pPr>
              <w:pStyle w:val="Compact"/>
              <w:jc w:val="left"/>
            </w:pPr>
            <w:r>
              <w:t xml:space="preserve">Y</w:t>
            </w:r>
            <w:r>
              <w:rPr>
                <w:vertAlign w:val="subscript"/>
              </w:rPr>
              <w:t xml:space="preserve">t</w:t>
            </w:r>
            <w:r>
              <w:t xml:space="preserve"> </w:t>
            </w:r>
            <w:r>
              <w:t xml:space="preserve">/ N</w:t>
            </w:r>
            <w:r>
              <w:rPr>
                <w:vertAlign w:val="subscript"/>
              </w:rPr>
              <w:t xml:space="preserve">t</w:t>
            </w:r>
          </w:p>
        </w:tc>
        <w:tc>
          <w:tcPr/>
          <w:p>
            <w:pPr>
              <w:pStyle w:val="Compact"/>
              <w:jc w:val="left"/>
            </w:pPr>
            <w:r>
              <w:t xml:space="preserve">Sales per business: Y</w:t>
            </w:r>
            <w:r>
              <w:rPr>
                <w:vertAlign w:val="subscript"/>
              </w:rPr>
              <w:t xml:space="preserve">t</w:t>
            </w:r>
            <w:r>
              <w:t xml:space="preserve"> </w:t>
            </w:r>
            <w:r>
              <w:t xml:space="preserve">divided by N</w:t>
            </w:r>
            <w:r>
              <w:rPr>
                <w:vertAlign w:val="subscript"/>
              </w:rPr>
              <w:t xml:space="preserve">t</w:t>
            </w:r>
            <w:r>
              <w:t xml:space="preserve">.</w:t>
            </w:r>
          </w:p>
        </w:tc>
        <w:tc>
          <w:tcPr/>
          <w:p>
            <w:pPr>
              <w:pStyle w:val="Compact"/>
              <w:jc w:val="left"/>
            </w:pPr>
            <w:r>
              <w:t xml:space="preserve">Author’s calculation</w:t>
            </w:r>
          </w:p>
        </w:tc>
      </w:tr>
      <w:tr>
        <w:tc>
          <w:tcPr/>
          <w:p>
            <w:pPr>
              <w:pStyle w:val="Compact"/>
              <w:jc w:val="left"/>
            </w:pPr>
            <w:r>
              <w:t xml:space="preserve">First-time entry</w:t>
            </w:r>
          </w:p>
        </w:tc>
        <w:tc>
          <w:tcPr/>
          <w:p>
            <w:pPr>
              <w:pStyle w:val="Compact"/>
              <w:jc w:val="left"/>
            </w:pPr>
            <w:r>
              <w:t xml:space="preserve">A seller that reports beginning to sell online in the year being measured. The entry test uses the share of such sellers among the sellers of 2023.</w:t>
            </w:r>
          </w:p>
        </w:tc>
        <w:tc>
          <w:tcPr/>
          <w:p>
            <w:pPr>
              <w:pStyle w:val="Compact"/>
              <w:jc w:val="left"/>
            </w:pPr>
            <w:r>
              <w:t xml:space="preserve">BPS e-commerce survey file for 2023 (licensed)</w:t>
            </w:r>
          </w:p>
        </w:tc>
      </w:tr>
      <w:tr>
        <w:tc>
          <w:tcPr/>
          <w:p>
            <w:pPr>
              <w:pStyle w:val="Compact"/>
              <w:jc w:val="left"/>
            </w:pPr>
            <w:r>
              <w:rPr>
                <w:iCs/>
                <w:i/>
              </w:rPr>
              <w:t xml:space="preserve">Panel C: Market variables</w:t>
            </w:r>
          </w:p>
        </w:tc>
        <w:tc>
          <w:tcPr/>
          <w:p>
            <w:pPr>
              <w:pStyle w:val="Compact"/>
            </w:pPr>
          </w:p>
        </w:tc>
        <w:tc>
          <w:tcPr/>
          <w:p>
            <w:pPr>
              <w:pStyle w:val="Compact"/>
            </w:pPr>
          </w:p>
        </w:tc>
      </w:tr>
      <w:tr>
        <w:tc>
          <w:tcPr/>
          <w:p>
            <w:pPr>
              <w:pStyle w:val="Compact"/>
              <w:jc w:val="left"/>
            </w:pPr>
            <w:r>
              <w:t xml:space="preserve">MV</w:t>
            </w:r>
            <w:r>
              <w:rPr>
                <w:vertAlign w:val="subscript"/>
              </w:rPr>
              <w:t xml:space="preserve">it</w:t>
            </w:r>
          </w:p>
        </w:tc>
        <w:tc>
          <w:tcPr/>
          <w:p>
            <w:pPr>
              <w:pStyle w:val="Compact"/>
              <w:jc w:val="left"/>
            </w:pPr>
            <w:r>
              <w:t xml:space="preserve">Market value: the year-end market value of listed platform i.</w:t>
            </w:r>
          </w:p>
        </w:tc>
        <w:tc>
          <w:tcPr/>
          <w:p>
            <w:pPr>
              <w:pStyle w:val="Compact"/>
              <w:jc w:val="left"/>
            </w:pPr>
            <w:r>
              <w:t xml:space="preserve">London Stock Exchange Group (LSEG) data (licensed)</w:t>
            </w:r>
          </w:p>
        </w:tc>
      </w:tr>
      <w:tr>
        <w:tc>
          <w:tcPr/>
          <w:p>
            <w:pPr>
              <w:pStyle w:val="Compact"/>
              <w:jc w:val="left"/>
            </w:pPr>
            <w:r>
              <w:t xml:space="preserve">β</w:t>
            </w:r>
            <w:r>
              <w:rPr>
                <w:vertAlign w:val="subscript"/>
              </w:rPr>
              <w:t xml:space="preserve">V</w:t>
            </w:r>
            <w:r>
              <w:t xml:space="preserve">, β</w:t>
            </w:r>
            <w:r>
              <w:rPr>
                <w:vertAlign w:val="subscript"/>
              </w:rPr>
              <w:t xml:space="preserve">m</w:t>
            </w:r>
          </w:p>
        </w:tc>
        <w:tc>
          <w:tcPr/>
          <w:p>
            <w:pPr>
              <w:pStyle w:val="Compact"/>
              <w:jc w:val="left"/>
            </w:pPr>
            <w:r>
              <w:t xml:space="preserve">Coefficients in equation (8): how the change in market value moves with the change in transaction value and with the change in the take rate.</w:t>
            </w:r>
          </w:p>
        </w:tc>
        <w:tc>
          <w:tcPr/>
          <w:p>
            <w:pPr>
              <w:pStyle w:val="Compact"/>
              <w:jc w:val="left"/>
            </w:pPr>
            <w:r>
              <w:t xml:space="preserve">Author’s estimate</w:t>
            </w:r>
          </w:p>
        </w:tc>
      </w:tr>
      <w:tr>
        <w:tc>
          <w:tcPr/>
          <w:p>
            <w:pPr>
              <w:pStyle w:val="Compact"/>
              <w:jc w:val="left"/>
            </w:pPr>
            <w:r>
              <w:rPr>
                <w:iCs/>
                <w:i/>
              </w:rPr>
              <w:t xml:space="preserve">Panel D: Labels</w:t>
            </w:r>
          </w:p>
        </w:tc>
        <w:tc>
          <w:tcPr/>
          <w:p>
            <w:pPr>
              <w:pStyle w:val="Compact"/>
            </w:pPr>
          </w:p>
        </w:tc>
        <w:tc>
          <w:tcPr/>
          <w:p>
            <w:pPr>
              <w:pStyle w:val="Compact"/>
            </w:pPr>
          </w:p>
        </w:tc>
      </w:tr>
      <w:tr>
        <w:tc>
          <w:tcPr/>
          <w:p>
            <w:pPr>
              <w:pStyle w:val="Compact"/>
              <w:jc w:val="left"/>
            </w:pPr>
            <w:r>
              <w:t xml:space="preserve">H1, H2</w:t>
            </w:r>
          </w:p>
        </w:tc>
        <w:tc>
          <w:tcPr/>
          <w:p>
            <w:pPr>
              <w:pStyle w:val="Compact"/>
              <w:jc w:val="left"/>
            </w:pPr>
            <w:r>
              <w:t xml:space="preserve">The two hypotheses of Section 3.4.</w:t>
            </w:r>
          </w:p>
        </w:tc>
        <w:tc>
          <w:tcPr/>
          <w:p>
            <w:pPr>
              <w:pStyle w:val="Compact"/>
              <w:jc w:val="left"/>
            </w:pPr>
            <w:r>
              <w:t xml:space="preserve">Author’s definition</w:t>
            </w:r>
          </w:p>
        </w:tc>
      </w:tr>
      <w:tr>
        <w:tc>
          <w:tcPr/>
          <w:p>
            <w:pPr>
              <w:pStyle w:val="Compact"/>
              <w:jc w:val="left"/>
            </w:pPr>
            <w:r>
              <w:rPr>
                <w:iCs/>
                <w:i/>
              </w:rPr>
              <w:t xml:space="preserve">Panel E: Variables of the regressions (Chapter 5)</w:t>
            </w:r>
          </w:p>
        </w:tc>
        <w:tc>
          <w:tcPr/>
          <w:p>
            <w:pPr>
              <w:pStyle w:val="Compact"/>
            </w:pPr>
          </w:p>
        </w:tc>
        <w:tc>
          <w:tcPr/>
          <w:p>
            <w:pPr>
              <w:pStyle w:val="Compact"/>
            </w:pPr>
          </w:p>
        </w:tc>
      </w:tr>
      <w:tr>
        <w:tc>
          <w:tcPr/>
          <w:p>
            <w:pPr>
              <w:pStyle w:val="Compact"/>
              <w:jc w:val="left"/>
            </w:pPr>
            <w:r>
              <w:t xml:space="preserve">Wedge in US dollars, and its natural logarithm</w:t>
            </w:r>
          </w:p>
        </w:tc>
        <w:tc>
          <w:tcPr/>
          <w:p>
            <w:pPr>
              <w:pStyle w:val="Compact"/>
              <w:jc w:val="left"/>
            </w:pPr>
            <w:r>
              <w:t xml:space="preserve">The invisible wedge W</w:t>
            </w:r>
            <w:r>
              <w:rPr>
                <w:vertAlign w:val="subscript"/>
              </w:rPr>
              <w:t xml:space="preserve">it</w:t>
            </w:r>
            <w:r>
              <w:t xml:space="preserve"> </w:t>
            </w:r>
            <w:r>
              <w:t xml:space="preserve">converted to US dollars at the period-average official exchange rate of the reporting currency, in US$ million. The regressions use its natural logarithm.</w:t>
            </w:r>
          </w:p>
        </w:tc>
        <w:tc>
          <w:tcPr/>
          <w:p>
            <w:pPr>
              <w:pStyle w:val="Compact"/>
              <w:jc w:val="left"/>
            </w:pPr>
            <w:r>
              <w:t xml:space="preserve">Company reports; World Bank (2026); author’s calculation</w:t>
            </w:r>
          </w:p>
        </w:tc>
      </w:tr>
      <w:tr>
        <w:tc>
          <w:tcPr/>
          <w:p>
            <w:pPr>
              <w:pStyle w:val="Compact"/>
              <w:jc w:val="left"/>
            </w:pPr>
            <w:r>
              <w:t xml:space="preserve">Ecosystem ratio, capped</w:t>
            </w:r>
          </w:p>
        </w:tc>
        <w:tc>
          <w:tcPr/>
          <w:p>
            <w:pPr>
              <w:pStyle w:val="Compact"/>
              <w:jc w:val="left"/>
            </w:pPr>
            <w:r>
              <w:t xml:space="preserve">E</w:t>
            </w:r>
            <w:r>
              <w:rPr>
                <w:vertAlign w:val="subscript"/>
              </w:rPr>
              <w:t xml:space="preserve">it</w:t>
            </w:r>
            <w:r>
              <w:t xml:space="preserve">, set to its 5th percentile below that value and to its 95th percentile above that value, across all platform-years.</w:t>
            </w:r>
          </w:p>
        </w:tc>
        <w:tc>
          <w:tcPr/>
          <w:p>
            <w:pPr>
              <w:pStyle w:val="Compact"/>
              <w:jc w:val="left"/>
            </w:pPr>
            <w:r>
              <w:t xml:space="preserve">Author’s calculation</w:t>
            </w:r>
          </w:p>
        </w:tc>
      </w:tr>
      <w:tr>
        <w:tc>
          <w:tcPr/>
          <w:p>
            <w:pPr>
              <w:pStyle w:val="Compact"/>
              <w:jc w:val="left"/>
            </w:pPr>
            <w:r>
              <w:t xml:space="preserve">g(R</w:t>
            </w:r>
            <w:r>
              <w:rPr>
                <w:vertAlign w:val="subscript"/>
              </w:rPr>
              <w:t xml:space="preserve">it</w:t>
            </w:r>
            <w:r>
              <w:t xml:space="preserve">), g(V</w:t>
            </w:r>
            <w:r>
              <w:rPr>
                <w:vertAlign w:val="subscript"/>
              </w:rPr>
              <w:t xml:space="preserve">it</w:t>
            </w:r>
            <w:r>
              <w:t xml:space="preserve">), capped</w:t>
            </w:r>
          </w:p>
        </w:tc>
        <w:tc>
          <w:tcPr/>
          <w:p>
            <w:pPr>
              <w:pStyle w:val="Compact"/>
              <w:jc w:val="left"/>
            </w:pPr>
            <w:r>
              <w:t xml:space="preserve">Growth of revenue and of transaction value as defined in Panel A, for consecutive years of one platform only, set to the 5th and 95th percentiles across all platforms.</w:t>
            </w:r>
          </w:p>
        </w:tc>
        <w:tc>
          <w:tcPr/>
          <w:p>
            <w:pPr>
              <w:pStyle w:val="Compact"/>
              <w:jc w:val="left"/>
            </w:pPr>
            <w:r>
              <w:t xml:space="preserve">Company reports; author’s calculation</w:t>
            </w:r>
          </w:p>
        </w:tc>
      </w:tr>
      <w:tr>
        <w:tc>
          <w:tcPr/>
          <w:p>
            <w:pPr>
              <w:pStyle w:val="Compact"/>
              <w:jc w:val="left"/>
            </w:pPr>
            <w:r>
              <w:t xml:space="preserve">IndonesiaRegion</w:t>
            </w:r>
          </w:p>
        </w:tc>
        <w:tc>
          <w:tcPr/>
          <w:p>
            <w:pPr>
              <w:pStyle w:val="Compact"/>
              <w:jc w:val="left"/>
            </w:pPr>
            <w:r>
              <w:t xml:space="preserve">A dummy variable that equals one for Tokopedia, Blibli, Bukalapak and the on-demand businesses of Grab and GoTo, and zero for the 27 foreign platforms.</w:t>
            </w:r>
          </w:p>
        </w:tc>
        <w:tc>
          <w:tcPr/>
          <w:p>
            <w:pPr>
              <w:pStyle w:val="Compact"/>
              <w:jc w:val="left"/>
            </w:pPr>
            <w:r>
              <w:t xml:space="preserve">Author’s classification (Appendix B)</w:t>
            </w:r>
          </w:p>
        </w:tc>
      </w:tr>
      <w:tr>
        <w:tc>
          <w:tcPr/>
          <w:p>
            <w:pPr>
              <w:pStyle w:val="Compact"/>
              <w:jc w:val="left"/>
            </w:pPr>
            <w:r>
              <w:t xml:space="preserve">ln(1+YearsListed)</w:t>
            </w:r>
          </w:p>
        </w:tc>
        <w:tc>
          <w:tcPr/>
          <w:p>
            <w:pPr>
              <w:pStyle w:val="Compact"/>
              <w:jc w:val="left"/>
            </w:pPr>
            <w:r>
              <w:t xml:space="preserve">Natural logarithm of one plus the number of years since the platform listed on a stock exchange; zero before listing.</w:t>
            </w:r>
          </w:p>
        </w:tc>
        <w:tc>
          <w:tcPr/>
          <w:p>
            <w:pPr>
              <w:pStyle w:val="Compact"/>
              <w:jc w:val="left"/>
            </w:pPr>
            <w:r>
              <w:t xml:space="preserve">Listing years from public record; author’s calculation</w:t>
            </w:r>
          </w:p>
        </w:tc>
      </w:tr>
      <w:tr>
        <w:tc>
          <w:tcPr/>
          <w:p>
            <w:pPr>
              <w:pStyle w:val="Compact"/>
              <w:jc w:val="left"/>
            </w:pPr>
            <w:r>
              <w:t xml:space="preserve">ln(Assets)</w:t>
            </w:r>
          </w:p>
        </w:tc>
        <w:tc>
          <w:tcPr/>
          <w:p>
            <w:pPr>
              <w:pStyle w:val="Compact"/>
              <w:jc w:val="left"/>
            </w:pPr>
            <w:r>
              <w:t xml:space="preserve">Natural logarithm of the company’s total assets in US dollars, converted at the period-average official exchange rate of the reporting currency.</w:t>
            </w:r>
          </w:p>
        </w:tc>
        <w:tc>
          <w:tcPr/>
          <w:p>
            <w:pPr>
              <w:pStyle w:val="Compact"/>
              <w:jc w:val="left"/>
            </w:pPr>
            <w:r>
              <w:t xml:space="preserve">SEC filings (U.S. Securities and Exchange Commission 2026) for 26 platforms; published financial statements for Tokopedia and GoTo, Blibli, Bukalapak, Rakuten and Zalando</w:t>
            </w:r>
          </w:p>
        </w:tc>
      </w:tr>
      <w:tr>
        <w:tc>
          <w:tcPr/>
          <w:p>
            <w:pPr>
              <w:pStyle w:val="Compact"/>
              <w:jc w:val="left"/>
            </w:pPr>
            <w:r>
              <w:t xml:space="preserve">OnDemand, Travel, Freelance, Resale</w:t>
            </w:r>
          </w:p>
        </w:tc>
        <w:tc>
          <w:tcPr/>
          <w:p>
            <w:pPr>
              <w:pStyle w:val="Compact"/>
              <w:jc w:val="left"/>
            </w:pPr>
            <w:r>
              <w:t xml:space="preserve">Dummy variables that equal one if the platform is of that type and zero otherwise. The base category is marketplace.</w:t>
            </w:r>
          </w:p>
        </w:tc>
        <w:tc>
          <w:tcPr/>
          <w:p>
            <w:pPr>
              <w:pStyle w:val="Compact"/>
              <w:jc w:val="left"/>
            </w:pPr>
            <w:r>
              <w:t xml:space="preserve">Author’s classification (Appendix B)</w:t>
            </w:r>
          </w:p>
        </w:tc>
      </w:tr>
      <w:tr>
        <w:tc>
          <w:tcPr/>
          <w:p>
            <w:pPr>
              <w:pStyle w:val="Compact"/>
              <w:jc w:val="left"/>
            </w:pPr>
            <w:r>
              <w:t xml:space="preserve">EmergingMarket</w:t>
            </w:r>
          </w:p>
        </w:tc>
        <w:tc>
          <w:tcPr/>
          <w:p>
            <w:pPr>
              <w:pStyle w:val="Compact"/>
              <w:jc w:val="left"/>
            </w:pPr>
            <w:r>
              <w:t xml:space="preserve">A dummy variable that equals one if the platform’s main market is Argentina, Brazil, China, India, Indonesia, Kazakhstan, Nigeria, Russia or Turkey, and zero otherwise.</w:t>
            </w:r>
          </w:p>
        </w:tc>
        <w:tc>
          <w:tcPr/>
          <w:p>
            <w:pPr>
              <w:pStyle w:val="Compact"/>
              <w:jc w:val="left"/>
            </w:pPr>
            <w:r>
              <w:t xml:space="preserve">Author’s classification (Appendix B)</w:t>
            </w:r>
          </w:p>
        </w:tc>
      </w:tr>
      <w:tr>
        <w:tc>
          <w:tcPr/>
          <w:p>
            <w:pPr>
              <w:pStyle w:val="Compact"/>
              <w:jc w:val="left"/>
            </w:pPr>
            <w:r>
              <w:t xml:space="preserve">GDPGrowth</w:t>
            </w:r>
          </w:p>
        </w:tc>
        <w:tc>
          <w:tcPr/>
          <w:p>
            <w:pPr>
              <w:pStyle w:val="Compact"/>
              <w:jc w:val="left"/>
            </w:pPr>
            <w:r>
              <w:t xml:space="preserve">Growth of real gross domestic product of the platform’s main market in year t, in percent.</w:t>
            </w:r>
          </w:p>
        </w:tc>
        <w:tc>
          <w:tcPr/>
          <w:p>
            <w:pPr>
              <w:pStyle w:val="Compact"/>
              <w:jc w:val="left"/>
            </w:pPr>
            <w:r>
              <w:t xml:space="preserve">World Bank (2026)</w:t>
            </w:r>
          </w:p>
        </w:tc>
      </w:tr>
      <w:tr>
        <w:tc>
          <w:tcPr/>
          <w:p>
            <w:pPr>
              <w:pStyle w:val="Compact"/>
              <w:jc w:val="left"/>
            </w:pPr>
            <w:r>
              <w:t xml:space="preserve">Inflation</w:t>
            </w:r>
          </w:p>
        </w:tc>
        <w:tc>
          <w:tcPr/>
          <w:p>
            <w:pPr>
              <w:pStyle w:val="Compact"/>
              <w:jc w:val="left"/>
            </w:pPr>
            <w:r>
              <w:t xml:space="preserve">Growth of consumer prices of the platform’s main market in year t, in percent.</w:t>
            </w:r>
          </w:p>
        </w:tc>
        <w:tc>
          <w:tcPr/>
          <w:p>
            <w:pPr>
              <w:pStyle w:val="Compact"/>
              <w:jc w:val="left"/>
            </w:pPr>
            <w:r>
              <w:t xml:space="preserve">World Bank (2026)</w:t>
            </w:r>
          </w:p>
        </w:tc>
      </w:tr>
      <w:tr>
        <w:tc>
          <w:tcPr/>
          <w:p>
            <w:pPr>
              <w:pStyle w:val="Compact"/>
              <w:jc w:val="left"/>
            </w:pPr>
            <w:r>
              <w:t xml:space="preserve">HouseholdGrowth</w:t>
            </w:r>
          </w:p>
        </w:tc>
        <w:tc>
          <w:tcPr/>
          <w:p>
            <w:pPr>
              <w:pStyle w:val="Compact"/>
              <w:jc w:val="left"/>
            </w:pPr>
            <w:r>
              <w:t xml:space="preserve">Growth of real household final consumption expenditure of the platform’s main market in year t, in percent.</w:t>
            </w:r>
          </w:p>
        </w:tc>
        <w:tc>
          <w:tcPr/>
          <w:p>
            <w:pPr>
              <w:pStyle w:val="Compact"/>
              <w:jc w:val="left"/>
            </w:pPr>
            <w:r>
              <w:t xml:space="preserve">World Bank (2026)</w:t>
            </w:r>
          </w:p>
        </w:tc>
      </w:tr>
      <w:tr>
        <w:tc>
          <w:tcPr/>
          <w:p>
            <w:pPr>
              <w:pStyle w:val="Compact"/>
              <w:jc w:val="left"/>
            </w:pPr>
            <w:r>
              <w:t xml:space="preserve">PolicyRate</w:t>
            </w:r>
          </w:p>
        </w:tc>
        <w:tc>
          <w:tcPr/>
          <w:p>
            <w:pPr>
              <w:pStyle w:val="Compact"/>
              <w:jc w:val="left"/>
            </w:pPr>
            <w:r>
              <w:t xml:space="preserve">The central bank’s policy rate in the platform’s main market, mean of the monthly values in year t, in percent. The euro-area rate is used for Germany.</w:t>
            </w:r>
          </w:p>
        </w:tc>
        <w:tc>
          <w:tcPr/>
          <w:p>
            <w:pPr>
              <w:pStyle w:val="Compact"/>
              <w:jc w:val="left"/>
            </w:pPr>
            <w:r>
              <w:t xml:space="preserve">Bank for International Settlements (2026)</w:t>
            </w:r>
          </w:p>
        </w:tc>
      </w:tr>
    </w:tbl>
    <w:bookmarkEnd w:id="91"/>
    <w:bookmarkStart w:id="92" w:name="a.2-sources-compared-in-objective-3"/>
    <w:p>
      <w:pPr>
        <w:pStyle w:val="Heading3"/>
      </w:pPr>
      <w:r>
        <w:t xml:space="preserve">A.2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92"/>
    <w:bookmarkEnd w:id="93"/>
    <w:bookmarkStart w:id="99" w:name="X79811c47d513cf7a901c7befb1cc5335d4073b3"/>
    <w:p>
      <w:pPr>
        <w:pStyle w:val="Heading2"/>
      </w:pPr>
      <w:r>
        <w:t xml:space="preserve">Appendix B. Platforms, windows and the wedge by year</w:t>
      </w:r>
    </w:p>
    <w:bookmarkStart w:id="94" w:name="b.1-the-foreign-group-27-platforms"/>
    <w:p>
      <w:pPr>
        <w:pStyle w:val="Heading3"/>
      </w:pPr>
      <w:r>
        <w:t xml:space="preserve">B.1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C).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4"/>
    <w:bookmarkStart w:id="95" w:name="b.2-the-indonesian-and-regional-group"/>
    <w:p>
      <w:pPr>
        <w:pStyle w:val="Heading3"/>
      </w:pPr>
      <w:r>
        <w:t xml:space="preserve">B.2 The Indonesian and regional group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5"/>
    <w:bookmarkStart w:id="96" w:name="b.3-the-seven-windows-traced"/>
    <w:p>
      <w:pPr>
        <w:pStyle w:val="Heading3"/>
      </w:pPr>
      <w:r>
        <w:t xml:space="preserve">B.3 The seven windows traced</w:t>
      </w:r>
    </w:p>
    <w:p>
      <w:pPr>
        <w:pStyle w:val="FirstParagraph"/>
      </w:pPr>
      <w:r>
        <w:t xml:space="preserve">Shares are of the log growth of revenue, because the split into more commerce, higher fees and lower incentives is exact only in logs.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6"/>
    <w:bookmarkStart w:id="97" w:name="X75544a8ad0934688286d8f5d2201fe8649ec4f8"/>
    <w:p>
      <w:pPr>
        <w:pStyle w:val="Heading3"/>
      </w:pPr>
      <w:r>
        <w:t xml:space="preserve">B.4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7"/>
    <w:bookmarkStart w:id="98" w:name="X01999f6a932e4fa967dcf7ad72cb6416da995a8"/>
    <w:p>
      <w:pPr>
        <w:pStyle w:val="Heading3"/>
      </w:pPr>
      <w:r>
        <w:t xml:space="preserve">B.5 Classification of the platforms in the regressions</w:t>
      </w:r>
    </w:p>
    <w:p>
      <w:pPr>
        <w:pStyle w:val="FirstParagraph"/>
      </w:pPr>
      <w:r>
        <w:t xml:space="preserve">The type, the main market and the listing year are the author’s classification from public record. The main market is the country whose macroeconomic conditions are attached to the platform: the United States for most US-listed platforms, Indonesia for Sea (Shopee), Nigeria for Jumia, Brazil for Mercado Libre and Argentina for Despegar. Source:</w:t>
      </w:r>
      <w:r>
        <w:t xml:space="preserve"> </w:t>
      </w:r>
      <w:r>
        <w:rPr>
          <w:rStyle w:val="VerbatimChar"/>
        </w:rPr>
        <w:t xml:space="preserve">tables/platform_attributes.csv</w:t>
      </w:r>
      <w:r>
        <w:t xml:space="preserve">.</w:t>
      </w:r>
    </w:p>
    <w:tbl>
      <w:tblPr>
        <w:tblStyle w:val="Table"/>
        <w:tblW w:type="pct" w:w="5000"/>
        <w:tblLook w:firstRow="1" w:lastRow="0" w:firstColumn="0" w:lastColumn="0" w:noHBand="0" w:noVBand="0" w:val="0020"/>
        <w:jc w:val="start"/>
      </w:tblPr>
      <w:tblGrid>
        <w:gridCol w:w="1250"/>
        <w:gridCol w:w="1250"/>
        <w:gridCol w:w="1250"/>
        <w:gridCol w:w="1250"/>
        <w:gridCol w:w="1250"/>
        <w:gridCol w:w="1667"/>
      </w:tblGrid>
      <w:tr>
        <w:trPr>
          <w:tblHeader w:val="true"/>
        </w:trPr>
        <w:tc>
          <w:tcPr/>
          <w:p>
            <w:pPr>
              <w:pStyle w:val="Compact"/>
              <w:jc w:val="left"/>
            </w:pPr>
            <w:r>
              <w:t xml:space="preserve">Platform</w:t>
            </w:r>
          </w:p>
        </w:tc>
        <w:tc>
          <w:tcPr/>
          <w:p>
            <w:pPr>
              <w:pStyle w:val="Compact"/>
              <w:jc w:val="left"/>
            </w:pPr>
            <w:r>
              <w:t xml:space="preserve">Group</w:t>
            </w:r>
          </w:p>
        </w:tc>
        <w:tc>
          <w:tcPr/>
          <w:p>
            <w:pPr>
              <w:pStyle w:val="Compact"/>
              <w:jc w:val="left"/>
            </w:pPr>
            <w:r>
              <w:t xml:space="preserve">Type</w:t>
            </w:r>
          </w:p>
        </w:tc>
        <w:tc>
          <w:tcPr/>
          <w:p>
            <w:pPr>
              <w:pStyle w:val="Compact"/>
              <w:jc w:val="left"/>
            </w:pPr>
            <w:r>
              <w:t xml:space="preserve">Main market</w:t>
            </w:r>
          </w:p>
        </w:tc>
        <w:tc>
          <w:tcPr/>
          <w:p>
            <w:pPr>
              <w:pStyle w:val="Compact"/>
              <w:jc w:val="left"/>
            </w:pPr>
            <w:r>
              <w:t xml:space="preserve">Reporting currency</w:t>
            </w:r>
          </w:p>
        </w:tc>
        <w:tc>
          <w:tcPr/>
          <w:p>
            <w:pPr>
              <w:pStyle w:val="Compact"/>
              <w:jc w:val="right"/>
            </w:pPr>
            <w:r>
              <w:t xml:space="preserve">Listed</w:t>
            </w:r>
          </w:p>
        </w:tc>
      </w:tr>
      <w:tr>
        <w:tc>
          <w:tcPr/>
          <w:p>
            <w:pPr>
              <w:pStyle w:val="Compact"/>
              <w:jc w:val="left"/>
            </w:pPr>
            <w:r>
              <w:t xml:space="preserve">Tokopedia</w:t>
            </w:r>
          </w:p>
        </w:tc>
        <w:tc>
          <w:tcPr/>
          <w:p>
            <w:pPr>
              <w:pStyle w:val="Compact"/>
              <w:jc w:val="left"/>
            </w:pPr>
            <w:r>
              <w:t xml:space="preserve">Indonesian and regional</w:t>
            </w:r>
          </w:p>
        </w:tc>
        <w:tc>
          <w:tcPr/>
          <w:p>
            <w:pPr>
              <w:pStyle w:val="Compact"/>
              <w:jc w:val="left"/>
            </w:pPr>
            <w:r>
              <w:t xml:space="preserve">Marketplace</w:t>
            </w:r>
          </w:p>
        </w:tc>
        <w:tc>
          <w:tcPr/>
          <w:p>
            <w:pPr>
              <w:pStyle w:val="Compact"/>
              <w:jc w:val="left"/>
            </w:pPr>
            <w:r>
              <w:t xml:space="preserve">ID</w:t>
            </w:r>
          </w:p>
        </w:tc>
        <w:tc>
          <w:tcPr/>
          <w:p>
            <w:pPr>
              <w:pStyle w:val="Compact"/>
              <w:jc w:val="left"/>
            </w:pPr>
            <w:r>
              <w:t xml:space="preserve">IDR</w:t>
            </w:r>
          </w:p>
        </w:tc>
        <w:tc>
          <w:tcPr/>
          <w:p>
            <w:pPr>
              <w:pStyle w:val="Compact"/>
              <w:jc w:val="right"/>
            </w:pPr>
            <w:r>
              <w:t xml:space="preserve">2022</w:t>
            </w:r>
          </w:p>
        </w:tc>
      </w:tr>
      <w:tr>
        <w:tc>
          <w:tcPr/>
          <w:p>
            <w:pPr>
              <w:pStyle w:val="Compact"/>
              <w:jc w:val="left"/>
            </w:pPr>
            <w:r>
              <w:t xml:space="preserve">Blibli</w:t>
            </w:r>
          </w:p>
        </w:tc>
        <w:tc>
          <w:tcPr/>
          <w:p>
            <w:pPr>
              <w:pStyle w:val="Compact"/>
              <w:jc w:val="left"/>
            </w:pPr>
            <w:r>
              <w:t xml:space="preserve">Indonesian and regional</w:t>
            </w:r>
          </w:p>
        </w:tc>
        <w:tc>
          <w:tcPr/>
          <w:p>
            <w:pPr>
              <w:pStyle w:val="Compact"/>
              <w:jc w:val="left"/>
            </w:pPr>
            <w:r>
              <w:t xml:space="preserve">Marketplace</w:t>
            </w:r>
          </w:p>
        </w:tc>
        <w:tc>
          <w:tcPr/>
          <w:p>
            <w:pPr>
              <w:pStyle w:val="Compact"/>
              <w:jc w:val="left"/>
            </w:pPr>
            <w:r>
              <w:t xml:space="preserve">ID</w:t>
            </w:r>
          </w:p>
        </w:tc>
        <w:tc>
          <w:tcPr/>
          <w:p>
            <w:pPr>
              <w:pStyle w:val="Compact"/>
              <w:jc w:val="left"/>
            </w:pPr>
            <w:r>
              <w:t xml:space="preserve">IDR</w:t>
            </w:r>
          </w:p>
        </w:tc>
        <w:tc>
          <w:tcPr/>
          <w:p>
            <w:pPr>
              <w:pStyle w:val="Compact"/>
              <w:jc w:val="right"/>
            </w:pPr>
            <w:r>
              <w:t xml:space="preserve">2022</w:t>
            </w:r>
          </w:p>
        </w:tc>
      </w:tr>
      <w:tr>
        <w:tc>
          <w:tcPr/>
          <w:p>
            <w:pPr>
              <w:pStyle w:val="Compact"/>
              <w:jc w:val="left"/>
            </w:pPr>
            <w:r>
              <w:t xml:space="preserve">Bukalapak</w:t>
            </w:r>
          </w:p>
        </w:tc>
        <w:tc>
          <w:tcPr/>
          <w:p>
            <w:pPr>
              <w:pStyle w:val="Compact"/>
              <w:jc w:val="left"/>
            </w:pPr>
            <w:r>
              <w:t xml:space="preserve">Indonesian and regional</w:t>
            </w:r>
          </w:p>
        </w:tc>
        <w:tc>
          <w:tcPr/>
          <w:p>
            <w:pPr>
              <w:pStyle w:val="Compact"/>
              <w:jc w:val="left"/>
            </w:pPr>
            <w:r>
              <w:t xml:space="preserve">Marketplace</w:t>
            </w:r>
          </w:p>
        </w:tc>
        <w:tc>
          <w:tcPr/>
          <w:p>
            <w:pPr>
              <w:pStyle w:val="Compact"/>
              <w:jc w:val="left"/>
            </w:pPr>
            <w:r>
              <w:t xml:space="preserve">ID</w:t>
            </w:r>
          </w:p>
        </w:tc>
        <w:tc>
          <w:tcPr/>
          <w:p>
            <w:pPr>
              <w:pStyle w:val="Compact"/>
              <w:jc w:val="left"/>
            </w:pPr>
            <w:r>
              <w:t xml:space="preserve">IDR</w:t>
            </w:r>
          </w:p>
        </w:tc>
        <w:tc>
          <w:tcPr/>
          <w:p>
            <w:pPr>
              <w:pStyle w:val="Compact"/>
              <w:jc w:val="right"/>
            </w:pPr>
            <w:r>
              <w:t xml:space="preserve">2021</w:t>
            </w:r>
          </w:p>
        </w:tc>
      </w:tr>
      <w:tr>
        <w:tc>
          <w:tcPr/>
          <w:p>
            <w:pPr>
              <w:pStyle w:val="Compact"/>
              <w:jc w:val="left"/>
            </w:pPr>
            <w:r>
              <w:t xml:space="preserve">Grab (on-demand)</w:t>
            </w:r>
          </w:p>
        </w:tc>
        <w:tc>
          <w:tcPr/>
          <w:p>
            <w:pPr>
              <w:pStyle w:val="Compact"/>
              <w:jc w:val="left"/>
            </w:pPr>
            <w:r>
              <w:t xml:space="preserve">Indonesian and regional</w:t>
            </w:r>
          </w:p>
        </w:tc>
        <w:tc>
          <w:tcPr/>
          <w:p>
            <w:pPr>
              <w:pStyle w:val="Compact"/>
              <w:jc w:val="left"/>
            </w:pPr>
            <w:r>
              <w:t xml:space="preserve">On-demand</w:t>
            </w:r>
          </w:p>
        </w:tc>
        <w:tc>
          <w:tcPr/>
          <w:p>
            <w:pPr>
              <w:pStyle w:val="Compact"/>
              <w:jc w:val="left"/>
            </w:pPr>
            <w:r>
              <w:t xml:space="preserve">ID</w:t>
            </w:r>
          </w:p>
        </w:tc>
        <w:tc>
          <w:tcPr/>
          <w:p>
            <w:pPr>
              <w:pStyle w:val="Compact"/>
              <w:jc w:val="left"/>
            </w:pPr>
            <w:r>
              <w:t xml:space="preserve">USD</w:t>
            </w:r>
          </w:p>
        </w:tc>
        <w:tc>
          <w:tcPr/>
          <w:p>
            <w:pPr>
              <w:pStyle w:val="Compact"/>
              <w:jc w:val="right"/>
            </w:pPr>
            <w:r>
              <w:t xml:space="preserve">2021</w:t>
            </w:r>
          </w:p>
        </w:tc>
      </w:tr>
      <w:tr>
        <w:tc>
          <w:tcPr/>
          <w:p>
            <w:pPr>
              <w:pStyle w:val="Compact"/>
              <w:jc w:val="left"/>
            </w:pPr>
            <w:r>
              <w:t xml:space="preserve">GoTo (on-demand)</w:t>
            </w:r>
          </w:p>
        </w:tc>
        <w:tc>
          <w:tcPr/>
          <w:p>
            <w:pPr>
              <w:pStyle w:val="Compact"/>
              <w:jc w:val="left"/>
            </w:pPr>
            <w:r>
              <w:t xml:space="preserve">Indonesian and regional</w:t>
            </w:r>
          </w:p>
        </w:tc>
        <w:tc>
          <w:tcPr/>
          <w:p>
            <w:pPr>
              <w:pStyle w:val="Compact"/>
              <w:jc w:val="left"/>
            </w:pPr>
            <w:r>
              <w:t xml:space="preserve">On-demand</w:t>
            </w:r>
          </w:p>
        </w:tc>
        <w:tc>
          <w:tcPr/>
          <w:p>
            <w:pPr>
              <w:pStyle w:val="Compact"/>
              <w:jc w:val="left"/>
            </w:pPr>
            <w:r>
              <w:t xml:space="preserve">ID</w:t>
            </w:r>
          </w:p>
        </w:tc>
        <w:tc>
          <w:tcPr/>
          <w:p>
            <w:pPr>
              <w:pStyle w:val="Compact"/>
              <w:jc w:val="left"/>
            </w:pPr>
            <w:r>
              <w:t xml:space="preserve">IDR</w:t>
            </w:r>
          </w:p>
        </w:tc>
        <w:tc>
          <w:tcPr/>
          <w:p>
            <w:pPr>
              <w:pStyle w:val="Compact"/>
              <w:jc w:val="right"/>
            </w:pPr>
            <w:r>
              <w:t xml:space="preserve">2022</w:t>
            </w:r>
          </w:p>
        </w:tc>
      </w:tr>
      <w:tr>
        <w:tc>
          <w:tcPr/>
          <w:p>
            <w:pPr>
              <w:pStyle w:val="Compact"/>
              <w:jc w:val="left"/>
            </w:pPr>
            <w:r>
              <w:t xml:space="preserve">Etsy</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2015</w:t>
            </w:r>
          </w:p>
        </w:tc>
      </w:tr>
      <w:tr>
        <w:tc>
          <w:tcPr/>
          <w:p>
            <w:pPr>
              <w:pStyle w:val="Compact"/>
              <w:jc w:val="left"/>
            </w:pPr>
            <w:r>
              <w:t xml:space="preserve">eBay</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US</w:t>
            </w:r>
          </w:p>
        </w:tc>
        <w:tc>
          <w:tcPr/>
          <w:p>
            <w:pPr>
              <w:pStyle w:val="Compact"/>
              <w:jc w:val="left"/>
            </w:pPr>
            <w:r>
              <w:t xml:space="preserve">USD</w:t>
            </w:r>
          </w:p>
        </w:tc>
        <w:tc>
          <w:tcPr/>
          <w:p>
            <w:pPr>
              <w:pStyle w:val="Compact"/>
              <w:jc w:val="right"/>
            </w:pPr>
            <w:r>
              <w:t xml:space="preserve">1998</w:t>
            </w:r>
          </w:p>
        </w:tc>
      </w:tr>
      <w:tr>
        <w:tc>
          <w:tcPr/>
          <w:p>
            <w:pPr>
              <w:pStyle w:val="Compact"/>
              <w:jc w:val="left"/>
            </w:pPr>
            <w:r>
              <w:t xml:space="preserve">Jumia</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NG</w:t>
            </w:r>
          </w:p>
        </w:tc>
        <w:tc>
          <w:tcPr/>
          <w:p>
            <w:pPr>
              <w:pStyle w:val="Compact"/>
              <w:jc w:val="left"/>
            </w:pPr>
            <w:r>
              <w:t xml:space="preserve">USD</w:t>
            </w:r>
          </w:p>
        </w:tc>
        <w:tc>
          <w:tcPr/>
          <w:p>
            <w:pPr>
              <w:pStyle w:val="Compact"/>
              <w:jc w:val="right"/>
            </w:pPr>
            <w:r>
              <w:t xml:space="preserve">2019</w:t>
            </w:r>
          </w:p>
        </w:tc>
      </w:tr>
      <w:tr>
        <w:tc>
          <w:tcPr/>
          <w:p>
            <w:pPr>
              <w:pStyle w:val="Compact"/>
              <w:jc w:val="left"/>
            </w:pPr>
            <w:r>
              <w:t xml:space="preserve">Mercado Libre</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BR</w:t>
            </w:r>
          </w:p>
        </w:tc>
        <w:tc>
          <w:tcPr/>
          <w:p>
            <w:pPr>
              <w:pStyle w:val="Compact"/>
              <w:jc w:val="left"/>
            </w:pPr>
            <w:r>
              <w:t xml:space="preserve">USD</w:t>
            </w:r>
          </w:p>
        </w:tc>
        <w:tc>
          <w:tcPr/>
          <w:p>
            <w:pPr>
              <w:pStyle w:val="Compact"/>
              <w:jc w:val="right"/>
            </w:pPr>
            <w:r>
              <w:t xml:space="preserve">2007</w:t>
            </w:r>
          </w:p>
        </w:tc>
      </w:tr>
      <w:tr>
        <w:tc>
          <w:tcPr/>
          <w:p>
            <w:pPr>
              <w:pStyle w:val="Compact"/>
              <w:jc w:val="left"/>
            </w:pPr>
            <w:r>
              <w:t xml:space="preserve">Rakuten</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JP</w:t>
            </w:r>
          </w:p>
        </w:tc>
        <w:tc>
          <w:tcPr/>
          <w:p>
            <w:pPr>
              <w:pStyle w:val="Compact"/>
              <w:jc w:val="left"/>
            </w:pPr>
            <w:r>
              <w:t xml:space="preserve">JPY</w:t>
            </w:r>
          </w:p>
        </w:tc>
        <w:tc>
          <w:tcPr/>
          <w:p>
            <w:pPr>
              <w:pStyle w:val="Compact"/>
              <w:jc w:val="right"/>
            </w:pPr>
            <w:r>
              <w:t xml:space="preserve">2000</w:t>
            </w:r>
          </w:p>
        </w:tc>
      </w:tr>
      <w:tr>
        <w:tc>
          <w:tcPr/>
          <w:p>
            <w:pPr>
              <w:pStyle w:val="Compact"/>
              <w:jc w:val="left"/>
            </w:pPr>
            <w:r>
              <w:t xml:space="preserve">Sea (Shopee)</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ID</w:t>
            </w:r>
          </w:p>
        </w:tc>
        <w:tc>
          <w:tcPr/>
          <w:p>
            <w:pPr>
              <w:pStyle w:val="Compact"/>
              <w:jc w:val="left"/>
            </w:pPr>
            <w:r>
              <w:t xml:space="preserve">USD</w:t>
            </w:r>
          </w:p>
        </w:tc>
        <w:tc>
          <w:tcPr/>
          <w:p>
            <w:pPr>
              <w:pStyle w:val="Compact"/>
              <w:jc w:val="right"/>
            </w:pPr>
            <w:r>
              <w:t xml:space="preserve">2017</w:t>
            </w:r>
          </w:p>
        </w:tc>
      </w:tr>
      <w:tr>
        <w:tc>
          <w:tcPr/>
          <w:p>
            <w:pPr>
              <w:pStyle w:val="Compact"/>
              <w:jc w:val="left"/>
            </w:pPr>
            <w:r>
              <w:t xml:space="preserve">Shopify</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2015</w:t>
            </w:r>
          </w:p>
        </w:tc>
      </w:tr>
      <w:tr>
        <w:tc>
          <w:tcPr/>
          <w:p>
            <w:pPr>
              <w:pStyle w:val="Compact"/>
              <w:jc w:val="left"/>
            </w:pPr>
            <w:r>
              <w:t xml:space="preserve">Zalando</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DE</w:t>
            </w:r>
          </w:p>
        </w:tc>
        <w:tc>
          <w:tcPr/>
          <w:p>
            <w:pPr>
              <w:pStyle w:val="Compact"/>
              <w:jc w:val="left"/>
            </w:pPr>
            <w:r>
              <w:t xml:space="preserve">EUR</w:t>
            </w:r>
          </w:p>
        </w:tc>
        <w:tc>
          <w:tcPr/>
          <w:p>
            <w:pPr>
              <w:pStyle w:val="Compact"/>
              <w:jc w:val="right"/>
            </w:pPr>
            <w:r>
              <w:t xml:space="preserve">2014</w:t>
            </w:r>
          </w:p>
        </w:tc>
      </w:tr>
      <w:tr>
        <w:tc>
          <w:tcPr/>
          <w:p>
            <w:pPr>
              <w:pStyle w:val="Compact"/>
              <w:jc w:val="left"/>
            </w:pPr>
            <w:r>
              <w:t xml:space="preserve">ACV Auctions</w:t>
            </w:r>
          </w:p>
        </w:tc>
        <w:tc>
          <w:tcPr/>
          <w:p>
            <w:pPr>
              <w:pStyle w:val="Compact"/>
              <w:jc w:val="left"/>
            </w:pPr>
            <w:r>
              <w:t xml:space="preserve">Foreign</w:t>
            </w:r>
          </w:p>
        </w:tc>
        <w:tc>
          <w:tcPr/>
          <w:p>
            <w:pPr>
              <w:pStyle w:val="Compact"/>
              <w:jc w:val="left"/>
            </w:pPr>
            <w:r>
              <w:t xml:space="preserve">Resale and auctions</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2021</w:t>
            </w:r>
          </w:p>
        </w:tc>
      </w:tr>
      <w:tr>
        <w:tc>
          <w:tcPr/>
          <w:p>
            <w:pPr>
              <w:pStyle w:val="Compact"/>
              <w:jc w:val="left"/>
            </w:pPr>
            <w:r>
              <w:t xml:space="preserve">Waitr</w:t>
            </w:r>
          </w:p>
        </w:tc>
        <w:tc>
          <w:tcPr/>
          <w:p>
            <w:pPr>
              <w:pStyle w:val="Compact"/>
              <w:jc w:val="left"/>
            </w:pPr>
            <w:r>
              <w:t xml:space="preserve">Foreign</w:t>
            </w:r>
          </w:p>
        </w:tc>
        <w:tc>
          <w:tcPr/>
          <w:p>
            <w:pPr>
              <w:pStyle w:val="Compact"/>
              <w:jc w:val="left"/>
            </w:pPr>
            <w:r>
              <w:t xml:space="preserve">On-demand</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2018</w:t>
            </w:r>
          </w:p>
        </w:tc>
      </w:tr>
      <w:tr>
        <w:tc>
          <w:tcPr/>
          <w:p>
            <w:pPr>
              <w:pStyle w:val="Compact"/>
              <w:jc w:val="left"/>
            </w:pPr>
            <w:r>
              <w:t xml:space="preserve">Alibaba</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CN</w:t>
            </w:r>
          </w:p>
        </w:tc>
        <w:tc>
          <w:tcPr/>
          <w:p>
            <w:pPr>
              <w:pStyle w:val="Compact"/>
              <w:jc w:val="left"/>
            </w:pPr>
            <w:r>
              <w:t xml:space="preserve">CNY</w:t>
            </w:r>
          </w:p>
        </w:tc>
        <w:tc>
          <w:tcPr/>
          <w:p>
            <w:pPr>
              <w:pStyle w:val="Compact"/>
              <w:jc w:val="right"/>
            </w:pPr>
            <w:r>
              <w:t xml:space="preserve">2014</w:t>
            </w:r>
          </w:p>
        </w:tc>
      </w:tr>
      <w:tr>
        <w:tc>
          <w:tcPr/>
          <w:p>
            <w:pPr>
              <w:pStyle w:val="Compact"/>
              <w:jc w:val="left"/>
            </w:pPr>
            <w:r>
              <w:t xml:space="preserve">Despegar</w:t>
            </w:r>
          </w:p>
        </w:tc>
        <w:tc>
          <w:tcPr/>
          <w:p>
            <w:pPr>
              <w:pStyle w:val="Compact"/>
              <w:jc w:val="left"/>
            </w:pPr>
            <w:r>
              <w:t xml:space="preserve">Foreign</w:t>
            </w:r>
          </w:p>
        </w:tc>
        <w:tc>
          <w:tcPr/>
          <w:p>
            <w:pPr>
              <w:pStyle w:val="Compact"/>
              <w:jc w:val="left"/>
            </w:pPr>
            <w:r>
              <w:t xml:space="preserve">Travel and ticketing</w:t>
            </w:r>
          </w:p>
        </w:tc>
        <w:tc>
          <w:tcPr/>
          <w:p>
            <w:pPr>
              <w:pStyle w:val="Compact"/>
              <w:jc w:val="left"/>
            </w:pPr>
            <w:r>
              <w:t xml:space="preserve">AR</w:t>
            </w:r>
          </w:p>
        </w:tc>
        <w:tc>
          <w:tcPr/>
          <w:p>
            <w:pPr>
              <w:pStyle w:val="Compact"/>
              <w:jc w:val="left"/>
            </w:pPr>
            <w:r>
              <w:t xml:space="preserve">USD</w:t>
            </w:r>
          </w:p>
        </w:tc>
        <w:tc>
          <w:tcPr/>
          <w:p>
            <w:pPr>
              <w:pStyle w:val="Compact"/>
              <w:jc w:val="right"/>
            </w:pPr>
            <w:r>
              <w:t xml:space="preserve">2017</w:t>
            </w:r>
          </w:p>
        </w:tc>
      </w:tr>
      <w:tr>
        <w:tc>
          <w:tcPr/>
          <w:p>
            <w:pPr>
              <w:pStyle w:val="Compact"/>
              <w:jc w:val="left"/>
            </w:pPr>
            <w:r>
              <w:t xml:space="preserve">1stDibs</w:t>
            </w:r>
          </w:p>
        </w:tc>
        <w:tc>
          <w:tcPr/>
          <w:p>
            <w:pPr>
              <w:pStyle w:val="Compact"/>
              <w:jc w:val="left"/>
            </w:pPr>
            <w:r>
              <w:t xml:space="preserve">Foreign</w:t>
            </w:r>
          </w:p>
        </w:tc>
        <w:tc>
          <w:tcPr/>
          <w:p>
            <w:pPr>
              <w:pStyle w:val="Compact"/>
              <w:jc w:val="left"/>
            </w:pPr>
            <w:r>
              <w:t xml:space="preserve">Resale and auctions</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2021</w:t>
            </w:r>
          </w:p>
        </w:tc>
      </w:tr>
      <w:tr>
        <w:tc>
          <w:tcPr/>
          <w:p>
            <w:pPr>
              <w:pStyle w:val="Compact"/>
              <w:jc w:val="left"/>
            </w:pPr>
            <w:r>
              <w:t xml:space="preserve">Expedia</w:t>
            </w:r>
          </w:p>
        </w:tc>
        <w:tc>
          <w:tcPr/>
          <w:p>
            <w:pPr>
              <w:pStyle w:val="Compact"/>
              <w:jc w:val="left"/>
            </w:pPr>
            <w:r>
              <w:t xml:space="preserve">Foreign</w:t>
            </w:r>
          </w:p>
        </w:tc>
        <w:tc>
          <w:tcPr/>
          <w:p>
            <w:pPr>
              <w:pStyle w:val="Compact"/>
              <w:jc w:val="left"/>
            </w:pPr>
            <w:r>
              <w:t xml:space="preserve">Travel and ticketing</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2005</w:t>
            </w:r>
          </w:p>
        </w:tc>
      </w:tr>
      <w:tr>
        <w:tc>
          <w:tcPr/>
          <w:p>
            <w:pPr>
              <w:pStyle w:val="Compact"/>
              <w:jc w:val="left"/>
            </w:pPr>
            <w:r>
              <w:t xml:space="preserve">Fiverr</w:t>
            </w:r>
          </w:p>
        </w:tc>
        <w:tc>
          <w:tcPr/>
          <w:p>
            <w:pPr>
              <w:pStyle w:val="Compact"/>
              <w:jc w:val="left"/>
            </w:pPr>
            <w:r>
              <w:t xml:space="preserve">Foreign</w:t>
            </w:r>
          </w:p>
        </w:tc>
        <w:tc>
          <w:tcPr/>
          <w:p>
            <w:pPr>
              <w:pStyle w:val="Compact"/>
              <w:jc w:val="left"/>
            </w:pPr>
            <w:r>
              <w:t xml:space="preserve">Freelance</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2019</w:t>
            </w:r>
          </w:p>
        </w:tc>
      </w:tr>
      <w:tr>
        <w:tc>
          <w:tcPr/>
          <w:p>
            <w:pPr>
              <w:pStyle w:val="Compact"/>
              <w:jc w:val="left"/>
            </w:pPr>
            <w:r>
              <w:t xml:space="preserve">Grubhub</w:t>
            </w:r>
          </w:p>
        </w:tc>
        <w:tc>
          <w:tcPr/>
          <w:p>
            <w:pPr>
              <w:pStyle w:val="Compact"/>
              <w:jc w:val="left"/>
            </w:pPr>
            <w:r>
              <w:t xml:space="preserve">Foreign</w:t>
            </w:r>
          </w:p>
        </w:tc>
        <w:tc>
          <w:tcPr/>
          <w:p>
            <w:pPr>
              <w:pStyle w:val="Compact"/>
              <w:jc w:val="left"/>
            </w:pPr>
            <w:r>
              <w:t xml:space="preserve">On-demand</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2014</w:t>
            </w:r>
          </w:p>
        </w:tc>
      </w:tr>
      <w:tr>
        <w:tc>
          <w:tcPr/>
          <w:p>
            <w:pPr>
              <w:pStyle w:val="Compact"/>
              <w:jc w:val="left"/>
            </w:pPr>
            <w:r>
              <w:t xml:space="preserve">Hepsiburada</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TR</w:t>
            </w:r>
          </w:p>
        </w:tc>
        <w:tc>
          <w:tcPr/>
          <w:p>
            <w:pPr>
              <w:pStyle w:val="Compact"/>
              <w:jc w:val="left"/>
            </w:pPr>
            <w:r>
              <w:t xml:space="preserve">TRY</w:t>
            </w:r>
          </w:p>
        </w:tc>
        <w:tc>
          <w:tcPr/>
          <w:p>
            <w:pPr>
              <w:pStyle w:val="Compact"/>
              <w:jc w:val="right"/>
            </w:pPr>
            <w:r>
              <w:t xml:space="preserve">2021</w:t>
            </w:r>
          </w:p>
        </w:tc>
      </w:tr>
      <w:tr>
        <w:tc>
          <w:tcPr/>
          <w:p>
            <w:pPr>
              <w:pStyle w:val="Compact"/>
              <w:jc w:val="left"/>
            </w:pPr>
            <w:r>
              <w:t xml:space="preserve">Kaspi.kz</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KZ</w:t>
            </w:r>
          </w:p>
        </w:tc>
        <w:tc>
          <w:tcPr/>
          <w:p>
            <w:pPr>
              <w:pStyle w:val="Compact"/>
              <w:jc w:val="left"/>
            </w:pPr>
            <w:r>
              <w:t xml:space="preserve">KZT</w:t>
            </w:r>
          </w:p>
        </w:tc>
        <w:tc>
          <w:tcPr/>
          <w:p>
            <w:pPr>
              <w:pStyle w:val="Compact"/>
              <w:jc w:val="right"/>
            </w:pPr>
            <w:r>
              <w:t xml:space="preserve">2020</w:t>
            </w:r>
          </w:p>
        </w:tc>
      </w:tr>
      <w:tr>
        <w:tc>
          <w:tcPr/>
          <w:p>
            <w:pPr>
              <w:pStyle w:val="Compact"/>
              <w:jc w:val="left"/>
            </w:pPr>
            <w:r>
              <w:t xml:space="preserve">Mogu</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CN</w:t>
            </w:r>
          </w:p>
        </w:tc>
        <w:tc>
          <w:tcPr/>
          <w:p>
            <w:pPr>
              <w:pStyle w:val="Compact"/>
              <w:jc w:val="left"/>
            </w:pPr>
            <w:r>
              <w:t xml:space="preserve">CNY</w:t>
            </w:r>
          </w:p>
        </w:tc>
        <w:tc>
          <w:tcPr/>
          <w:p>
            <w:pPr>
              <w:pStyle w:val="Compact"/>
              <w:jc w:val="right"/>
            </w:pPr>
            <w:r>
              <w:t xml:space="preserve">2018</w:t>
            </w:r>
          </w:p>
        </w:tc>
      </w:tr>
      <w:tr>
        <w:tc>
          <w:tcPr/>
          <w:p>
            <w:pPr>
              <w:pStyle w:val="Compact"/>
              <w:jc w:val="left"/>
            </w:pPr>
            <w:r>
              <w:t xml:space="preserve">Ozon</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RU</w:t>
            </w:r>
          </w:p>
        </w:tc>
        <w:tc>
          <w:tcPr/>
          <w:p>
            <w:pPr>
              <w:pStyle w:val="Compact"/>
              <w:jc w:val="left"/>
            </w:pPr>
            <w:r>
              <w:t xml:space="preserve">RUB</w:t>
            </w:r>
          </w:p>
        </w:tc>
        <w:tc>
          <w:tcPr/>
          <w:p>
            <w:pPr>
              <w:pStyle w:val="Compact"/>
              <w:jc w:val="right"/>
            </w:pPr>
            <w:r>
              <w:t xml:space="preserve">2020</w:t>
            </w:r>
          </w:p>
        </w:tc>
      </w:tr>
      <w:tr>
        <w:tc>
          <w:tcPr/>
          <w:p>
            <w:pPr>
              <w:pStyle w:val="Compact"/>
              <w:jc w:val="left"/>
            </w:pPr>
            <w:r>
              <w:t xml:space="preserve">Pinduoduo</w:t>
            </w:r>
          </w:p>
        </w:tc>
        <w:tc>
          <w:tcPr/>
          <w:p>
            <w:pPr>
              <w:pStyle w:val="Compact"/>
              <w:jc w:val="left"/>
            </w:pPr>
            <w:r>
              <w:t xml:space="preserve">Foreign</w:t>
            </w:r>
          </w:p>
        </w:tc>
        <w:tc>
          <w:tcPr/>
          <w:p>
            <w:pPr>
              <w:pStyle w:val="Compact"/>
              <w:jc w:val="left"/>
            </w:pPr>
            <w:r>
              <w:t xml:space="preserve">Marketplace</w:t>
            </w:r>
          </w:p>
        </w:tc>
        <w:tc>
          <w:tcPr/>
          <w:p>
            <w:pPr>
              <w:pStyle w:val="Compact"/>
              <w:jc w:val="left"/>
            </w:pPr>
            <w:r>
              <w:t xml:space="preserve">CN</w:t>
            </w:r>
          </w:p>
        </w:tc>
        <w:tc>
          <w:tcPr/>
          <w:p>
            <w:pPr>
              <w:pStyle w:val="Compact"/>
              <w:jc w:val="left"/>
            </w:pPr>
            <w:r>
              <w:t xml:space="preserve">CNY</w:t>
            </w:r>
          </w:p>
        </w:tc>
        <w:tc>
          <w:tcPr/>
          <w:p>
            <w:pPr>
              <w:pStyle w:val="Compact"/>
              <w:jc w:val="right"/>
            </w:pPr>
            <w:r>
              <w:t xml:space="preserve">2018</w:t>
            </w:r>
          </w:p>
        </w:tc>
      </w:tr>
      <w:tr>
        <w:tc>
          <w:tcPr/>
          <w:p>
            <w:pPr>
              <w:pStyle w:val="Compact"/>
              <w:jc w:val="left"/>
            </w:pPr>
            <w:r>
              <w:t xml:space="preserve">RB Global</w:t>
            </w:r>
          </w:p>
        </w:tc>
        <w:tc>
          <w:tcPr/>
          <w:p>
            <w:pPr>
              <w:pStyle w:val="Compact"/>
              <w:jc w:val="left"/>
            </w:pPr>
            <w:r>
              <w:t xml:space="preserve">Foreign</w:t>
            </w:r>
          </w:p>
        </w:tc>
        <w:tc>
          <w:tcPr/>
          <w:p>
            <w:pPr>
              <w:pStyle w:val="Compact"/>
              <w:jc w:val="left"/>
            </w:pPr>
            <w:r>
              <w:t xml:space="preserve">Resale and auctions</w:t>
            </w:r>
          </w:p>
        </w:tc>
        <w:tc>
          <w:tcPr/>
          <w:p>
            <w:pPr>
              <w:pStyle w:val="Compact"/>
              <w:jc w:val="left"/>
            </w:pPr>
            <w:r>
              <w:t xml:space="preserve">US</w:t>
            </w:r>
          </w:p>
        </w:tc>
        <w:tc>
          <w:tcPr/>
          <w:p>
            <w:pPr>
              <w:pStyle w:val="Compact"/>
              <w:jc w:val="left"/>
            </w:pPr>
            <w:r>
              <w:t xml:space="preserve">USD</w:t>
            </w:r>
          </w:p>
        </w:tc>
        <w:tc>
          <w:tcPr/>
          <w:p>
            <w:pPr>
              <w:pStyle w:val="Compact"/>
              <w:jc w:val="right"/>
            </w:pPr>
            <w:r>
              <w:t xml:space="preserve">1998</w:t>
            </w:r>
          </w:p>
        </w:tc>
      </w:tr>
      <w:tr>
        <w:tc>
          <w:tcPr/>
          <w:p>
            <w:pPr>
              <w:pStyle w:val="Compact"/>
              <w:jc w:val="left"/>
            </w:pPr>
            <w:r>
              <w:t xml:space="preserve">The RealReal</w:t>
            </w:r>
          </w:p>
        </w:tc>
        <w:tc>
          <w:tcPr/>
          <w:p>
            <w:pPr>
              <w:pStyle w:val="Compact"/>
              <w:jc w:val="left"/>
            </w:pPr>
            <w:r>
              <w:t xml:space="preserve">Foreign</w:t>
            </w:r>
          </w:p>
        </w:tc>
        <w:tc>
          <w:tcPr/>
          <w:p>
            <w:pPr>
              <w:pStyle w:val="Compact"/>
              <w:jc w:val="left"/>
            </w:pPr>
            <w:r>
              <w:t xml:space="preserve">Resale and auctions</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2019</w:t>
            </w:r>
          </w:p>
        </w:tc>
      </w:tr>
      <w:tr>
        <w:tc>
          <w:tcPr/>
          <w:p>
            <w:pPr>
              <w:pStyle w:val="Compact"/>
              <w:jc w:val="left"/>
            </w:pPr>
            <w:r>
              <w:t xml:space="preserve">Vivid Seats</w:t>
            </w:r>
          </w:p>
        </w:tc>
        <w:tc>
          <w:tcPr/>
          <w:p>
            <w:pPr>
              <w:pStyle w:val="Compact"/>
              <w:jc w:val="left"/>
            </w:pPr>
            <w:r>
              <w:t xml:space="preserve">Foreign</w:t>
            </w:r>
          </w:p>
        </w:tc>
        <w:tc>
          <w:tcPr/>
          <w:p>
            <w:pPr>
              <w:pStyle w:val="Compact"/>
              <w:jc w:val="left"/>
            </w:pPr>
            <w:r>
              <w:t xml:space="preserve">Travel and ticketing</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2021</w:t>
            </w:r>
          </w:p>
        </w:tc>
      </w:tr>
      <w:tr>
        <w:tc>
          <w:tcPr/>
          <w:p>
            <w:pPr>
              <w:pStyle w:val="Compact"/>
              <w:jc w:val="left"/>
            </w:pPr>
            <w:r>
              <w:t xml:space="preserve">Upwork</w:t>
            </w:r>
          </w:p>
        </w:tc>
        <w:tc>
          <w:tcPr/>
          <w:p>
            <w:pPr>
              <w:pStyle w:val="Compact"/>
              <w:jc w:val="left"/>
            </w:pPr>
            <w:r>
              <w:t xml:space="preserve">Foreign</w:t>
            </w:r>
          </w:p>
        </w:tc>
        <w:tc>
          <w:tcPr/>
          <w:p>
            <w:pPr>
              <w:pStyle w:val="Compact"/>
              <w:jc w:val="left"/>
            </w:pPr>
            <w:r>
              <w:t xml:space="preserve">Freelance</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2018</w:t>
            </w:r>
          </w:p>
        </w:tc>
      </w:tr>
      <w:tr>
        <w:tc>
          <w:tcPr/>
          <w:p>
            <w:pPr>
              <w:pStyle w:val="Compact"/>
              <w:jc w:val="left"/>
            </w:pPr>
            <w:r>
              <w:t xml:space="preserve">Vacasa</w:t>
            </w:r>
          </w:p>
        </w:tc>
        <w:tc>
          <w:tcPr/>
          <w:p>
            <w:pPr>
              <w:pStyle w:val="Compact"/>
              <w:jc w:val="left"/>
            </w:pPr>
            <w:r>
              <w:t xml:space="preserve">Foreign</w:t>
            </w:r>
          </w:p>
        </w:tc>
        <w:tc>
          <w:tcPr/>
          <w:p>
            <w:pPr>
              <w:pStyle w:val="Compact"/>
              <w:jc w:val="left"/>
            </w:pPr>
            <w:r>
              <w:t xml:space="preserve">Travel and ticketing</w:t>
            </w:r>
          </w:p>
        </w:tc>
        <w:tc>
          <w:tcPr/>
          <w:p>
            <w:pPr>
              <w:pStyle w:val="Compact"/>
              <w:jc w:val="left"/>
            </w:pPr>
            <w:r>
              <w:t xml:space="preserve">US</w:t>
            </w:r>
          </w:p>
        </w:tc>
        <w:tc>
          <w:tcPr/>
          <w:p>
            <w:pPr>
              <w:pStyle w:val="Compact"/>
              <w:jc w:val="left"/>
            </w:pPr>
            <w:r>
              <w:t xml:space="preserve">USD</w:t>
            </w:r>
          </w:p>
        </w:tc>
        <w:tc>
          <w:tcPr/>
          <w:p>
            <w:pPr>
              <w:pStyle w:val="Compact"/>
              <w:jc w:val="right"/>
            </w:pPr>
            <w:r>
              <w:t xml:space="preserve">2021</w:t>
            </w:r>
          </w:p>
        </w:tc>
      </w:tr>
      <w:tr>
        <w:tc>
          <w:tcPr/>
          <w:p>
            <w:pPr>
              <w:pStyle w:val="Compact"/>
              <w:jc w:val="left"/>
            </w:pPr>
            <w:r>
              <w:t xml:space="preserve">Yatra</w:t>
            </w:r>
          </w:p>
        </w:tc>
        <w:tc>
          <w:tcPr/>
          <w:p>
            <w:pPr>
              <w:pStyle w:val="Compact"/>
              <w:jc w:val="left"/>
            </w:pPr>
            <w:r>
              <w:t xml:space="preserve">Foreign</w:t>
            </w:r>
          </w:p>
        </w:tc>
        <w:tc>
          <w:tcPr/>
          <w:p>
            <w:pPr>
              <w:pStyle w:val="Compact"/>
              <w:jc w:val="left"/>
            </w:pPr>
            <w:r>
              <w:t xml:space="preserve">Travel and ticketing</w:t>
            </w:r>
          </w:p>
        </w:tc>
        <w:tc>
          <w:tcPr/>
          <w:p>
            <w:pPr>
              <w:pStyle w:val="Compact"/>
              <w:jc w:val="left"/>
            </w:pPr>
            <w:r>
              <w:t xml:space="preserve">IN</w:t>
            </w:r>
          </w:p>
        </w:tc>
        <w:tc>
          <w:tcPr/>
          <w:p>
            <w:pPr>
              <w:pStyle w:val="Compact"/>
              <w:jc w:val="left"/>
            </w:pPr>
            <w:r>
              <w:t xml:space="preserve">INR</w:t>
            </w:r>
          </w:p>
        </w:tc>
        <w:tc>
          <w:tcPr/>
          <w:p>
            <w:pPr>
              <w:pStyle w:val="Compact"/>
              <w:jc w:val="right"/>
            </w:pPr>
            <w:r>
              <w:t xml:space="preserve">2016</w:t>
            </w:r>
          </w:p>
        </w:tc>
      </w:tr>
    </w:tbl>
    <w:bookmarkEnd w:id="98"/>
    <w:bookmarkEnd w:id="99"/>
    <w:bookmarkStart w:id="103" w:name="X86fc5958fcd7d1333545739084b7370a61f7039"/>
    <w:p>
      <w:pPr>
        <w:pStyle w:val="Heading2"/>
      </w:pPr>
      <w:r>
        <w:t xml:space="preserve">Appendix C. The checks on the tests of H1 and on the regressions</w:t>
      </w:r>
    </w:p>
    <w:bookmarkStart w:id="100" w:name="c.1-the-checks"/>
    <w:p>
      <w:pPr>
        <w:pStyle w:val="Heading3"/>
      </w:pPr>
      <w:r>
        <w:t xml:space="preserve">C.1 The checks</w:t>
      </w:r>
    </w:p>
    <w:p>
      <w:pPr>
        <w:pStyle w:val="FirstParagraph"/>
      </w:pPr>
      <w:r>
        <w:t xml:space="preserve">The main test is described in Section 5.2. This appendix keeps its first measure, the absolute change in the log take rate, and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Section 5.2.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100"/>
    <w:bookmarkStart w:id="101" w:name="X52d5ae19455bf2fec6946631ede33e95919406f"/>
    <w:p>
      <w:pPr>
        <w:pStyle w:val="Heading3"/>
      </w:pPr>
      <w:r>
        <w:t xml:space="preserve">C.2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101"/>
    <w:bookmarkStart w:id="102" w:name="Xdccb276a307a64fb68cdad97e588739fa6cabc6"/>
    <w:p>
      <w:pPr>
        <w:pStyle w:val="Heading3"/>
      </w:pPr>
      <w:r>
        <w:t xml:space="preserve">C.3 Checks on the growth test and on the regressions (exploratory, 25 Oct 2026)</w:t>
      </w:r>
    </w:p>
    <w:p>
      <w:pPr>
        <w:pStyle w:val="FirstParagraph"/>
      </w:pPr>
      <w:r>
        <w:t xml:space="preserve">The first table repeats the test of the size of take-rate moves with other measures of the yearly change. The second gives the correlation of revenue growth and transaction value growth with and without capping the growth rates, and the rank correlation. The third lists the checks on the coefficient on IndonesiaRegion in Table 5.4. Sources:</w:t>
      </w:r>
      <w:r>
        <w:t xml:space="preserve"> </w:t>
      </w:r>
      <w:r>
        <w:rPr>
          <w:rStyle w:val="VerbatimChar"/>
        </w:rPr>
        <w:t xml:space="preserve">h1_simple_change.py</w:t>
      </w:r>
      <w:r>
        <w:t xml:space="preserve"> </w:t>
      </w:r>
      <w:r>
        <w:t xml:space="preserve">(</w:t>
      </w:r>
      <w:r>
        <w:rPr>
          <w:rStyle w:val="VerbatimChar"/>
        </w:rPr>
        <w:t xml:space="preserve">tables/h1_simple_change.json</w:t>
      </w:r>
      <w:r>
        <w:t xml:space="preserve">),</w:t>
      </w:r>
      <w:r>
        <w:t xml:space="preserve"> </w:t>
      </w:r>
      <w:r>
        <w:rPr>
          <w:rStyle w:val="VerbatimChar"/>
        </w:rPr>
        <w:t xml:space="preserve">kong_regressions.py</w:t>
      </w:r>
      <w:r>
        <w:t xml:space="preserve"> </w:t>
      </w:r>
      <w:r>
        <w:t xml:space="preserve">(</w:t>
      </w:r>
      <w:r>
        <w:rPr>
          <w:rStyle w:val="VerbatimChar"/>
        </w:rPr>
        <w:t xml:space="preserve">tables/kong_results.json</w:t>
      </w:r>
      <w:r>
        <w:t xml:space="preserve">),</w:t>
      </w:r>
      <w:r>
        <w:t xml:space="preserve"> </w:t>
      </w:r>
      <w:r>
        <w:rPr>
          <w:rStyle w:val="VerbatimChar"/>
        </w:rPr>
        <w:t xml:space="preserve">build_regression_panel.py</w:t>
      </w:r>
      <w:r>
        <w:t xml:space="preserve"> </w:t>
      </w:r>
      <w:r>
        <w:t xml:space="preserve">(</w:t>
      </w:r>
      <w:r>
        <w:rPr>
          <w:rStyle w:val="VerbatimChar"/>
        </w:rPr>
        <w:t xml:space="preserve">tables/regression_panel.csv</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Measure of the yearly change in the take rate</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Ratio</w:t>
            </w:r>
          </w:p>
        </w:tc>
        <w:tc>
          <w:tcPr/>
          <w:p>
            <w:pPr>
              <w:pStyle w:val="Compact"/>
              <w:jc w:val="left"/>
            </w:pPr>
            <w:r>
              <w:t xml:space="preserve">Mann–Whitney p</w:t>
            </w:r>
          </w:p>
        </w:tc>
      </w:tr>
      <w:tr>
        <w:tc>
          <w:tcPr/>
          <w:p>
            <w:pPr>
              <w:pStyle w:val="Compact"/>
              <w:jc w:val="left"/>
            </w:pPr>
            <w:r>
              <w:t xml:space="preserve">Absolute change in the logarithm (the first version)</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3.3</w:t>
            </w:r>
          </w:p>
        </w:tc>
        <w:tc>
          <w:tcPr/>
          <w:p>
            <w:pPr>
              <w:pStyle w:val="Compact"/>
              <w:jc w:val="left"/>
            </w:pPr>
            <w:r>
              <w:t xml:space="preserve">0.0038</w:t>
            </w:r>
          </w:p>
        </w:tc>
      </w:tr>
      <w:tr>
        <w:tc>
          <w:tcPr/>
          <w:p>
            <w:pPr>
              <w:pStyle w:val="Compact"/>
              <w:jc w:val="left"/>
            </w:pPr>
            <w:r>
              <w:t xml:space="preserve">Absolute simple percentage change (Section 5.2)</w:t>
            </w:r>
          </w:p>
        </w:tc>
        <w:tc>
          <w:tcPr/>
          <w:p>
            <w:pPr>
              <w:pStyle w:val="Compact"/>
              <w:jc w:val="left"/>
            </w:pPr>
            <w:r>
              <w:t xml:space="preserve">0.224</w:t>
            </w:r>
          </w:p>
        </w:tc>
        <w:tc>
          <w:tcPr/>
          <w:p>
            <w:pPr>
              <w:pStyle w:val="Compact"/>
              <w:jc w:val="left"/>
            </w:pPr>
            <w:r>
              <w:t xml:space="preserve">0.062</w:t>
            </w:r>
          </w:p>
        </w:tc>
        <w:tc>
          <w:tcPr/>
          <w:p>
            <w:pPr>
              <w:pStyle w:val="Compact"/>
              <w:jc w:val="left"/>
            </w:pPr>
            <w:r>
              <w:t xml:space="preserve">3.6</w:t>
            </w:r>
          </w:p>
        </w:tc>
        <w:tc>
          <w:tcPr/>
          <w:p>
            <w:pPr>
              <w:pStyle w:val="Compact"/>
              <w:jc w:val="left"/>
            </w:pPr>
            <w:r>
              <w:t xml:space="preserve">0.0031</w:t>
            </w:r>
          </w:p>
        </w:tc>
      </w:tr>
      <w:tr>
        <w:tc>
          <w:tcPr/>
          <w:p>
            <w:pPr>
              <w:pStyle w:val="Compact"/>
              <w:jc w:val="left"/>
            </w:pPr>
            <w:r>
              <w:t xml:space="preserve">Absolute change over the mean of the two take rates</w:t>
            </w:r>
          </w:p>
        </w:tc>
        <w:tc>
          <w:tcPr/>
          <w:p>
            <w:pPr>
              <w:pStyle w:val="Compact"/>
              <w:jc w:val="left"/>
            </w:pPr>
            <w:r>
              <w:t xml:space="preserve">0.199</w:t>
            </w:r>
          </w:p>
        </w:tc>
        <w:tc>
          <w:tcPr/>
          <w:p>
            <w:pPr>
              <w:pStyle w:val="Compact"/>
              <w:jc w:val="left"/>
            </w:pPr>
            <w:r>
              <w:t xml:space="preserve">0.062</w:t>
            </w:r>
          </w:p>
        </w:tc>
        <w:tc>
          <w:tcPr/>
          <w:p>
            <w:pPr>
              <w:pStyle w:val="Compact"/>
              <w:jc w:val="left"/>
            </w:pPr>
            <w:r>
              <w:t xml:space="preserve">3.2</w:t>
            </w:r>
          </w:p>
        </w:tc>
        <w:tc>
          <w:tcPr/>
          <w:p>
            <w:pPr>
              <w:pStyle w:val="Compact"/>
              <w:jc w:val="left"/>
            </w:pPr>
            <w:r>
              <w:t xml:space="preserve">0.0038</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Correlation, capped</w:t>
            </w:r>
          </w:p>
        </w:tc>
        <w:tc>
          <w:tcPr/>
          <w:p>
            <w:pPr>
              <w:pStyle w:val="Compact"/>
              <w:jc w:val="left"/>
            </w:pPr>
            <w:r>
              <w:t xml:space="preserve">Correlation, not capped</w:t>
            </w:r>
          </w:p>
        </w:tc>
        <w:tc>
          <w:tcPr/>
          <w:p>
            <w:pPr>
              <w:pStyle w:val="Compact"/>
              <w:jc w:val="left"/>
            </w:pPr>
            <w:r>
              <w:t xml:space="preserve">Rank correlation</w:t>
            </w:r>
          </w:p>
        </w:tc>
        <w:tc>
          <w:tcPr/>
          <w:p>
            <w:pPr>
              <w:pStyle w:val="Compact"/>
              <w:jc w:val="left"/>
            </w:pPr>
            <w:r>
              <w:t xml:space="preserve">Pairs</w:t>
            </w:r>
          </w:p>
        </w:tc>
      </w:tr>
      <w:tr>
        <w:tc>
          <w:tcPr/>
          <w:p>
            <w:pPr>
              <w:pStyle w:val="Compact"/>
              <w:jc w:val="left"/>
            </w:pPr>
            <w:r>
              <w:t xml:space="preserve">Foreign</w:t>
            </w:r>
          </w:p>
        </w:tc>
        <w:tc>
          <w:tcPr/>
          <w:p>
            <w:pPr>
              <w:pStyle w:val="Compact"/>
              <w:jc w:val="left"/>
            </w:pPr>
            <w:r>
              <w:t xml:space="preserve">0.90</w:t>
            </w:r>
          </w:p>
        </w:tc>
        <w:tc>
          <w:tcPr/>
          <w:p>
            <w:pPr>
              <w:pStyle w:val="Compact"/>
              <w:jc w:val="left"/>
            </w:pPr>
            <w:r>
              <w:t xml:space="preserve">0.54</w:t>
            </w:r>
          </w:p>
        </w:tc>
        <w:tc>
          <w:tcPr/>
          <w:p>
            <w:pPr>
              <w:pStyle w:val="Compact"/>
              <w:jc w:val="left"/>
            </w:pPr>
            <w:r>
              <w:t xml:space="preserve">0.89</w:t>
            </w:r>
          </w:p>
        </w:tc>
        <w:tc>
          <w:tcPr/>
          <w:p>
            <w:pPr>
              <w:pStyle w:val="Compact"/>
              <w:jc w:val="left"/>
            </w:pPr>
            <w:r>
              <w:t xml:space="preserve">166</w:t>
            </w:r>
          </w:p>
        </w:tc>
      </w:tr>
      <w:tr>
        <w:tc>
          <w:tcPr/>
          <w:p>
            <w:pPr>
              <w:pStyle w:val="Compact"/>
              <w:jc w:val="left"/>
            </w:pPr>
            <w:r>
              <w:t xml:space="preserve">Indonesian and regional</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0.64</w:t>
            </w:r>
          </w:p>
        </w:tc>
        <w:tc>
          <w:tcPr/>
          <w:p>
            <w:pPr>
              <w:pStyle w:val="Compact"/>
              <w:jc w:val="left"/>
            </w:pPr>
            <w:r>
              <w:t xml:space="preserve">15</w:t>
            </w:r>
          </w:p>
        </w:tc>
      </w:tr>
      <w:tr>
        <w:tc>
          <w:tcPr/>
          <w:p>
            <w:pPr>
              <w:pStyle w:val="Compact"/>
              <w:jc w:val="left"/>
            </w:pPr>
            <w:r>
              <w:t xml:space="preserve">All platforms</w:t>
            </w:r>
          </w:p>
        </w:tc>
        <w:tc>
          <w:tcPr/>
          <w:p>
            <w:pPr>
              <w:pStyle w:val="Compact"/>
              <w:jc w:val="left"/>
            </w:pPr>
            <w:r>
              <w:t xml:space="preserve">0.84</w:t>
            </w:r>
          </w:p>
        </w:tc>
        <w:tc>
          <w:tcPr/>
          <w:p>
            <w:pPr>
              <w:pStyle w:val="Compact"/>
              <w:jc w:val="left"/>
            </w:pPr>
            <w:r>
              <w:t xml:space="preserve">0.53</w:t>
            </w:r>
          </w:p>
        </w:tc>
        <w:tc>
          <w:tcPr/>
          <w:p>
            <w:pPr>
              <w:pStyle w:val="Compact"/>
              <w:jc w:val="left"/>
            </w:pPr>
            <w:r>
              <w:t xml:space="preserve">0.87</w:t>
            </w:r>
          </w:p>
        </w:tc>
        <w:tc>
          <w:tcPr/>
          <w:p>
            <w:pPr>
              <w:pStyle w:val="Compact"/>
              <w:jc w:val="left"/>
            </w:pPr>
            <w:r>
              <w:t xml:space="preserve">181</w:t>
            </w:r>
          </w:p>
        </w:tc>
      </w:tr>
    </w:tbl>
    <w:p/>
    <w:tbl>
      <w:tblPr>
        <w:tblStyle w:val="Table"/>
        <w:tblW w:type="pct" w:w="5000"/>
        <w:tblLook w:firstRow="1" w:lastRow="0" w:firstColumn="0" w:lastColumn="0" w:noHBand="0" w:noVBand="0" w:val="0020"/>
        <w:jc w:val="start"/>
      </w:tblPr>
      <w:tblGrid>
        <w:gridCol w:w="1080"/>
        <w:gridCol w:w="1080"/>
        <w:gridCol w:w="1440"/>
        <w:gridCol w:w="1440"/>
        <w:gridCol w:w="1440"/>
        <w:gridCol w:w="1440"/>
      </w:tblGrid>
      <w:tr>
        <w:trPr>
          <w:tblHeader w:val="true"/>
        </w:trPr>
        <w:tc>
          <w:tcPr/>
          <w:p>
            <w:pPr>
              <w:pStyle w:val="Compact"/>
              <w:jc w:val="left"/>
            </w:pPr>
            <w:r>
              <w:t xml:space="preserve">Check</w:t>
            </w:r>
          </w:p>
        </w:tc>
        <w:tc>
          <w:tcPr/>
          <w:p>
            <w:pPr>
              <w:pStyle w:val="Compact"/>
              <w:jc w:val="left"/>
            </w:pPr>
            <w:r>
              <w:t xml:space="preserve">Dependent variable</w:t>
            </w:r>
          </w:p>
        </w:tc>
        <w:tc>
          <w:tcPr/>
          <w:p>
            <w:pPr>
              <w:pStyle w:val="Compact"/>
              <w:jc w:val="right"/>
            </w:pPr>
            <w:r>
              <w:t xml:space="preserve">IndonesiaRegion</w:t>
            </w:r>
          </w:p>
        </w:tc>
        <w:tc>
          <w:tcPr/>
          <w:p>
            <w:pPr>
              <w:pStyle w:val="Compact"/>
              <w:jc w:val="right"/>
            </w:pPr>
            <w:r>
              <w:t xml:space="preserve">p</w:t>
            </w:r>
          </w:p>
        </w:tc>
        <w:tc>
          <w:tcPr/>
          <w:p>
            <w:pPr>
              <w:pStyle w:val="Compact"/>
              <w:jc w:val="right"/>
            </w:pPr>
            <w:r>
              <w:t xml:space="preserve">Wild-bootstrap p</w:t>
            </w:r>
          </w:p>
        </w:tc>
        <w:tc>
          <w:tcPr/>
          <w:p>
            <w:pPr>
              <w:pStyle w:val="Compact"/>
              <w:jc w:val="right"/>
            </w:pPr>
            <w:r>
              <w:t xml:space="preserve">Observations</w:t>
            </w:r>
          </w:p>
        </w:tc>
      </w:tr>
      <w:tr>
        <w:tc>
          <w:tcPr/>
          <w:p>
            <w:pPr>
              <w:pStyle w:val="Compact"/>
              <w:jc w:val="left"/>
            </w:pPr>
            <w:r>
              <w:t xml:space="preserve">Table 5.4, column (3)</w:t>
            </w:r>
          </w:p>
        </w:tc>
        <w:tc>
          <w:tcPr/>
          <w:p>
            <w:pPr>
              <w:pStyle w:val="Compact"/>
              <w:jc w:val="left"/>
            </w:pPr>
            <w:r>
              <w:t xml:space="preserve">ln(Wedge)</w:t>
            </w:r>
          </w:p>
        </w:tc>
        <w:tc>
          <w:tcPr/>
          <w:p>
            <w:pPr>
              <w:pStyle w:val="Compact"/>
              <w:jc w:val="right"/>
            </w:pPr>
            <w:r>
              <w:t xml:space="preserve">0.080</w:t>
            </w:r>
          </w:p>
        </w:tc>
        <w:tc>
          <w:tcPr/>
          <w:p>
            <w:pPr>
              <w:pStyle w:val="Compact"/>
              <w:jc w:val="right"/>
            </w:pPr>
            <w:r>
              <w:t xml:space="preserve">0.841</w:t>
            </w:r>
          </w:p>
        </w:tc>
        <w:tc>
          <w:tcPr/>
          <w:p>
            <w:pPr>
              <w:pStyle w:val="Compact"/>
              <w:jc w:val="right"/>
            </w:pPr>
            <w:r>
              <w:t xml:space="preserve">0.866</w:t>
            </w:r>
          </w:p>
        </w:tc>
        <w:tc>
          <w:tcPr/>
          <w:p>
            <w:pPr>
              <w:pStyle w:val="Compact"/>
              <w:jc w:val="right"/>
            </w:pPr>
            <w:r>
              <w:t xml:space="preserve">178</w:t>
            </w:r>
          </w:p>
        </w:tc>
      </w:tr>
      <w:tr>
        <w:tc>
          <w:tcPr/>
          <w:p>
            <w:pPr>
              <w:pStyle w:val="Compact"/>
              <w:jc w:val="left"/>
            </w:pPr>
            <w:r>
              <w:t xml:space="preserve">Table 5.4, column (6)</w:t>
            </w:r>
          </w:p>
        </w:tc>
        <w:tc>
          <w:tcPr/>
          <w:p>
            <w:pPr>
              <w:pStyle w:val="Compact"/>
              <w:jc w:val="left"/>
            </w:pPr>
            <w:r>
              <w:t xml:space="preserve">Ecosystem ratio</w:t>
            </w:r>
          </w:p>
        </w:tc>
        <w:tc>
          <w:tcPr/>
          <w:p>
            <w:pPr>
              <w:pStyle w:val="Compact"/>
              <w:jc w:val="right"/>
            </w:pPr>
            <w:r>
              <w:t xml:space="preserve">17.092</w:t>
            </w:r>
          </w:p>
        </w:tc>
        <w:tc>
          <w:tcPr/>
          <w:p>
            <w:pPr>
              <w:pStyle w:val="Compact"/>
              <w:jc w:val="right"/>
            </w:pPr>
            <w:r>
              <w:t xml:space="preserve">&lt;0.001</w:t>
            </w:r>
          </w:p>
        </w:tc>
        <w:tc>
          <w:tcPr/>
          <w:p>
            <w:pPr>
              <w:pStyle w:val="Compact"/>
              <w:jc w:val="right"/>
            </w:pPr>
            <w:r>
              <w:t xml:space="preserve">0.005</w:t>
            </w:r>
          </w:p>
        </w:tc>
        <w:tc>
          <w:tcPr/>
          <w:p>
            <w:pPr>
              <w:pStyle w:val="Compact"/>
              <w:jc w:val="right"/>
            </w:pPr>
            <w:r>
              <w:t xml:space="preserve">178</w:t>
            </w:r>
          </w:p>
        </w:tc>
      </w:tr>
      <w:tr>
        <w:tc>
          <w:tcPr/>
          <w:p>
            <w:pPr>
              <w:pStyle w:val="Compact"/>
              <w:jc w:val="left"/>
            </w:pPr>
            <w:r>
              <w:t xml:space="preserve">Without Blibli</w:t>
            </w:r>
          </w:p>
        </w:tc>
        <w:tc>
          <w:tcPr/>
          <w:p>
            <w:pPr>
              <w:pStyle w:val="Compact"/>
              <w:jc w:val="left"/>
            </w:pPr>
            <w:r>
              <w:t xml:space="preserve">ln(Wedge); Ecosystem ratio</w:t>
            </w:r>
          </w:p>
        </w:tc>
        <w:tc>
          <w:tcPr/>
          <w:p>
            <w:pPr>
              <w:pStyle w:val="Compact"/>
              <w:jc w:val="right"/>
            </w:pPr>
            <w:r>
              <w:t xml:space="preserve">0.267; 15.330</w:t>
            </w:r>
          </w:p>
        </w:tc>
        <w:tc>
          <w:tcPr/>
          <w:p>
            <w:pPr>
              <w:pStyle w:val="Compact"/>
            </w:pPr>
          </w:p>
        </w:tc>
        <w:tc>
          <w:tcPr/>
          <w:p>
            <w:pPr>
              <w:pStyle w:val="Compact"/>
            </w:pPr>
          </w:p>
        </w:tc>
        <w:tc>
          <w:tcPr/>
          <w:p>
            <w:pPr>
              <w:pStyle w:val="Compact"/>
            </w:pPr>
          </w:p>
        </w:tc>
      </w:tr>
      <w:tr>
        <w:tc>
          <w:tcPr/>
          <w:p>
            <w:pPr>
              <w:pStyle w:val="Compact"/>
              <w:jc w:val="left"/>
            </w:pPr>
            <w:r>
              <w:t xml:space="preserve">Without Bukalapak</w:t>
            </w:r>
          </w:p>
        </w:tc>
        <w:tc>
          <w:tcPr/>
          <w:p>
            <w:pPr>
              <w:pStyle w:val="Compact"/>
              <w:jc w:val="left"/>
            </w:pPr>
            <w:r>
              <w:t xml:space="preserve">ln(Wedge); Ecosystem ratio</w:t>
            </w:r>
          </w:p>
        </w:tc>
        <w:tc>
          <w:tcPr/>
          <w:p>
            <w:pPr>
              <w:pStyle w:val="Compact"/>
              <w:jc w:val="right"/>
            </w:pPr>
            <w:r>
              <w:t xml:space="preserve">-0.256; 16.072</w:t>
            </w:r>
          </w:p>
        </w:tc>
        <w:tc>
          <w:tcPr/>
          <w:p>
            <w:pPr>
              <w:pStyle w:val="Compact"/>
            </w:pPr>
          </w:p>
        </w:tc>
        <w:tc>
          <w:tcPr/>
          <w:p>
            <w:pPr>
              <w:pStyle w:val="Compact"/>
            </w:pPr>
          </w:p>
        </w:tc>
        <w:tc>
          <w:tcPr/>
          <w:p>
            <w:pPr>
              <w:pStyle w:val="Compact"/>
            </w:pPr>
          </w:p>
        </w:tc>
      </w:tr>
      <w:tr>
        <w:tc>
          <w:tcPr/>
          <w:p>
            <w:pPr>
              <w:pStyle w:val="Compact"/>
              <w:jc w:val="left"/>
            </w:pPr>
            <w:r>
              <w:t xml:space="preserve">Without GoTo (on-demand)</w:t>
            </w:r>
          </w:p>
        </w:tc>
        <w:tc>
          <w:tcPr/>
          <w:p>
            <w:pPr>
              <w:pStyle w:val="Compact"/>
              <w:jc w:val="left"/>
            </w:pPr>
            <w:r>
              <w:t xml:space="preserve">ln(Wedge); Ecosystem ratio</w:t>
            </w:r>
          </w:p>
        </w:tc>
        <w:tc>
          <w:tcPr/>
          <w:p>
            <w:pPr>
              <w:pStyle w:val="Compact"/>
              <w:jc w:val="right"/>
            </w:pPr>
            <w:r>
              <w:t xml:space="preserve">0.148; 18.344</w:t>
            </w:r>
          </w:p>
        </w:tc>
        <w:tc>
          <w:tcPr/>
          <w:p>
            <w:pPr>
              <w:pStyle w:val="Compact"/>
            </w:pPr>
          </w:p>
        </w:tc>
        <w:tc>
          <w:tcPr/>
          <w:p>
            <w:pPr>
              <w:pStyle w:val="Compact"/>
            </w:pPr>
          </w:p>
        </w:tc>
        <w:tc>
          <w:tcPr/>
          <w:p>
            <w:pPr>
              <w:pStyle w:val="Compact"/>
            </w:pPr>
          </w:p>
        </w:tc>
      </w:tr>
      <w:tr>
        <w:tc>
          <w:tcPr/>
          <w:p>
            <w:pPr>
              <w:pStyle w:val="Compact"/>
              <w:jc w:val="left"/>
            </w:pPr>
            <w:r>
              <w:t xml:space="preserve">Without Grab (on-demand)</w:t>
            </w:r>
          </w:p>
        </w:tc>
        <w:tc>
          <w:tcPr/>
          <w:p>
            <w:pPr>
              <w:pStyle w:val="Compact"/>
              <w:jc w:val="left"/>
            </w:pPr>
            <w:r>
              <w:t xml:space="preserve">ln(Wedge); Ecosystem ratio</w:t>
            </w:r>
          </w:p>
        </w:tc>
        <w:tc>
          <w:tcPr/>
          <w:p>
            <w:pPr>
              <w:pStyle w:val="Compact"/>
              <w:jc w:val="right"/>
            </w:pPr>
            <w:r>
              <w:t xml:space="preserve">0.023; 17.803</w:t>
            </w:r>
          </w:p>
        </w:tc>
        <w:tc>
          <w:tcPr/>
          <w:p>
            <w:pPr>
              <w:pStyle w:val="Compact"/>
            </w:pPr>
          </w:p>
        </w:tc>
        <w:tc>
          <w:tcPr/>
          <w:p>
            <w:pPr>
              <w:pStyle w:val="Compact"/>
            </w:pPr>
          </w:p>
        </w:tc>
        <w:tc>
          <w:tcPr/>
          <w:p>
            <w:pPr>
              <w:pStyle w:val="Compact"/>
            </w:pPr>
          </w:p>
        </w:tc>
      </w:tr>
      <w:tr>
        <w:tc>
          <w:tcPr/>
          <w:p>
            <w:pPr>
              <w:pStyle w:val="Compact"/>
              <w:jc w:val="left"/>
            </w:pPr>
            <w:r>
              <w:t xml:space="preserve">Without Tokopedia</w:t>
            </w:r>
          </w:p>
        </w:tc>
        <w:tc>
          <w:tcPr/>
          <w:p>
            <w:pPr>
              <w:pStyle w:val="Compact"/>
              <w:jc w:val="left"/>
            </w:pPr>
            <w:r>
              <w:t xml:space="preserve">ln(Wedge); Ecosystem ratio</w:t>
            </w:r>
          </w:p>
        </w:tc>
        <w:tc>
          <w:tcPr/>
          <w:p>
            <w:pPr>
              <w:pStyle w:val="Compact"/>
              <w:jc w:val="right"/>
            </w:pPr>
            <w:r>
              <w:t xml:space="preserve">0.104; 16.620</w:t>
            </w:r>
          </w:p>
        </w:tc>
        <w:tc>
          <w:tcPr/>
          <w:p>
            <w:pPr>
              <w:pStyle w:val="Compact"/>
            </w:pPr>
          </w:p>
        </w:tc>
        <w:tc>
          <w:tcPr/>
          <w:p>
            <w:pPr>
              <w:pStyle w:val="Compact"/>
            </w:pPr>
          </w:p>
        </w:tc>
        <w:tc>
          <w:tcPr/>
          <w:p>
            <w:pPr>
              <w:pStyle w:val="Compact"/>
            </w:pPr>
          </w:p>
        </w:tc>
      </w:tr>
      <w:tr>
        <w:tc>
          <w:tcPr/>
          <w:p>
            <w:pPr>
              <w:pStyle w:val="Compact"/>
              <w:jc w:val="left"/>
            </w:pPr>
            <w:r>
              <w:t xml:space="preserve">Without year dummies</w:t>
            </w:r>
          </w:p>
        </w:tc>
        <w:tc>
          <w:tcPr/>
          <w:p>
            <w:pPr>
              <w:pStyle w:val="Compact"/>
              <w:jc w:val="left"/>
            </w:pPr>
            <w:r>
              <w:t xml:space="preserve">ln(Wedge)</w:t>
            </w:r>
          </w:p>
        </w:tc>
        <w:tc>
          <w:tcPr/>
          <w:p>
            <w:pPr>
              <w:pStyle w:val="Compact"/>
              <w:jc w:val="right"/>
            </w:pPr>
            <w:r>
              <w:t xml:space="preserve">-0.302</w:t>
            </w:r>
          </w:p>
        </w:tc>
        <w:tc>
          <w:tcPr/>
          <w:p>
            <w:pPr>
              <w:pStyle w:val="Compact"/>
              <w:jc w:val="right"/>
            </w:pPr>
            <w:r>
              <w:t xml:space="preserve">0.395</w:t>
            </w:r>
          </w:p>
        </w:tc>
        <w:tc>
          <w:tcPr/>
          <w:p>
            <w:pPr>
              <w:pStyle w:val="Compact"/>
            </w:pPr>
          </w:p>
        </w:tc>
        <w:tc>
          <w:tcPr/>
          <w:p>
            <w:pPr>
              <w:pStyle w:val="Compact"/>
            </w:pPr>
          </w:p>
        </w:tc>
      </w:tr>
      <w:tr>
        <w:tc>
          <w:tcPr/>
          <w:p>
            <w:pPr>
              <w:pStyle w:val="Compact"/>
              <w:jc w:val="left"/>
            </w:pPr>
            <w:r>
              <w:t xml:space="preserve">Without year dummies</w:t>
            </w:r>
          </w:p>
        </w:tc>
        <w:tc>
          <w:tcPr/>
          <w:p>
            <w:pPr>
              <w:pStyle w:val="Compact"/>
              <w:jc w:val="left"/>
            </w:pPr>
            <w:r>
              <w:t xml:space="preserve">Ecosystem ratio</w:t>
            </w:r>
          </w:p>
        </w:tc>
        <w:tc>
          <w:tcPr/>
          <w:p>
            <w:pPr>
              <w:pStyle w:val="Compact"/>
              <w:jc w:val="right"/>
            </w:pPr>
            <w:r>
              <w:t xml:space="preserve">12.939</w:t>
            </w:r>
          </w:p>
        </w:tc>
        <w:tc>
          <w:tcPr/>
          <w:p>
            <w:pPr>
              <w:pStyle w:val="Compact"/>
              <w:jc w:val="right"/>
            </w:pPr>
            <w:r>
              <w:t xml:space="preserve">&lt;0.001</w:t>
            </w:r>
          </w:p>
        </w:tc>
        <w:tc>
          <w:tcPr/>
          <w:p>
            <w:pPr>
              <w:pStyle w:val="Compact"/>
            </w:pPr>
          </w:p>
        </w:tc>
        <w:tc>
          <w:tcPr/>
          <w:p>
            <w:pPr>
              <w:pStyle w:val="Compact"/>
            </w:pPr>
          </w:p>
        </w:tc>
      </w:tr>
      <w:tr>
        <w:tc>
          <w:tcPr/>
          <w:p>
            <w:pPr>
              <w:pStyle w:val="Compact"/>
              <w:jc w:val="left"/>
            </w:pPr>
            <w:r>
              <w:t xml:space="preserve">Without total assets</w:t>
            </w:r>
          </w:p>
        </w:tc>
        <w:tc>
          <w:tcPr/>
          <w:p>
            <w:pPr>
              <w:pStyle w:val="Compact"/>
              <w:jc w:val="left"/>
            </w:pPr>
            <w:r>
              <w:t xml:space="preserve">ln(Wedge)</w:t>
            </w:r>
          </w:p>
        </w:tc>
        <w:tc>
          <w:tcPr/>
          <w:p>
            <w:pPr>
              <w:pStyle w:val="Compact"/>
              <w:jc w:val="right"/>
            </w:pPr>
            <w:r>
              <w:t xml:space="preserve">1.197</w:t>
            </w:r>
          </w:p>
        </w:tc>
        <w:tc>
          <w:tcPr/>
          <w:p>
            <w:pPr>
              <w:pStyle w:val="Compact"/>
              <w:jc w:val="right"/>
            </w:pPr>
            <w:r>
              <w:t xml:space="preserve">0.246</w:t>
            </w:r>
          </w:p>
        </w:tc>
        <w:tc>
          <w:tcPr/>
          <w:p>
            <w:pPr>
              <w:pStyle w:val="Compact"/>
            </w:pPr>
          </w:p>
        </w:tc>
        <w:tc>
          <w:tcPr/>
          <w:p>
            <w:pPr>
              <w:pStyle w:val="Compact"/>
              <w:jc w:val="right"/>
            </w:pPr>
            <w:r>
              <w:t xml:space="preserve">187</w:t>
            </w:r>
          </w:p>
        </w:tc>
      </w:tr>
      <w:tr>
        <w:tc>
          <w:tcPr/>
          <w:p>
            <w:pPr>
              <w:pStyle w:val="Compact"/>
              <w:jc w:val="left"/>
            </w:pPr>
            <w:r>
              <w:t xml:space="preserve">Without total assets</w:t>
            </w:r>
          </w:p>
        </w:tc>
        <w:tc>
          <w:tcPr/>
          <w:p>
            <w:pPr>
              <w:pStyle w:val="Compact"/>
              <w:jc w:val="left"/>
            </w:pPr>
            <w:r>
              <w:t xml:space="preserve">Ecosystem ratio</w:t>
            </w:r>
          </w:p>
        </w:tc>
        <w:tc>
          <w:tcPr/>
          <w:p>
            <w:pPr>
              <w:pStyle w:val="Compact"/>
              <w:jc w:val="right"/>
            </w:pPr>
            <w:r>
              <w:t xml:space="preserve">17.027</w:t>
            </w:r>
          </w:p>
        </w:tc>
        <w:tc>
          <w:tcPr/>
          <w:p>
            <w:pPr>
              <w:pStyle w:val="Compact"/>
              <w:jc w:val="right"/>
            </w:pPr>
            <w:r>
              <w:t xml:space="preserve">&lt;0.001</w:t>
            </w:r>
          </w:p>
        </w:tc>
        <w:tc>
          <w:tcPr/>
          <w:p>
            <w:pPr>
              <w:pStyle w:val="Compact"/>
            </w:pPr>
          </w:p>
        </w:tc>
        <w:tc>
          <w:tcPr/>
          <w:p>
            <w:pPr>
              <w:pStyle w:val="Compact"/>
              <w:jc w:val="right"/>
            </w:pPr>
            <w:r>
              <w:t xml:space="preserve">187</w:t>
            </w:r>
          </w:p>
        </w:tc>
      </w:tr>
      <w:tr>
        <w:tc>
          <w:tcPr/>
          <w:p>
            <w:pPr>
              <w:pStyle w:val="Compact"/>
              <w:jc w:val="left"/>
            </w:pPr>
            <w:r>
              <w:t xml:space="preserve">Without years before listing</w:t>
            </w:r>
          </w:p>
        </w:tc>
        <w:tc>
          <w:tcPr/>
          <w:p>
            <w:pPr>
              <w:pStyle w:val="Compact"/>
              <w:jc w:val="left"/>
            </w:pPr>
            <w:r>
              <w:t xml:space="preserve">ln(Wedge)</w:t>
            </w:r>
          </w:p>
        </w:tc>
        <w:tc>
          <w:tcPr/>
          <w:p>
            <w:pPr>
              <w:pStyle w:val="Compact"/>
              <w:jc w:val="right"/>
            </w:pPr>
            <w:r>
              <w:t xml:space="preserve">-0.113</w:t>
            </w:r>
          </w:p>
        </w:tc>
        <w:tc>
          <w:tcPr/>
          <w:p>
            <w:pPr>
              <w:pStyle w:val="Compact"/>
              <w:jc w:val="right"/>
            </w:pPr>
            <w:r>
              <w:t xml:space="preserve">0.711</w:t>
            </w:r>
          </w:p>
        </w:tc>
        <w:tc>
          <w:tcPr/>
          <w:p>
            <w:pPr>
              <w:pStyle w:val="Compact"/>
            </w:pPr>
          </w:p>
        </w:tc>
        <w:tc>
          <w:tcPr/>
          <w:p>
            <w:pPr>
              <w:pStyle w:val="Compact"/>
              <w:jc w:val="right"/>
            </w:pPr>
            <w:r>
              <w:t xml:space="preserve">165</w:t>
            </w:r>
          </w:p>
        </w:tc>
      </w:tr>
      <w:tr>
        <w:tc>
          <w:tcPr/>
          <w:p>
            <w:pPr>
              <w:pStyle w:val="Compact"/>
              <w:jc w:val="left"/>
            </w:pPr>
            <w:r>
              <w:t xml:space="preserve">Without years before listing</w:t>
            </w:r>
          </w:p>
        </w:tc>
        <w:tc>
          <w:tcPr/>
          <w:p>
            <w:pPr>
              <w:pStyle w:val="Compact"/>
              <w:jc w:val="left"/>
            </w:pPr>
            <w:r>
              <w:t xml:space="preserve">Ecosystem ratio</w:t>
            </w:r>
          </w:p>
        </w:tc>
        <w:tc>
          <w:tcPr/>
          <w:p>
            <w:pPr>
              <w:pStyle w:val="Compact"/>
              <w:jc w:val="right"/>
            </w:pPr>
            <w:r>
              <w:t xml:space="preserve">16.244</w:t>
            </w:r>
          </w:p>
        </w:tc>
        <w:tc>
          <w:tcPr/>
          <w:p>
            <w:pPr>
              <w:pStyle w:val="Compact"/>
              <w:jc w:val="right"/>
            </w:pPr>
            <w:r>
              <w:t xml:space="preserve">&lt;0.001</w:t>
            </w:r>
          </w:p>
        </w:tc>
        <w:tc>
          <w:tcPr/>
          <w:p>
            <w:pPr>
              <w:pStyle w:val="Compact"/>
            </w:pPr>
          </w:p>
        </w:tc>
        <w:tc>
          <w:tcPr/>
          <w:p>
            <w:pPr>
              <w:pStyle w:val="Compact"/>
              <w:jc w:val="right"/>
            </w:pPr>
            <w:r>
              <w:t xml:space="preserve">165</w:t>
            </w:r>
          </w:p>
        </w:tc>
      </w:tr>
      <w:tr>
        <w:tc>
          <w:tcPr/>
          <w:p>
            <w:pPr>
              <w:pStyle w:val="Compact"/>
              <w:jc w:val="left"/>
            </w:pPr>
            <w:r>
              <w:t xml:space="preserve">Without Alibaba, Pinduoduo, Rakuten and Shopify</w:t>
            </w:r>
          </w:p>
        </w:tc>
        <w:tc>
          <w:tcPr/>
          <w:p>
            <w:pPr>
              <w:pStyle w:val="Compact"/>
              <w:jc w:val="left"/>
            </w:pPr>
            <w:r>
              <w:t xml:space="preserve">ln(Wedge)</w:t>
            </w:r>
          </w:p>
        </w:tc>
        <w:tc>
          <w:tcPr/>
          <w:p>
            <w:pPr>
              <w:pStyle w:val="Compact"/>
              <w:jc w:val="right"/>
            </w:pPr>
            <w:r>
              <w:t xml:space="preserve">0.383</w:t>
            </w:r>
          </w:p>
        </w:tc>
        <w:tc>
          <w:tcPr/>
          <w:p>
            <w:pPr>
              <w:pStyle w:val="Compact"/>
              <w:jc w:val="right"/>
            </w:pPr>
            <w:r>
              <w:t xml:space="preserve">0.394</w:t>
            </w:r>
          </w:p>
        </w:tc>
        <w:tc>
          <w:tcPr/>
          <w:p>
            <w:pPr>
              <w:pStyle w:val="Compact"/>
            </w:pPr>
          </w:p>
        </w:tc>
        <w:tc>
          <w:tcPr/>
          <w:p>
            <w:pPr>
              <w:pStyle w:val="Compact"/>
            </w:pPr>
          </w:p>
        </w:tc>
      </w:tr>
      <w:tr>
        <w:tc>
          <w:tcPr/>
          <w:p>
            <w:pPr>
              <w:pStyle w:val="Compact"/>
              <w:jc w:val="left"/>
            </w:pPr>
            <w:r>
              <w:t xml:space="preserve">Without Alibaba, Pinduoduo, Rakuten and Shopify</w:t>
            </w:r>
          </w:p>
        </w:tc>
        <w:tc>
          <w:tcPr/>
          <w:p>
            <w:pPr>
              <w:pStyle w:val="Compact"/>
              <w:jc w:val="left"/>
            </w:pPr>
            <w:r>
              <w:t xml:space="preserve">Ecosystem ratio</w:t>
            </w:r>
          </w:p>
        </w:tc>
        <w:tc>
          <w:tcPr/>
          <w:p>
            <w:pPr>
              <w:pStyle w:val="Compact"/>
              <w:jc w:val="right"/>
            </w:pPr>
            <w:r>
              <w:t xml:space="preserve">20.954</w:t>
            </w:r>
          </w:p>
        </w:tc>
        <w:tc>
          <w:tcPr/>
          <w:p>
            <w:pPr>
              <w:pStyle w:val="Compact"/>
              <w:jc w:val="right"/>
            </w:pPr>
            <w:r>
              <w:t xml:space="preserve">&lt;0.001</w:t>
            </w:r>
          </w:p>
        </w:tc>
        <w:tc>
          <w:tcPr/>
          <w:p>
            <w:pPr>
              <w:pStyle w:val="Compact"/>
            </w:pPr>
          </w:p>
        </w:tc>
        <w:tc>
          <w:tcPr/>
          <w:p>
            <w:pPr>
              <w:pStyle w:val="Compact"/>
            </w:pPr>
          </w:p>
        </w:tc>
      </w:tr>
      <w:tr>
        <w:tc>
          <w:tcPr/>
          <w:p>
            <w:pPr>
              <w:pStyle w:val="Compact"/>
              <w:jc w:val="left"/>
            </w:pPr>
            <w:r>
              <w:t xml:space="preserve">With a dummy for emerging home markets</w:t>
            </w:r>
          </w:p>
        </w:tc>
        <w:tc>
          <w:tcPr/>
          <w:p>
            <w:pPr>
              <w:pStyle w:val="Compact"/>
              <w:jc w:val="left"/>
            </w:pPr>
            <w:r>
              <w:t xml:space="preserve">ln(Wedge)</w:t>
            </w:r>
          </w:p>
        </w:tc>
        <w:tc>
          <w:tcPr/>
          <w:p>
            <w:pPr>
              <w:pStyle w:val="Compact"/>
              <w:jc w:val="right"/>
            </w:pPr>
            <w:r>
              <w:t xml:space="preserve">0.065</w:t>
            </w:r>
          </w:p>
        </w:tc>
        <w:tc>
          <w:tcPr/>
          <w:p>
            <w:pPr>
              <w:pStyle w:val="Compact"/>
              <w:jc w:val="right"/>
            </w:pPr>
            <w:r>
              <w:t xml:space="preserve">0.869</w:t>
            </w:r>
          </w:p>
        </w:tc>
        <w:tc>
          <w:tcPr/>
          <w:p>
            <w:pPr>
              <w:pStyle w:val="Compact"/>
              <w:jc w:val="right"/>
            </w:pPr>
            <w:r>
              <w:t xml:space="preserve">0.886</w:t>
            </w:r>
          </w:p>
        </w:tc>
        <w:tc>
          <w:tcPr/>
          <w:p>
            <w:pPr>
              <w:pStyle w:val="Compact"/>
            </w:pPr>
          </w:p>
        </w:tc>
      </w:tr>
      <w:tr>
        <w:tc>
          <w:tcPr/>
          <w:p>
            <w:pPr>
              <w:pStyle w:val="Compact"/>
              <w:jc w:val="left"/>
            </w:pPr>
            <w:r>
              <w:t xml:space="preserve">With a dummy for emerging home markets</w:t>
            </w:r>
          </w:p>
        </w:tc>
        <w:tc>
          <w:tcPr/>
          <w:p>
            <w:pPr>
              <w:pStyle w:val="Compact"/>
              <w:jc w:val="left"/>
            </w:pPr>
            <w:r>
              <w:t xml:space="preserve">Ecosystem ratio</w:t>
            </w:r>
          </w:p>
        </w:tc>
        <w:tc>
          <w:tcPr/>
          <w:p>
            <w:pPr>
              <w:pStyle w:val="Compact"/>
              <w:jc w:val="right"/>
            </w:pPr>
            <w:r>
              <w:t xml:space="preserve">16.888</w:t>
            </w:r>
          </w:p>
        </w:tc>
        <w:tc>
          <w:tcPr/>
          <w:p>
            <w:pPr>
              <w:pStyle w:val="Compact"/>
              <w:jc w:val="right"/>
            </w:pPr>
            <w:r>
              <w:t xml:space="preserve">&lt;0.001</w:t>
            </w:r>
          </w:p>
        </w:tc>
        <w:tc>
          <w:tcPr/>
          <w:p>
            <w:pPr>
              <w:pStyle w:val="Compact"/>
              <w:jc w:val="right"/>
            </w:pPr>
            <w:r>
              <w:t xml:space="preserve">0.027</w:t>
            </w:r>
          </w:p>
        </w:tc>
        <w:tc>
          <w:tcPr/>
          <w:p>
            <w:pPr>
              <w:pStyle w:val="Compact"/>
            </w:pPr>
          </w:p>
        </w:tc>
      </w:tr>
      <w:tr>
        <w:tc>
          <w:tcPr/>
          <w:p>
            <w:pPr>
              <w:pStyle w:val="Compact"/>
              <w:jc w:val="left"/>
            </w:pPr>
            <w:r>
              <w:t xml:space="preserve">Without the six platforms with an ambiguous main market (Sea, Jumia, Mercado Libre, Despegar, Shopify, Fiverr)</w:t>
            </w:r>
          </w:p>
        </w:tc>
        <w:tc>
          <w:tcPr/>
          <w:p>
            <w:pPr>
              <w:pStyle w:val="Compact"/>
              <w:jc w:val="left"/>
            </w:pPr>
            <w:r>
              <w:t xml:space="preserve">ln(Wedge)</w:t>
            </w:r>
          </w:p>
        </w:tc>
        <w:tc>
          <w:tcPr/>
          <w:p>
            <w:pPr>
              <w:pStyle w:val="Compact"/>
              <w:jc w:val="right"/>
            </w:pPr>
            <w:r>
              <w:t xml:space="preserve">0.145</w:t>
            </w:r>
          </w:p>
        </w:tc>
        <w:tc>
          <w:tcPr/>
          <w:p>
            <w:pPr>
              <w:pStyle w:val="Compact"/>
              <w:jc w:val="right"/>
            </w:pPr>
            <w:r>
              <w:t xml:space="preserve">0.743</w:t>
            </w:r>
          </w:p>
        </w:tc>
        <w:tc>
          <w:tcPr/>
          <w:p>
            <w:pPr>
              <w:pStyle w:val="Compact"/>
              <w:jc w:val="right"/>
            </w:pPr>
            <w:r>
              <w:t xml:space="preserve">0.801</w:t>
            </w:r>
          </w:p>
        </w:tc>
        <w:tc>
          <w:tcPr/>
          <w:p>
            <w:pPr>
              <w:pStyle w:val="Compact"/>
              <w:jc w:val="right"/>
            </w:pPr>
            <w:r>
              <w:t xml:space="preserve">144</w:t>
            </w:r>
          </w:p>
        </w:tc>
      </w:tr>
      <w:tr>
        <w:tc>
          <w:tcPr/>
          <w:p>
            <w:pPr>
              <w:pStyle w:val="Compact"/>
              <w:jc w:val="left"/>
            </w:pPr>
            <w:r>
              <w:t xml:space="preserve">Without the six platforms with an ambiguous main market (Sea, Jumia, Mercado Libre, Despegar, Shopify, Fiverr)</w:t>
            </w:r>
          </w:p>
        </w:tc>
        <w:tc>
          <w:tcPr/>
          <w:p>
            <w:pPr>
              <w:pStyle w:val="Compact"/>
              <w:jc w:val="left"/>
            </w:pPr>
            <w:r>
              <w:t xml:space="preserve">Ecosystem ratio</w:t>
            </w:r>
          </w:p>
        </w:tc>
        <w:tc>
          <w:tcPr/>
          <w:p>
            <w:pPr>
              <w:pStyle w:val="Compact"/>
              <w:jc w:val="right"/>
            </w:pPr>
            <w:r>
              <w:t xml:space="preserve">16.974</w:t>
            </w:r>
          </w:p>
        </w:tc>
        <w:tc>
          <w:tcPr/>
          <w:p>
            <w:pPr>
              <w:pStyle w:val="Compact"/>
              <w:jc w:val="right"/>
            </w:pPr>
            <w:r>
              <w:t xml:space="preserve">&lt;0.001</w:t>
            </w:r>
          </w:p>
        </w:tc>
        <w:tc>
          <w:tcPr/>
          <w:p>
            <w:pPr>
              <w:pStyle w:val="Compact"/>
              <w:jc w:val="right"/>
            </w:pPr>
            <w:r>
              <w:t xml:space="preserve">0.024</w:t>
            </w:r>
          </w:p>
        </w:tc>
        <w:tc>
          <w:tcPr/>
          <w:p>
            <w:pPr>
              <w:pStyle w:val="Compact"/>
              <w:jc w:val="right"/>
            </w:pPr>
            <w:r>
              <w:t xml:space="preserve">144</w:t>
            </w:r>
          </w:p>
        </w:tc>
      </w:tr>
      <w:tr>
        <w:tc>
          <w:tcPr/>
          <w:p>
            <w:pPr>
              <w:pStyle w:val="Compact"/>
              <w:jc w:val="left"/>
            </w:pPr>
            <w:r>
              <w:t xml:space="preserve">Natural logarithm of the ecosystem ratio</w:t>
            </w:r>
          </w:p>
        </w:tc>
        <w:tc>
          <w:tcPr/>
          <w:p>
            <w:pPr>
              <w:pStyle w:val="Compact"/>
              <w:jc w:val="left"/>
            </w:pPr>
            <w:r>
              <w:t xml:space="preserve">ln(Ecosystem ratio)</w:t>
            </w:r>
          </w:p>
        </w:tc>
        <w:tc>
          <w:tcPr/>
          <w:p>
            <w:pPr>
              <w:pStyle w:val="Compact"/>
              <w:jc w:val="right"/>
            </w:pPr>
            <w:r>
              <w:t xml:space="preserve">1.677</w:t>
            </w:r>
          </w:p>
        </w:tc>
        <w:tc>
          <w:tcPr/>
          <w:p>
            <w:pPr>
              <w:pStyle w:val="Compact"/>
              <w:jc w:val="right"/>
            </w:pPr>
            <w:r>
              <w:t xml:space="preserve">&lt;0.001</w:t>
            </w:r>
          </w:p>
        </w:tc>
        <w:tc>
          <w:tcPr/>
          <w:p>
            <w:pPr>
              <w:pStyle w:val="Compact"/>
              <w:jc w:val="right"/>
            </w:pPr>
            <w:r>
              <w:t xml:space="preserve">0.006</w:t>
            </w:r>
          </w:p>
        </w:tc>
        <w:tc>
          <w:tcPr/>
          <w:p>
            <w:pPr>
              <w:pStyle w:val="Compact"/>
            </w:pPr>
          </w:p>
        </w:tc>
      </w:tr>
      <w:tr>
        <w:tc>
          <w:tcPr/>
          <w:p>
            <w:pPr>
              <w:pStyle w:val="Compact"/>
              <w:jc w:val="left"/>
            </w:pPr>
            <w:r>
              <w:t xml:space="preserve">Ecosystem ratio not capped</w:t>
            </w:r>
          </w:p>
        </w:tc>
        <w:tc>
          <w:tcPr/>
          <w:p>
            <w:pPr>
              <w:pStyle w:val="Compact"/>
              <w:jc w:val="left"/>
            </w:pPr>
            <w:r>
              <w:t xml:space="preserve">Ecosystem ratio</w:t>
            </w:r>
          </w:p>
        </w:tc>
        <w:tc>
          <w:tcPr/>
          <w:p>
            <w:pPr>
              <w:pStyle w:val="Compact"/>
              <w:jc w:val="right"/>
            </w:pPr>
            <w:r>
              <w:t xml:space="preserve">28.550</w:t>
            </w:r>
          </w:p>
        </w:tc>
        <w:tc>
          <w:tcPr/>
          <w:p>
            <w:pPr>
              <w:pStyle w:val="Compact"/>
              <w:jc w:val="right"/>
            </w:pPr>
            <w:r>
              <w:t xml:space="preserve">0.008</w:t>
            </w:r>
          </w:p>
        </w:tc>
        <w:tc>
          <w:tcPr/>
          <w:p>
            <w:pPr>
              <w:pStyle w:val="Compact"/>
            </w:pPr>
          </w:p>
        </w:tc>
        <w:tc>
          <w:tcPr/>
          <w:p>
            <w:pPr>
              <w:pStyle w:val="Compact"/>
            </w:pPr>
          </w:p>
        </w:tc>
      </w:tr>
    </w:tbl>
    <w:bookmarkEnd w:id="102"/>
    <w:bookmarkEnd w:id="103"/>
    <w:bookmarkStart w:id="104" w:name="Xdeb489f8fdbeb3bc3b6e07c1768976c94f8af49"/>
    <w:p>
      <w:pPr>
        <w:pStyle w:val="Heading2"/>
      </w:pPr>
      <w:r>
        <w:t xml:space="preserve">Appendix D.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104"/>
    <w:bookmarkStart w:id="105" w:name="X92640344d08875034e5a8de8259a0693ee6d22b"/>
    <w:p>
      <w:pPr>
        <w:pStyle w:val="Heading2"/>
      </w:pPr>
      <w:r>
        <w:t xml:space="preserve">Appendix E.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5"/>
    <w:bookmarkEnd w:id="106"/>
    <w:bookmarkStart w:id="107"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for International Settlements. (2026).</w:t>
      </w:r>
      <w:r>
        <w:t xml:space="preserve"> </w:t>
      </w:r>
      <w:r>
        <w:rPr>
          <w:iCs/>
          <w:i/>
        </w:rPr>
        <w:t xml:space="preserve">Central bank policy rates</w:t>
      </w:r>
      <w:r>
        <w:t xml:space="preserve"> </w:t>
      </w:r>
      <w:r>
        <w:t xml:space="preserve">[Data set, WS_CBPOL, monthly]. https://data.bis.org</w:t>
      </w:r>
      <w:r>
        <w:t xml:space="preserve"> </w:t>
      </w: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Barrios, J. M., Hochberg, Y. V., &amp; Yi, H. (2022). Launching with a parachute: The gig economy and new business formation.</w:t>
      </w:r>
      <w:r>
        <w:t xml:space="preserve"> </w:t>
      </w:r>
      <w:r>
        <w:rPr>
          <w:iCs/>
          <w:i/>
        </w:rPr>
        <w:t xml:space="preserve">Journal of Financial Economics, 144</w:t>
      </w:r>
      <w:r>
        <w:t xml:space="preserve">(1), 22–43. https://doi.org/10.1016/j.jfineco.2021.12.011</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r>
        <w:t xml:space="preserve"> </w:t>
      </w: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Denes, M. R., Lagaras, S., &amp; Tsoutsoura, M. (2025). Entrepreneurship and the gig economy: Evidence from U.S. tax returns.</w:t>
      </w:r>
      <w:r>
        <w:t xml:space="preserve"> </w:t>
      </w:r>
      <w:r>
        <w:rPr>
          <w:iCs/>
          <w:i/>
        </w:rPr>
        <w:t xml:space="preserve">Journal of Financial Economics, 173</w:t>
      </w:r>
      <w:r>
        <w:t xml:space="preserve">, Article 104156. https://doi.org/10.1016/j.jfineco.2025.104156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r>
        <w:t xml:space="preserve"> </w:t>
      </w:r>
      <w:r>
        <w:t xml:space="preserve">U.S. Securities and Exchange Commission. (2026).</w:t>
      </w:r>
      <w:r>
        <w:t xml:space="preserve"> </w:t>
      </w:r>
      <w:r>
        <w:rPr>
          <w:iCs/>
          <w:i/>
        </w:rPr>
        <w:t xml:space="preserve">EDGAR company facts: XBRL financial data for annual filings (Forms 10-K, 20-F and 40-F)</w:t>
      </w:r>
      <w:r>
        <w:t xml:space="preserve"> </w:t>
      </w:r>
      <w:r>
        <w:t xml:space="preserve">[Total assets]. https://data.sec.gov/api/xbrl/companyfacts/</w:t>
      </w:r>
    </w:p>
    <w:p>
      <w:pPr>
        <w:pStyle w:val="BodyText"/>
      </w:pPr>
      <w:r>
        <w:t xml:space="preserve">World Bank. (2026).</w:t>
      </w:r>
      <w:r>
        <w:t xml:space="preserve"> </w:t>
      </w:r>
      <w:r>
        <w:rPr>
          <w:iCs/>
          <w:i/>
        </w:rPr>
        <w:t xml:space="preserve">World development indicators</w:t>
      </w:r>
      <w:r>
        <w:t xml:space="preserve"> </w:t>
      </w:r>
      <w:r>
        <w:t xml:space="preserve">[GDP growth, consumer-price inflation, household final consumption expenditure growth and official exchange rate (LCU per US$, period average), 2012–2025]. https://data.worldbank.org</w:t>
      </w:r>
    </w:p>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The files hold 11,848, 31,724 and 39,736 rows. Each weighted total is within 0.1 percent of the BPS count: 2,361,423; 2,995,879, implied by the 2023 count and its growth of 27.4 percent; and 3,816,750.</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2026-10-25T15:50:00Z</dcterms:created>
  <dcterms:modified xsi:type="dcterms:W3CDTF">2026-10-25T15:50:00Z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2026-10-25</vt:lpwstr>
  </property>
</Properties>
</file>