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51.png" ContentType="image/png"/>
  <Override PartName="/word/media/rId55.png" ContentType="image/png"/>
  <Override PartName="/word/media/rId60.png" ContentType="image/png"/>
  <Override PartName="/word/media/rId6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Invisible</w:t>
      </w:r>
      <w:r>
        <w:t xml:space="preserve"> </w:t>
      </w:r>
      <w:r>
        <w:t xml:space="preserve">Ledger:</w:t>
      </w:r>
      <w:r>
        <w:t xml:space="preserve"> </w:t>
      </w:r>
      <w:r>
        <w:t xml:space="preserve">thesis</w:t>
      </w:r>
      <w:r>
        <w:t xml:space="preserve"> </w:t>
      </w:r>
      <w:r>
        <w:t xml:space="preserve">draft,</w:t>
      </w:r>
      <w:r>
        <w:t xml:space="preserve"> </w:t>
      </w:r>
      <w:r>
        <w:t xml:space="preserve">Chapters</w:t>
      </w:r>
      <w:r>
        <w:t xml:space="preserve"> </w:t>
      </w:r>
      <w:r>
        <w:t xml:space="preserve">1</w:t>
      </w:r>
      <w:r>
        <w:t xml:space="preserve"> </w:t>
      </w:r>
      <w:r>
        <w:t xml:space="preserve">to</w:t>
      </w:r>
      <w:r>
        <w:t xml:space="preserve"> </w:t>
      </w:r>
      <w:r>
        <w:t xml:space="preserve">7</w:t>
      </w:r>
    </w:p>
    <w:p>
      <w:pPr>
        <w:pStyle w:val="Subtitle"/>
      </w:pPr>
      <w:r>
        <w:t xml:space="preserve">Reading</w:t>
      </w:r>
      <w:r>
        <w:t xml:space="preserve"> </w:t>
      </w:r>
      <w:r>
        <w:t xml:space="preserve">copy,</w:t>
      </w:r>
      <w:r>
        <w:t xml:space="preserve"> </w:t>
      </w:r>
      <w:r>
        <w:t xml:space="preserve">15</w:t>
      </w:r>
      <w:r>
        <w:t xml:space="preserve"> </w:t>
      </w:r>
      <w:r>
        <w:t xml:space="preserve">October</w:t>
      </w:r>
      <w:r>
        <w:t xml:space="preserve"> </w:t>
      </w:r>
      <w:r>
        <w:t xml:space="preserve">2026.</w:t>
      </w:r>
      <w:r>
        <w:t xml:space="preserve"> </w:t>
      </w:r>
      <w:r>
        <w:t xml:space="preserve">Chapters</w:t>
      </w:r>
      <w:r>
        <w:t xml:space="preserve"> </w:t>
      </w:r>
      <w:r>
        <w:t xml:space="preserve">6</w:t>
      </w:r>
      <w:r>
        <w:t xml:space="preserve"> </w:t>
      </w:r>
      <w:r>
        <w:t xml:space="preserve">and</w:t>
      </w:r>
      <w:r>
        <w:t xml:space="preserve"> </w:t>
      </w:r>
      <w:r>
        <w:t xml:space="preserve">7</w:t>
      </w:r>
      <w:r>
        <w:t xml:space="preserve"> </w:t>
      </w:r>
      <w:r>
        <w:t xml:space="preserve">are</w:t>
      </w:r>
      <w:r>
        <w:t xml:space="preserve"> </w:t>
      </w:r>
      <w:r>
        <w:t xml:space="preserve">drafts;</w:t>
      </w:r>
      <w:r>
        <w:t xml:space="preserve"> </w:t>
      </w:r>
      <w:r>
        <w:t xml:space="preserve">Section</w:t>
      </w:r>
      <w:r>
        <w:t xml:space="preserve"> </w:t>
      </w:r>
      <w:r>
        <w:t xml:space="preserve">6.5</w:t>
      </w:r>
      <w:r>
        <w:t xml:space="preserve"> </w:t>
      </w:r>
      <w:r>
        <w:t xml:space="preserve">has</w:t>
      </w:r>
      <w:r>
        <w:t xml:space="preserve"> </w:t>
      </w:r>
      <w:r>
        <w:t xml:space="preserve">a</w:t>
      </w:r>
      <w:r>
        <w:t xml:space="preserve"> </w:t>
      </w:r>
      <w:r>
        <w:t xml:space="preserve">slot</w:t>
      </w:r>
      <w:r>
        <w:t xml:space="preserve"> </w:t>
      </w:r>
      <w:r>
        <w:t xml:space="preserve">for</w:t>
      </w:r>
      <w:r>
        <w:t xml:space="preserve"> </w:t>
      </w:r>
      <w:r>
        <w:t xml:space="preserve">results</w:t>
      </w:r>
      <w:r>
        <w:t xml:space="preserve"> </w:t>
      </w:r>
      <w:r>
        <w:t xml:space="preserve">due</w:t>
      </w:r>
      <w:r>
        <w:t xml:space="preserve"> </w:t>
      </w:r>
      <w:r>
        <w:t xml:space="preserve">from</w:t>
      </w:r>
      <w:r>
        <w:t xml:space="preserve"> </w:t>
      </w:r>
      <w:r>
        <w:t xml:space="preserve">27</w:t>
      </w:r>
      <w:r>
        <w:t xml:space="preserve"> </w:t>
      </w:r>
      <w:r>
        <w:t xml:space="preserve">October.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chapter-1.-introduction"/>
    <w:p>
      <w:pPr>
        <w:pStyle w:val="Heading1"/>
      </w:pPr>
      <w:r>
        <w:t xml:space="preserve">Chapter 1. Introduction</w:t>
      </w:r>
    </w:p>
    <w:p>
      <w:pPr>
        <w:pStyle w:val="FirstParagraph"/>
      </w:pPr>
      <w:r>
        <w:t xml:space="preserve">Digital commerce has changed how goods and services are bought and sold in Indonesia. Sellers in small towns reach buyers across the country, businesses run from mobile phones, and customers pay by QR code. The figures that measure this activity disagree on both its size and its growth.</w:t>
      </w:r>
    </w:p>
    <w:p>
      <w:pPr>
        <w:pStyle w:val="BodyText"/>
      </w:pPr>
      <w:r>
        <w:t xml:space="preserve">In 2023, traders at Tanah Abang, a major wholesale market in Jakarta, said their customers had moved to sellers on TikTok Shop (AFP 2023). The government then banned transactions on social media platforms, and TikTok Shop closed in Indonesia soon after (Ministry of Trade of the Republic of Indonesia 2023; Mandagie 2023). That year the national statistics office, BPS, reported that online sales rose by about 41 percent (BPS 2025a). The central bank’s measure of online shopping fell by about 5 percent (Bank Indonesia 2023; KabarBursa 2024). The two official figures moved in opposite directions.</w:t>
      </w:r>
    </w:p>
    <w:p>
      <w:pPr>
        <w:pStyle w:val="BodyText"/>
      </w:pPr>
      <w:r>
        <w:t xml:space="preserve">Tokopedia, an Indonesian online marketplace, shows revenue and sales moving apart inside one company. Between 2022 and 2023, its net revenue rose by 53 percent while the value of transactions on the platform, its transaction value, fell by 9 percent (GoTo Gojek Tokopedia 2024a, 2024b). The two are different amounts. A platform keeps only part of each sale, as commissions and fees. The rest is the seller’s receipts, the driver’s fare or another amount that passes through. This thesis calls the difference the invisible wedge. The term means what a revenue-only measure leaves out. It does not mean activity that goes unrecorded.</w:t>
      </w:r>
    </w:p>
    <w:p>
      <w:pPr>
        <w:pStyle w:val="BodyText"/>
      </w:pPr>
      <w:r>
        <w:t xml:space="preserve">The share a platform keeps is not fixed. When it rises, revenue can grow even while transaction value falls. In Tokopedia’s accounts, about 60 percent of the extra revenue came from smaller discounts and incentives, which a platform pays for out of what it earns (GoTo Gojek Tokopedia 2024b).</w:t>
      </w:r>
    </w:p>
    <w:p>
      <w:pPr>
        <w:pStyle w:val="BodyText"/>
      </w:pPr>
      <w:r>
        <w:t xml:space="preserve">Platform and online sales figures carry weight well beyond Indonesia. Businesses in 43 economies sold almost US$27 trillion online in 2022, by the United Nations’ estimate (UNCTAD 2024), and platforms carry a growing part of that trade. Investors value the companies that run them largely on reported growth. If part of that growth is a platform keeping more of each sale, then part of the share price rests on a pricing decision. Governments use the same figures to size their digital economies and to tax online sellers.</w:t>
      </w:r>
    </w:p>
    <w:p>
      <w:pPr>
        <w:pStyle w:val="BodyText"/>
      </w:pPr>
      <w:r>
        <w:t xml:space="preserve">Research explains why platform revenue and national sales figures can differ, but not when a figure stops moving with the activity it represents, or by how much. Answering that takes two things that are rarely found together. One is a platform’s revenue and transaction value over several years. The other is a national count of online sellers whose underlying answers can be examined.</w:t>
      </w:r>
    </w:p>
    <w:p>
      <w:pPr>
        <w:pStyle w:val="BodyText"/>
      </w:pPr>
      <w:r>
        <w:t xml:space="preserve">In Indonesia, several platforms report revenue and transaction value each year, and BPS asks online sellers when they began and how their sales changed. The stakes are concrete. For 2024, BPS gives about US$81 billion for online sales and the central bank about US$31 billion, more than two to one (BPS 2025b; Bank Indonesia 2025). The government has set new rules on platform commissions, discounts and tax. Its tax on marketplace sellers can raise about US$60 million a year on one measure of the market and about US$300 million on another, before exemptions (Ministry of Finance of the Republic of Indonesia 2025; author’s calculation). Most online sellers work through messaging and social media, outside the marketplaces, so platform and survey figures are likely to part. The events of 2023 suggest that they did.</w:t>
      </w:r>
    </w:p>
    <w:bookmarkStart w:id="20" w:name="research-question-and-objectives"/>
    <w:p>
      <w:pPr>
        <w:pStyle w:val="Heading2"/>
      </w:pPr>
      <w:r>
        <w:t xml:space="preserve">1.1 Research question and objectives</w:t>
      </w:r>
    </w:p>
    <w:p>
      <w:pPr>
        <w:pStyle w:val="FirstParagraph"/>
      </w:pPr>
      <w:r>
        <w:t xml:space="preserve">This thesis sets out to change how the digital economy is measured. Most online commerce is missing from the platform figures on which companies are valued and sellers are taxed, and millions of the people who sell online are outside those figures altogether. Decisions worth trillions of dollars rest on numbers that show a fraction of the activity they are taken to describe. The ambition of this thesis is to bring the rest into view: to show how much of the online economy the current figures miss, where it is, and who is in it.</w:t>
      </w:r>
    </w:p>
    <w:p>
      <w:pPr>
        <w:pStyle w:val="BodyText"/>
      </w:pPr>
      <w:r>
        <w:t xml:space="preserve">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 H1 says that a platform’s revenue grows in proportion to its transaction value. H2 says that national e-commerce growth comes mainly from more businesses selling online, and less from higher sales per business. An entry test then asks whether a rise in the count of online sellers comes from sellers entering for the first time. A further analysis estimates how many sellers a rule built on platform records can reach.</w:t>
      </w:r>
    </w:p>
    <w:p>
      <w:pPr>
        <w:pStyle w:val="BodyText"/>
      </w:pPr>
      <w:r>
        <w:t xml:space="preserve">In brief, revenue shows only a small part of the commerce that platforms carry. In BPS’s survey, the marketplaces carry only about a fifth of online sales value. In Indonesia, platform revenue also grew faster than the commerce behind it, mainly because platforms kept a larger share of each sale and not because buyers bought more. National growth came mainly from more sellers, as H2 states, but about half of the 2023 rise in the count of sellers is not explained by first-time entry.</w:t>
      </w:r>
    </w:p>
    <w:bookmarkEnd w:id="20"/>
    <w:bookmarkStart w:id="21" w:name="contributions"/>
    <w:p>
      <w:pPr>
        <w:pStyle w:val="Heading2"/>
      </w:pPr>
      <w:r>
        <w:t xml:space="preserve">1.2 Contributions</w:t>
      </w:r>
    </w:p>
    <w:p>
      <w:pPr>
        <w:pStyle w:val="FirstParagraph"/>
      </w:pPr>
      <w:r>
        <w:t xml:space="preserve">The thesis makes three contributions, one for each group that relies on these figures: investors, statistics offices, and the authorities that tax and regulate online selling.</w:t>
      </w:r>
    </w:p>
    <w:p>
      <w:pPr>
        <w:pStyle w:val="BodyText"/>
      </w:pPr>
      <w:r>
        <w:t xml:space="preserve">For those who value platforms, the thesis shows how small a part of the commerce a platform’s revenue records. It shows why this matters for growth as well as scale: the larger the wedge is next to revenue, the more a small change in fees or discounts moves revenue growth. It also traces why revenue moved, which gives investors a check on whether reported growth came from more commerce or from a larger share of each sale. A prediction registered in advance then tests how market value moves with each of the two.</w:t>
      </w:r>
    </w:p>
    <w:p>
      <w:pPr>
        <w:pStyle w:val="BodyText"/>
      </w:pPr>
      <w:r>
        <w:t xml:space="preserve">For those who measure the economy, the thesis shows where the commerce outside the platforms sits and tests what a rise in the count of online sellers represents. Most online sellers are small businesses that keep no financial statements. Each reports the year it began selling online, so the survey shows how much of a rise is first-time entry. The test was specified before the survey files were opened.</w:t>
      </w:r>
    </w:p>
    <w:p>
      <w:pPr>
        <w:pStyle w:val="BodyText"/>
      </w:pPr>
      <w:r>
        <w:t xml:space="preserve">For those who design tax and regulation, the thesis measures how far rules based on platform records reach. A rule built on platform records reaches only the sellers who use platforms, so where most sellers work outside them, such rules cover a minority. The thesis also sets each recent rule, from the cap on ride-hailing commissions to the limit on discounts, against the figure it acts on. Several other countries have adopted similar rules, so the same question applies there.</w:t>
      </w:r>
    </w:p>
    <w:p>
      <w:pPr>
        <w:pStyle w:val="BodyText"/>
      </w:pPr>
      <w:r>
        <w:t xml:space="preserve">Earlier work has already compared platform transaction values with national e-commerce statistics. The contribution of this thesis is connected evidence for one country. It draws on the platforms’ accounts, the sellers’ own survey responses and the rules that act on those figures.</w:t>
      </w:r>
    </w:p>
    <w:bookmarkEnd w:id="21"/>
    <w:bookmarkStart w:id="22"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which come from platform reports, BPS survey files and national and market figures,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2"/>
    <w:bookmarkEnd w:id="23"/>
    <w:bookmarkStart w:id="28"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bookmarkStart w:id="24"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sales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the sales.</w:t>
      </w:r>
    </w:p>
    <w:p>
      <w:pPr>
        <w:pStyle w:val="BodyText"/>
      </w:pPr>
      <w:r>
        <w:t xml:space="preserve">Platform economics explains why revenue is only a small share of the sales.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sales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sales behind it (Bowen, Davis and Rajgopal 2002). Studies of how investors valued those firms, and how analysts forecast their revenue, relied on web traffic as their measure of activity (Trueman, Wong and Zhang 2000, 2001; Rajgopal, Venkatachalam and Kotha 2003). 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p>
    <w:bookmarkEnd w:id="24"/>
    <w:bookmarkStart w:id="25"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Official statistics address the question in two ways. National accounts separate the sale between a buyer and a seller from the platform’s fee, and they count only the fee as the platform’s output (Ahmad and Schreyer 2016; International Monetary Fund 2018; Organisation for Economic Co-operation and Development [OECD] 2023; United Nations et al. 2025). Research on measurement also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National accounting guidance defines the platform’s output, and it does not track how platform sales and national sales grow. The test of one figure against another has been applied to national income and night-time lights. Among the studies reviewed here, it has not been applied to platform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p>
    <w:bookmarkEnd w:id="25"/>
    <w:bookmarkStart w:id="26"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p>
    <w:bookmarkEnd w:id="26"/>
    <w:bookmarkStart w:id="27" w:name="research-gap"/>
    <w:p>
      <w:pPr>
        <w:pStyle w:val="Heading2"/>
      </w:pPr>
      <w:r>
        <w:t xml:space="preserve">2.4 Research gap</w:t>
      </w:r>
    </w:p>
    <w:p>
      <w:pPr>
        <w:pStyle w:val="FirstParagraph"/>
      </w:pPr>
      <w:r>
        <w:t xml:space="preserve">The shortfalls identified in Sections 2.1 to 2.3 define the research gap. Table 2.1 sets them side by side.</w:t>
      </w:r>
    </w:p>
    <w:p>
      <w:pPr>
        <w:pStyle w:val="BodyText"/>
      </w:pPr>
      <w:r>
        <w:rPr>
          <w:bCs/>
          <w:b/>
        </w:rPr>
        <w:t xml:space="preserve">Table 2.1. What the literature establishes and where it stops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What it establishes</w:t>
            </w:r>
          </w:p>
        </w:tc>
        <w:tc>
          <w:tcPr/>
          <w:p>
            <w:pPr>
              <w:pStyle w:val="Compact"/>
              <w:jc w:val="left"/>
            </w:pPr>
            <w:r>
              <w:t xml:space="preserve">Main sources</w:t>
            </w:r>
          </w:p>
        </w:tc>
        <w:tc>
          <w:tcPr/>
          <w:p>
            <w:pPr>
              <w:pStyle w:val="Compact"/>
              <w:jc w:val="left"/>
            </w:pPr>
            <w:r>
              <w:t xml:space="preserve">Where it stops</w:t>
            </w:r>
          </w:p>
        </w:tc>
      </w:tr>
      <w:tr>
        <w:tc>
          <w:tcPr/>
          <w:p>
            <w:pPr>
              <w:pStyle w:val="Compact"/>
              <w:jc w:val="left"/>
            </w:pPr>
            <w:r>
              <w:t xml:space="preserve">2.1 Platform economics and accounting</w:t>
            </w:r>
          </w:p>
        </w:tc>
        <w:tc>
          <w:tcPr/>
          <w:p>
            <w:pPr>
              <w:pStyle w:val="Compact"/>
              <w:jc w:val="left"/>
            </w:pPr>
            <w:r>
              <w:t xml:space="preserve">Revenue is a fee that is a small share of the sales, and the share can move with pricing, discounts and accounting</w:t>
            </w:r>
          </w:p>
        </w:tc>
        <w:tc>
          <w:tcPr/>
          <w:p>
            <w:pPr>
              <w:pStyle w:val="Compact"/>
              <w:jc w:val="left"/>
            </w:pPr>
            <w:r>
              <w:t xml:space="preserve">Rochet and Tirole 2003; Armstrong 2006; IASB 2014</w:t>
            </w:r>
          </w:p>
        </w:tc>
        <w:tc>
          <w:tcPr/>
          <w:p>
            <w:pPr>
              <w:pStyle w:val="Compact"/>
              <w:jc w:val="left"/>
            </w:pPr>
            <w:r>
              <w:t xml:space="preserve">Whether reported revenue stays a fair guide to reported transaction value has not been tested, and not for Indonesian platforms</w:t>
            </w:r>
          </w:p>
        </w:tc>
      </w:tr>
      <w:tr>
        <w:tc>
          <w:tcPr/>
          <w:p>
            <w:pPr>
              <w:pStyle w:val="Compact"/>
              <w:jc w:val="left"/>
            </w:pPr>
            <w:r>
              <w:t xml:space="preserve">2.2 Official statistics and surveys</w:t>
            </w:r>
          </w:p>
        </w:tc>
        <w:tc>
          <w:tcPr/>
          <w:p>
            <w:pPr>
              <w:pStyle w:val="Compact"/>
              <w:jc w:val="left"/>
            </w:pPr>
            <w:r>
              <w:t xml:space="preserve">Platform sales and platform revenue differ; sources differ; a count of sellers can break</w:t>
            </w:r>
          </w:p>
        </w:tc>
        <w:tc>
          <w:tcPr/>
          <w:p>
            <w:pPr>
              <w:pStyle w:val="Compact"/>
              <w:jc w:val="left"/>
            </w:pPr>
            <w:r>
              <w:t xml:space="preserve">Ahmad and Schreyer 2016; Henderson et al. 2012; van den Brakel et al. 2008</w:t>
            </w:r>
          </w:p>
        </w:tc>
        <w:tc>
          <w:tcPr/>
          <w:p>
            <w:pPr>
              <w:pStyle w:val="Compact"/>
              <w:jc w:val="left"/>
            </w:pPr>
            <w:r>
              <w:t xml:space="preserve">Platform and national figures have not been followed through time in one country, and published totals cannot show what a rise in the count of sellers contains</w:t>
            </w:r>
          </w:p>
        </w:tc>
      </w:tr>
      <w:tr>
        <w:tc>
          <w:tcPr/>
          <w:p>
            <w:pPr>
              <w:pStyle w:val="Compact"/>
              <w:jc w:val="left"/>
            </w:pPr>
            <w:r>
              <w:t xml:space="preserve">2.3 Third-party information</w:t>
            </w:r>
          </w:p>
        </w:tc>
        <w:tc>
          <w:tcPr/>
          <w:p>
            <w:pPr>
              <w:pStyle w:val="Compact"/>
              <w:jc w:val="left"/>
            </w:pPr>
            <w:r>
              <w:t xml:space="preserve">Platform records show sales, and third-party reports improve compliance</w:t>
            </w:r>
          </w:p>
        </w:tc>
        <w:tc>
          <w:tcPr/>
          <w:p>
            <w:pPr>
              <w:pStyle w:val="Compact"/>
              <w:jc w:val="left"/>
            </w:pPr>
            <w:r>
              <w:t xml:space="preserve">Kleven et al. 2011; OECD 2020</w:t>
            </w:r>
          </w:p>
        </w:tc>
        <w:tc>
          <w:tcPr/>
          <w:p>
            <w:pPr>
              <w:pStyle w:val="Compact"/>
              <w:jc w:val="left"/>
            </w:pPr>
            <w:r>
              <w:t xml:space="preserve">How much of online selling platform records cover has not been estimated for Indonesia</w:t>
            </w:r>
          </w:p>
        </w:tc>
      </w:tr>
    </w:tbl>
    <w:p>
      <w:pPr>
        <w:pStyle w:val="BodyText"/>
      </w:pPr>
      <w:r>
        <w:t xml:space="preserve">Each shortfall becomes one question for the thesis, and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which explains why the share is small and can move but does not test whether reported revenue stays a fair guide to the sales.</w:t>
      </w:r>
    </w:p>
    <w:p>
      <w:pPr>
        <w:numPr>
          <w:ilvl w:val="0"/>
          <w:numId w:val="1001"/>
        </w:numPr>
        <w:pStyle w:val="Compact"/>
      </w:pPr>
      <w:r>
        <w:rPr>
          <w:bCs/>
          <w:b/>
        </w:rPr>
        <w:t xml:space="preserve">Does the choice of figure change the conclusion about growth?</w:t>
      </w:r>
      <w:r>
        <w:t xml:space="preserve"> </w:t>
      </w:r>
      <w:r>
        <w:t xml:space="preserve">This follows from Section 2.2, which shows that figures differ but does not test whether they grow for the same reasons, or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which shows that platform records are valuable but not how much of online selling they cover.</w:t>
      </w:r>
    </w:p>
    <w:bookmarkEnd w:id="27"/>
    <w:bookmarkEnd w:id="28"/>
    <w:bookmarkStart w:id="38"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3.1 shows the structure.</w:t>
      </w:r>
    </w:p>
    <w:p>
      <w:pPr>
        <w:pStyle w:val="BodyText"/>
      </w:pPr>
      <w:r>
        <w:t xml:space="preserve">Figure 3.1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CaptionedFigure"/>
      </w:pPr>
      <w:r>
        <w:drawing>
          <wp:inline>
            <wp:extent cx="5302908" cy="2896109"/>
            <wp:effectExtent b="0" l="0" r="0" t="0"/>
            <wp:docPr descr="Figure 3.1" title="" id="30" name="Picture"/>
            <a:graphic>
              <a:graphicData uri="http://schemas.openxmlformats.org/drawingml/2006/picture">
                <pic:pic>
                  <pic:nvPicPr>
                    <pic:cNvPr descr="figures/fig3_1_two_links.png" id="31" name="Picture"/>
                    <pic:cNvPicPr>
                      <a:picLocks noChangeArrowheads="1" noChangeAspect="1"/>
                    </pic:cNvPicPr>
                  </pic:nvPicPr>
                  <pic:blipFill>
                    <a:blip r:embed="rId29"/>
                    <a:stretch>
                      <a:fillRect/>
                    </a:stretch>
                  </pic:blipFill>
                  <pic:spPr bwMode="auto">
                    <a:xfrm>
                      <a:off x="0" y="0"/>
                      <a:ext cx="5302908" cy="2896109"/>
                    </a:xfrm>
                    <a:prstGeom prst="rect">
                      <a:avLst/>
                    </a:prstGeom>
                    <a:noFill/>
                    <a:ln w="9525">
                      <a:noFill/>
                      <a:headEnd/>
                      <a:tailEnd/>
                    </a:ln>
                  </pic:spPr>
                </pic:pic>
              </a:graphicData>
            </a:graphic>
          </wp:inline>
        </w:drawing>
      </w:r>
    </w:p>
    <w:p>
      <w:pPr>
        <w:pStyle w:val="ImageCaption"/>
      </w:pPr>
      <w:r>
        <w:t xml:space="preserve">Figure 3.1</w:t>
      </w:r>
    </w:p>
    <w:p>
      <w:pPr>
        <w:pStyle w:val="BodyText"/>
      </w:pPr>
      <w:r>
        <w:rPr>
          <w:bCs/>
          <w:b/>
        </w:rPr>
        <w:t xml:space="preserve">Figure 3.1. Three nested quantities and the two links.</w:t>
      </w:r>
      <w:r>
        <w:t xml:space="preserve"> </w:t>
      </w:r>
      <w:r>
        <w:t xml:space="preserve">Revenue sits inside platform commerce, which sits inside all online commerce. H1 tests the inner link and H2 the outer link.</w:t>
      </w:r>
    </w:p>
    <w:p>
      <w:pPr>
        <w:pStyle w:val="BodyText"/>
      </w:pPr>
      <w:r>
        <w:rPr>
          <w:iCs/>
          <w:i/>
        </w:rPr>
        <w:t xml:space="preserve">Note:</w:t>
      </w:r>
      <w:r>
        <w:t xml:space="preserve"> </w:t>
      </w:r>
      <w:r>
        <w:t xml:space="preserve">The figure is illustrative, and the sizes are not to scale. The platform circle differs from the marketplace channel in the survey of online sellers run by BPS, the national statistics office.</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a split of revenue growth,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2" w:name="terms-and-rules-for-comparison"/>
    <w:p>
      <w:pPr>
        <w:pStyle w:val="Heading2"/>
      </w:pPr>
      <w:r>
        <w:t xml:space="preserve">3.1 Terms and rules for comparison</w:t>
      </w:r>
    </w:p>
    <w:p>
      <w:pPr>
        <w:pStyle w:val="FirstParagraph"/>
      </w:pPr>
      <w:r>
        <w:t xml:space="preserve">Table 3.1 defines the terms used throughout the thesis, each once, with the symbol used in the formulas.</w:t>
      </w:r>
    </w:p>
    <w:p>
      <w:pPr>
        <w:pStyle w:val="BodyText"/>
      </w:pPr>
      <w:r>
        <w:rPr>
          <w:bCs/>
          <w:b/>
        </w:rPr>
        <w:t xml:space="preserve">Table 3.1. Terms and symbols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Transaction value</w:t>
            </w:r>
          </w:p>
        </w:tc>
        <w:tc>
          <w:tcPr/>
          <w:p>
            <w:pPr>
              <w:pStyle w:val="Compact"/>
              <w:jc w:val="left"/>
            </w:pPr>
            <w:r>
              <w:t xml:space="preserve">V</w:t>
            </w:r>
          </w:p>
        </w:tc>
        <w:tc>
          <w:tcPr/>
          <w:p>
            <w:pPr>
              <w:pStyle w:val="Compact"/>
              <w:jc w:val="left"/>
            </w:pPr>
            <w:r>
              <w:t xml:space="preserve">Everything bought through a platform in a period, also called the commerce the platform carries. Companies call it gross merchandise value (GMV), gross transaction value (GTV) or total payment volume (TPV); the thesis treats these as one measure and notes where a company’s scope differs.</w:t>
            </w:r>
          </w:p>
        </w:tc>
      </w:tr>
      <w:tr>
        <w:tc>
          <w:tcPr/>
          <w:p>
            <w:pPr>
              <w:pStyle w:val="Compact"/>
              <w:jc w:val="left"/>
            </w:pPr>
            <w:r>
              <w:t xml:space="preserve">Revenue</w:t>
            </w:r>
          </w:p>
        </w:tc>
        <w:tc>
          <w:tcPr/>
          <w:p>
            <w:pPr>
              <w:pStyle w:val="Compact"/>
              <w:jc w:val="left"/>
            </w:pPr>
            <w:r>
              <w:t xml:space="preserve">R</w:t>
            </w:r>
          </w:p>
        </w:tc>
        <w:tc>
          <w:tcPr/>
          <w:p>
            <w:pPr>
              <w:pStyle w:val="Compact"/>
              <w:jc w:val="left"/>
            </w:pPr>
            <w:r>
              <w:t xml:space="preserve">What the platform recognizes as its own income in its accounts.</w:t>
            </w:r>
          </w:p>
        </w:tc>
      </w:tr>
      <w:tr>
        <w:tc>
          <w:tcPr/>
          <w:p>
            <w:pPr>
              <w:pStyle w:val="Compact"/>
              <w:jc w:val="left"/>
            </w:pPr>
            <w:r>
              <w:t xml:space="preserve">Take rate</w:t>
            </w:r>
          </w:p>
        </w:tc>
        <w:tc>
          <w:tcPr/>
          <w:p>
            <w:pPr>
              <w:pStyle w:val="Compact"/>
              <w:jc w:val="left"/>
            </w:pPr>
            <w:r>
              <w:t xml:space="preserve">m</w:t>
            </w:r>
          </w:p>
        </w:tc>
        <w:tc>
          <w:tcPr/>
          <w:p>
            <w:pPr>
              <w:pStyle w:val="Compact"/>
              <w:jc w:val="left"/>
            </w:pPr>
            <w:r>
              <w:t xml:space="preserve">Revenue divided by transaction value: the share of each sale that the platform keeps.</w:t>
            </w:r>
          </w:p>
        </w:tc>
      </w:tr>
      <w:tr>
        <w:tc>
          <w:tcPr/>
          <w:p>
            <w:pPr>
              <w:pStyle w:val="Compact"/>
              <w:jc w:val="left"/>
            </w:pPr>
            <w:r>
              <w:t xml:space="preserve">Customer incentives</w:t>
            </w:r>
          </w:p>
        </w:tc>
        <w:tc>
          <w:tcPr/>
          <w:p>
            <w:pPr>
              <w:pStyle w:val="Compact"/>
            </w:pPr>
          </w:p>
        </w:tc>
        <w:tc>
          <w:tcPr/>
          <w:p>
            <w:pPr>
              <w:pStyle w:val="Compact"/>
              <w:jc w:val="left"/>
            </w:pPr>
            <w:r>
              <w:t xml:space="preserve">Discounts, vouchers and other promotions that a platform pays for. Accounting rules normally deduct them from revenue, and Tokopedia reports the deduction as a separate line.</w:t>
            </w:r>
          </w:p>
        </w:tc>
      </w:tr>
      <w:tr>
        <w:tc>
          <w:tcPr/>
          <w:p>
            <w:pPr>
              <w:pStyle w:val="Compact"/>
              <w:jc w:val="left"/>
            </w:pPr>
            <w:r>
              <w:t xml:space="preserve">Fee rate</w:t>
            </w:r>
          </w:p>
        </w:tc>
        <w:tc>
          <w:tcPr/>
          <w:p>
            <w:pPr>
              <w:pStyle w:val="Compact"/>
              <w:jc w:val="left"/>
            </w:pPr>
            <w:r>
              <w:t xml:space="preserve">f</w:t>
            </w:r>
          </w:p>
        </w:tc>
        <w:tc>
          <w:tcPr/>
          <w:p>
            <w:pPr>
              <w:pStyle w:val="Compact"/>
              <w:jc w:val="left"/>
            </w:pPr>
            <w:r>
              <w:t xml:space="preserve">The platform’s revenue before customer incentives, divided by transaction value.</w:t>
            </w:r>
          </w:p>
        </w:tc>
      </w:tr>
      <w:tr>
        <w:tc>
          <w:tcPr/>
          <w:p>
            <w:pPr>
              <w:pStyle w:val="Compact"/>
              <w:jc w:val="left"/>
            </w:pPr>
            <w:r>
              <w:t xml:space="preserve">Incentive rate</w:t>
            </w:r>
          </w:p>
        </w:tc>
        <w:tc>
          <w:tcPr/>
          <w:p>
            <w:pPr>
              <w:pStyle w:val="Compact"/>
              <w:jc w:val="left"/>
            </w:pPr>
            <w:r>
              <w:t xml:space="preserve">s</w:t>
            </w:r>
          </w:p>
        </w:tc>
        <w:tc>
          <w:tcPr/>
          <w:p>
            <w:pPr>
              <w:pStyle w:val="Compact"/>
              <w:jc w:val="left"/>
            </w:pPr>
            <w:r>
              <w:t xml:space="preserve">Customer incentives divided by transaction value.</w:t>
            </w:r>
          </w:p>
        </w:tc>
      </w:tr>
      <w:tr>
        <w:tc>
          <w:tcPr/>
          <w:p>
            <w:pPr>
              <w:pStyle w:val="Compact"/>
              <w:jc w:val="left"/>
            </w:pPr>
            <w:r>
              <w:t xml:space="preserve">Invisible wedge</w:t>
            </w:r>
          </w:p>
        </w:tc>
        <w:tc>
          <w:tcPr/>
          <w:p>
            <w:pPr>
              <w:pStyle w:val="Compact"/>
              <w:jc w:val="left"/>
            </w:pPr>
            <w:r>
              <w:t xml:space="preserve">W</w:t>
            </w:r>
          </w:p>
        </w:tc>
        <w:tc>
          <w:tcPr/>
          <w:p>
            <w:pPr>
              <w:pStyle w:val="Compact"/>
              <w:jc w:val="left"/>
            </w:pPr>
            <w:r>
              <w:t xml:space="preserve">Transaction value minus revenue: what a revenue figure leaves out. It is defined for one platform. The thesis sums it over three platforms in Indonesia for 2023 and computes no national total.</w:t>
            </w:r>
          </w:p>
        </w:tc>
      </w:tr>
      <w:tr>
        <w:tc>
          <w:tcPr/>
          <w:p>
            <w:pPr>
              <w:pStyle w:val="Compact"/>
              <w:jc w:val="left"/>
            </w:pPr>
            <w:r>
              <w:t xml:space="preserve">Ecosystem ratio</w:t>
            </w:r>
          </w:p>
        </w:tc>
        <w:tc>
          <w:tcPr/>
          <w:p>
            <w:pPr>
              <w:pStyle w:val="Compact"/>
              <w:jc w:val="left"/>
            </w:pPr>
            <w:r>
              <w:t xml:space="preserve">E</w:t>
            </w:r>
          </w:p>
        </w:tc>
        <w:tc>
          <w:tcPr/>
          <w:p>
            <w:pPr>
              <w:pStyle w:val="Compact"/>
              <w:jc w:val="left"/>
            </w:pPr>
            <w:r>
              <w:t xml:space="preserve">The wedge divided by revenue. It equals one divided by the take rate, minus one. This is the author’s own measure, built for this thesis.</w:t>
            </w:r>
          </w:p>
        </w:tc>
      </w:tr>
      <w:tr>
        <w:tc>
          <w:tcPr/>
          <w:p>
            <w:pPr>
              <w:pStyle w:val="Compact"/>
              <w:jc w:val="left"/>
            </w:pPr>
            <w:r>
              <w:t xml:space="preserve">Growth</w:t>
            </w:r>
          </w:p>
        </w:tc>
        <w:tc>
          <w:tcPr/>
          <w:p>
            <w:pPr>
              <w:pStyle w:val="Compact"/>
              <w:jc w:val="left"/>
            </w:pPr>
            <w:r>
              <w:t xml:space="preserve">g</w:t>
            </w:r>
          </w:p>
        </w:tc>
        <w:tc>
          <w:tcPr/>
          <w:p>
            <w:pPr>
              <w:pStyle w:val="Compact"/>
              <w:jc w:val="left"/>
            </w:pPr>
            <w:r>
              <w:t xml:space="preserve">The change from one year to the next as a share of the first year: 0.09 means 9 percent.</w:t>
            </w:r>
          </w:p>
        </w:tc>
      </w:tr>
      <w:tr>
        <w:tc>
          <w:tcPr/>
          <w:p>
            <w:pPr>
              <w:pStyle w:val="Compact"/>
              <w:jc w:val="left"/>
            </w:pPr>
            <w:r>
              <w:t xml:space="preserve">Growth divergence</w:t>
            </w:r>
          </w:p>
        </w:tc>
        <w:tc>
          <w:tcPr/>
          <w:p>
            <w:pPr>
              <w:pStyle w:val="Compact"/>
              <w:jc w:val="left"/>
            </w:pPr>
            <w:r>
              <w:t xml:space="preserve">D</w:t>
            </w:r>
          </w:p>
        </w:tc>
        <w:tc>
          <w:tcPr/>
          <w:p>
            <w:pPr>
              <w:pStyle w:val="Compact"/>
              <w:jc w:val="left"/>
            </w:pPr>
            <w:r>
              <w:t xml:space="preserve">Growth of revenue minus growth of transaction value in the same year: 0.62 means 62 percentage points.</w:t>
            </w:r>
          </w:p>
        </w:tc>
      </w:tr>
      <w:tr>
        <w:tc>
          <w:tcPr/>
          <w:p>
            <w:pPr>
              <w:pStyle w:val="Compact"/>
              <w:jc w:val="left"/>
            </w:pPr>
            <w:r>
              <w:t xml:space="preserve">Online seller</w:t>
            </w:r>
          </w:p>
        </w:tc>
        <w:tc>
          <w:tcPr/>
          <w:p>
            <w:pPr>
              <w:pStyle w:val="Compact"/>
            </w:pPr>
          </w:p>
        </w:tc>
        <w:tc>
          <w:tcPr/>
          <w:p>
            <w:pPr>
              <w:pStyle w:val="Compact"/>
              <w:jc w:val="left"/>
            </w:pPr>
            <w:r>
              <w:t xml:space="preserve">A business that the national statistics office, BPS, counts as selling online; the text also calls it a seller or a business. The count of online sellers is BPS’s estimate of how many there are in a year.</w:t>
            </w:r>
          </w:p>
        </w:tc>
      </w:tr>
      <w:tr>
        <w:tc>
          <w:tcPr/>
          <w:p>
            <w:pPr>
              <w:pStyle w:val="Compact"/>
              <w:jc w:val="left"/>
            </w:pPr>
            <w:r>
              <w:t xml:space="preserve">First-time entry</w:t>
            </w:r>
          </w:p>
        </w:tc>
        <w:tc>
          <w:tcPr/>
          <w:p>
            <w:pPr>
              <w:pStyle w:val="Compact"/>
            </w:pPr>
          </w:p>
        </w:tc>
        <w:tc>
          <w:tcPr/>
          <w:p>
            <w:pPr>
              <w:pStyle w:val="Compact"/>
              <w:jc w:val="left"/>
            </w:pPr>
            <w:r>
              <w:t xml:space="preserve">A seller that began selling online in the year being measured.</w:t>
            </w:r>
          </w:p>
        </w:tc>
      </w:tr>
    </w:tbl>
    <w:p>
      <w:pPr>
        <w:pStyle w:val="BodyText"/>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2"/>
    <w:bookmarkStart w:id="33"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SourceCode"/>
      </w:pPr>
      <w:r>
        <w:rPr>
          <w:rStyle w:val="VerbatimChar"/>
        </w:rPr>
        <w:t xml:space="preserve">W_it = V_it − R_it                                   (1)</w:t>
      </w:r>
    </w:p>
    <w:p>
      <w:pPr>
        <w:pStyle w:val="FirstParagraph"/>
      </w:pPr>
      <w:r>
        <w:t xml:space="preserve">where V_it is the transaction value of platform i in year t and R_it 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SourceCode"/>
      </w:pPr>
      <w:r>
        <w:rPr>
          <w:rStyle w:val="VerbatimChar"/>
        </w:rPr>
        <w:t xml:space="preserve">E_it = W_it / R_it = 1 / m_it − 1                     (2)</w:t>
      </w:r>
    </w:p>
    <w:p>
      <w:pPr>
        <w:pStyle w:val="FirstParagraph"/>
      </w:pPr>
      <w:r>
        <w:t xml:space="preserve">where m_it = R_it / V_it 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w:t>
      </w:r>
    </w:p>
    <w:p>
      <w:pPr>
        <w:pStyle w:val="BodyText"/>
      </w:pPr>
      <w:r>
        <w:t xml:space="preserve">A single ratio does not show whether the relationship holds over time, so the thesis defines growth divergence:</w:t>
      </w:r>
    </w:p>
    <w:p>
      <w:pPr>
        <w:pStyle w:val="SourceCode"/>
      </w:pPr>
      <w:r>
        <w:rPr>
          <w:rStyle w:val="VerbatimChar"/>
        </w:rPr>
        <w:t xml:space="preserve">D_it = g(R_it) − g(V_it)                              (3)</w:t>
      </w:r>
    </w:p>
    <w:p>
      <w:pPr>
        <w:pStyle w:val="FirstParagraph"/>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SourceCode"/>
      </w:pPr>
      <w:r>
        <w:rPr>
          <w:rStyle w:val="VerbatimChar"/>
        </w:rPr>
        <w:t xml:space="preserve">D_it = (1 + g(V_it)) × (m_it − m_i,t−1) / m_i,t−1      (4)</w:t>
      </w:r>
    </w:p>
    <w:p>
      <w:pPr>
        <w:pStyle w:val="FirstParagraph"/>
      </w:pPr>
      <w:r>
        <w:t xml:space="preserve">where m_i,t−1 is the take rate in the earlier year and m_it 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bookmarkEnd w:id="33"/>
    <w:bookmarkStart w:id="34" w:name="tracing-a-movement"/>
    <w:p>
      <w:pPr>
        <w:pStyle w:val="Heading2"/>
      </w:pPr>
      <w:r>
        <w:t xml:space="preserve">3.3 Tracing a movement</w:t>
      </w:r>
    </w:p>
    <w:p>
      <w:pPr>
        <w:pStyle w:val="FirstParagraph"/>
      </w:pPr>
      <w:r>
        <w:t xml:space="preserve">A large divergence calls for an explanation, and the same definitions supply it. Measured in logarithms, the growth of revenue splits exactly into the growth of transaction value and the change in the take rate:</w:t>
      </w:r>
    </w:p>
    <w:p>
      <w:pPr>
        <w:pStyle w:val="SourceCode"/>
      </w:pPr>
      <w:r>
        <w:rPr>
          <w:rStyle w:val="VerbatimChar"/>
        </w:rPr>
        <w:t xml:space="preserve">Δln R_it = Δln V_it + Δln m_it                        (5)</w:t>
      </w:r>
    </w:p>
    <w:p>
      <w:pPr>
        <w:pStyle w:val="FirstParagraph"/>
      </w:pPr>
      <w:r>
        <w:t xml:space="preserve">where Δln X is the change in the natural logarithm of X from one year to the next. The first term is the volume effect, more or less commerce. The second is the take-rate effect, a larger or smaller share of each sale. A log change treats a rise and a fall by the same factor as equal in size, so the two effects can be compared directly. The take rate itself has two parts:</w:t>
      </w:r>
    </w:p>
    <w:p>
      <w:pPr>
        <w:pStyle w:val="SourceCode"/>
      </w:pPr>
      <w:r>
        <w:rPr>
          <w:rStyle w:val="VerbatimChar"/>
        </w:rPr>
        <w:t xml:space="preserve">m_it = f_it − s_it                                    (6)</w:t>
      </w:r>
    </w:p>
    <w:p>
      <w:pPr>
        <w:pStyle w:val="FirstParagraph"/>
      </w:pPr>
      <w:r>
        <w:t xml:space="preserve">where f_it is the fee rate and s_it 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Equations (5) and (6) together divide a movement in revenue into more commerce, higher fees and lower incentives. A change in the mix of a company’s businesses is a further source, read from its reports where they describe one. The split shows how a movement happened. It does not show why the company chose it, and company explanations are read as reports.</w:t>
      </w:r>
    </w:p>
    <w:p>
      <w:pPr>
        <w:pStyle w:val="BodyText"/>
      </w:pPr>
      <w:r>
        <w:t xml:space="preserve">Equation (6) also shows where a rule acts. A cap on commissions acts on the fee rate, and a limit on discounts acts on the incentive rate. Chapter 6 sets Indonesia’s recent rules against these parts of the take rate.</w:t>
      </w:r>
    </w:p>
    <w:bookmarkEnd w:id="34"/>
    <w:bookmarkStart w:id="35"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3.1. Table 3.2 pairs each hypothesis, and the entry test of Section 3.5, with its main test and with the result that would count against it.</w:t>
      </w:r>
    </w:p>
    <w:p>
      <w:pPr>
        <w:pStyle w:val="BodyText"/>
      </w:pPr>
      <w:r>
        <w:rPr>
          <w:bCs/>
          <w:b/>
        </w:rPr>
        <w:t xml:space="preserve">Table 3.2. Hypotheses, tests and what would count against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asks</w:t>
            </w:r>
          </w:p>
        </w:tc>
        <w:tc>
          <w:tcPr/>
          <w:p>
            <w:pPr>
              <w:pStyle w:val="Compact"/>
              <w:jc w:val="left"/>
            </w:pPr>
            <w:r>
              <w:t xml:space="preserve">Main test</w:t>
            </w:r>
          </w:p>
        </w:tc>
        <w:tc>
          <w:tcPr/>
          <w:p>
            <w:pPr>
              <w:pStyle w:val="Compact"/>
              <w:jc w:val="left"/>
            </w:pPr>
            <w:r>
              <w:t xml:space="preserve">What would count against it</w:t>
            </w:r>
          </w:p>
        </w:tc>
      </w:tr>
      <w:tr>
        <w:tc>
          <w:tcPr/>
          <w:p>
            <w:pPr>
              <w:pStyle w:val="Compact"/>
              <w:jc w:val="left"/>
            </w:pPr>
            <w:r>
              <w:t xml:space="preserve">H1</w:t>
            </w:r>
          </w:p>
        </w:tc>
        <w:tc>
          <w:tcPr/>
          <w:p>
            <w:pPr>
              <w:pStyle w:val="Compact"/>
              <w:jc w:val="left"/>
            </w:pPr>
            <w:r>
              <w:t xml:space="preserve">Do revenue and transaction value grow together within a platform?</w:t>
            </w:r>
          </w:p>
        </w:tc>
        <w:tc>
          <w:tcPr/>
          <w:p>
            <w:pPr>
              <w:pStyle w:val="Compact"/>
              <w:jc w:val="left"/>
            </w:pPr>
            <w:r>
              <w:t xml:space="preserve">Size of yearly changes in the take rate, Indonesian and regional platforms against listed platforms abroad</w:t>
            </w:r>
          </w:p>
        </w:tc>
        <w:tc>
          <w:tcPr/>
          <w:p>
            <w:pPr>
              <w:pStyle w:val="Compact"/>
              <w:jc w:val="left"/>
            </w:pPr>
            <w:r>
              <w:t xml:space="preserve">Changes in Indonesia far larger than abroad</w:t>
            </w:r>
          </w:p>
        </w:tc>
      </w:tr>
      <w:tr>
        <w:tc>
          <w:tcPr/>
          <w:p>
            <w:pPr>
              <w:pStyle w:val="Compact"/>
              <w:jc w:val="left"/>
            </w:pPr>
            <w:r>
              <w:t xml:space="preserve">H2</w:t>
            </w:r>
          </w:p>
        </w:tc>
        <w:tc>
          <w:tcPr/>
          <w:p>
            <w:pPr>
              <w:pStyle w:val="Compact"/>
              <w:jc w:val="left"/>
            </w:pPr>
            <w:r>
              <w:t xml:space="preserve">Does national e-commerce value grow because of more businesses or because of higher sales per business?</w:t>
            </w:r>
          </w:p>
        </w:tc>
        <w:tc>
          <w:tcPr/>
          <w:p>
            <w:pPr>
              <w:pStyle w:val="Compact"/>
              <w:jc w:val="left"/>
            </w:pPr>
            <w:r>
              <w:t xml:space="preserve">BPS’s national e-commerce value split into the number of businesses and sales per business</w:t>
            </w:r>
          </w:p>
        </w:tc>
        <w:tc>
          <w:tcPr/>
          <w:p>
            <w:pPr>
              <w:pStyle w:val="Compact"/>
              <w:jc w:val="left"/>
            </w:pPr>
            <w:r>
              <w:t xml:space="preserve">Higher sales per business accounting for most of the growth</w:t>
            </w:r>
          </w:p>
        </w:tc>
      </w:tr>
      <w:tr>
        <w:tc>
          <w:tcPr/>
          <w:p>
            <w:pPr>
              <w:pStyle w:val="Compact"/>
              <w:jc w:val="left"/>
            </w:pPr>
            <w:r>
              <w:t xml:space="preserve">Entry test</w:t>
            </w:r>
          </w:p>
        </w:tc>
        <w:tc>
          <w:tcPr/>
          <w:p>
            <w:pPr>
              <w:pStyle w:val="Compact"/>
              <w:jc w:val="left"/>
            </w:pPr>
            <w:r>
              <w:t xml:space="preserve">Does a rise in the count of online sellers come from first-time entry?</w:t>
            </w:r>
          </w:p>
        </w:tc>
        <w:tc>
          <w:tcPr/>
          <w:p>
            <w:pPr>
              <w:pStyle w:val="Compact"/>
              <w:jc w:val="left"/>
            </w:pPr>
            <w:r>
              <w:t xml:space="preserve">Share of 2023 sellers in BPS’s survey files who began selling online in 2023</w:t>
            </w:r>
          </w:p>
        </w:tc>
        <w:tc>
          <w:tcPr/>
          <w:p>
            <w:pPr>
              <w:pStyle w:val="Compact"/>
              <w:jc w:val="left"/>
            </w:pPr>
            <w:r>
              <w:t xml:space="preserve">Fewer new sellers than the rise requires</w:t>
            </w:r>
          </w:p>
        </w:tc>
      </w:tr>
    </w:tbl>
    <w:p>
      <w:pPr>
        <w:pStyle w:val="BodyText"/>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Growth rates never match exactly, so H1 is tested by comparison. The test compares the size of yearly changes in the take rate, measured in logs as in equation (5), between two groups. One group is the Indonesian and regional platforms. The other is listed platforms abroad, where revenue and transaction value broadly move together. Changes far larger in Indonesia would count against H1. Chapter 4 describes the two groups and the test.</w:t>
      </w:r>
    </w:p>
    <w:p>
      <w:pPr>
        <w:pStyle w:val="BodyText"/>
      </w:pPr>
      <w:r>
        <w:t xml:space="preserve">National e-commerce value can grow in two ways. Existing businesses can sell more, which is the intensive margin. More businesses can sell online, which is the extensive margin. Trade economists split a country’s exports in the same way, into more of each good and more kinds of goods (Hummels and Klenow 2005).</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in logarithms splits exactly in two:</w:t>
      </w:r>
    </w:p>
    <w:p>
      <w:pPr>
        <w:pStyle w:val="SourceCode"/>
      </w:pPr>
      <w:r>
        <w:rPr>
          <w:rStyle w:val="VerbatimChar"/>
        </w:rPr>
        <w:t xml:space="preserve">Δln Y_t = Δln N_t + Δln (Y_t / N_t)                   (7)</w:t>
      </w:r>
    </w:p>
    <w:p>
      <w:pPr>
        <w:pStyle w:val="FirstParagraph"/>
      </w:pPr>
      <w:r>
        <w:t xml:space="preserve">where the first term is the extensive margin and the second the intensive margin. H2 holds if the first term is more than half of the total.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5"/>
    <w:bookmarkStart w:id="36"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 The survey can, because it asks every seller in which year it began selling online. 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 The threshold is the smallest share of new sellers that can produce the rise. 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People tend to report past events as more recent than they were (Neter and Waksberg 1964).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Small firms that stop are more often young firms with young owners (McKenzie and Paffhausen 2019). So the age of the sellers behind the rise bears on the second reading. Chapter 5 weighs the two readings with that evidence.</w:t>
      </w:r>
    </w:p>
    <w:bookmarkEnd w:id="36"/>
    <w:bookmarkStart w:id="37"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Table 3.3 lists them.</w:t>
      </w:r>
    </w:p>
    <w:p>
      <w:pPr>
        <w:pStyle w:val="BodyText"/>
      </w:pPr>
      <w:r>
        <w:rPr>
          <w:bCs/>
          <w:b/>
        </w:rPr>
        <w:t xml:space="preserve">Table 3.3. Further analyses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What it asks</w:t>
            </w:r>
          </w:p>
        </w:tc>
        <w:tc>
          <w:tcPr/>
          <w:p>
            <w:pPr>
              <w:pStyle w:val="Compact"/>
              <w:jc w:val="left"/>
            </w:pPr>
            <w:r>
              <w:t xml:space="preserve">Main evidence</w:t>
            </w:r>
          </w:p>
        </w:tc>
      </w:tr>
      <w:tr>
        <w:tc>
          <w:tcPr/>
          <w:p>
            <w:pPr>
              <w:pStyle w:val="Compact"/>
              <w:jc w:val="left"/>
            </w:pPr>
            <w:r>
              <w:t xml:space="preserve">Tracing large movements</w:t>
            </w:r>
          </w:p>
        </w:tc>
        <w:tc>
          <w:tcPr/>
          <w:p>
            <w:pPr>
              <w:pStyle w:val="Compact"/>
              <w:jc w:val="left"/>
            </w:pPr>
            <w:r>
              <w:t xml:space="preserve">What moved revenue when it parted from transaction value?</w:t>
            </w:r>
          </w:p>
        </w:tc>
        <w:tc>
          <w:tcPr/>
          <w:p>
            <w:pPr>
              <w:pStyle w:val="Compact"/>
              <w:jc w:val="left"/>
            </w:pPr>
            <w:r>
              <w:t xml:space="preserve">Equations (5) and (6), applied to company reports</w:t>
            </w:r>
          </w:p>
        </w:tc>
      </w:tr>
      <w:tr>
        <w:tc>
          <w:tcPr/>
          <w:p>
            <w:pPr>
              <w:pStyle w:val="Compact"/>
              <w:jc w:val="left"/>
            </w:pPr>
            <w:r>
              <w:t xml:space="preserve">Market values</w:t>
            </w:r>
          </w:p>
        </w:tc>
        <w:tc>
          <w:tcPr/>
          <w:p>
            <w:pPr>
              <w:pStyle w:val="Compact"/>
              <w:jc w:val="left"/>
            </w:pPr>
            <w:r>
              <w:t xml:space="preserve">Do markets value growth from more commerce differently from growth in the take rate?</w:t>
            </w:r>
          </w:p>
        </w:tc>
        <w:tc>
          <w:tcPr/>
          <w:p>
            <w:pPr>
              <w:pStyle w:val="Compact"/>
              <w:jc w:val="left"/>
            </w:pPr>
            <w:r>
              <w:t xml:space="preserve">Year-end market values of listed platforms</w:t>
            </w:r>
          </w:p>
        </w:tc>
      </w:tr>
      <w:tr>
        <w:tc>
          <w:tcPr/>
          <w:p>
            <w:pPr>
              <w:pStyle w:val="Compact"/>
              <w:jc w:val="left"/>
            </w:pPr>
            <w:r>
              <w:t xml:space="preserve">Channels and reach</w:t>
            </w:r>
          </w:p>
        </w:tc>
        <w:tc>
          <w:tcPr/>
          <w:p>
            <w:pPr>
              <w:pStyle w:val="Compact"/>
              <w:jc w:val="left"/>
            </w:pPr>
            <w:r>
              <w:t xml:space="preserve">How much online selling passes through marketplaces, and how far can rules built on platform records reach?</w:t>
            </w:r>
          </w:p>
        </w:tc>
        <w:tc>
          <w:tcPr/>
          <w:p>
            <w:pPr>
              <w:pStyle w:val="Compact"/>
              <w:jc w:val="left"/>
            </w:pPr>
            <w:r>
              <w:t xml:space="preserve">BPS’s channel shares and survey files</w:t>
            </w:r>
          </w:p>
        </w:tc>
      </w:tr>
      <w:tr>
        <w:tc>
          <w:tcPr/>
          <w:p>
            <w:pPr>
              <w:pStyle w:val="Compact"/>
              <w:jc w:val="left"/>
            </w:pPr>
            <w:r>
              <w:t xml:space="preserve">Comparing national figures</w:t>
            </w:r>
          </w:p>
        </w:tc>
        <w:tc>
          <w:tcPr/>
          <w:p>
            <w:pPr>
              <w:pStyle w:val="Compact"/>
              <w:jc w:val="left"/>
            </w:pPr>
            <w:r>
              <w:t xml:space="preserve">Do national figures tell the same story of growth?</w:t>
            </w:r>
          </w:p>
        </w:tc>
        <w:tc>
          <w:tcPr/>
          <w:p>
            <w:pPr>
              <w:pStyle w:val="Compact"/>
              <w:jc w:val="left"/>
            </w:pPr>
            <w:r>
              <w:t xml:space="preserve">BPS, Bank Indonesia, industry estimates and household spending</w:t>
            </w:r>
          </w:p>
        </w:tc>
      </w:tr>
    </w:tbl>
    <w:p>
      <w:pPr>
        <w:pStyle w:val="BodyText"/>
      </w:pPr>
      <w:r>
        <w:t xml:space="preserve">Tracing large movements applies the split of Section 3.3. Wherever H1 finds a large change in the take rate, the thesis divides the change in revenue into its parts. It also reads the company’s reports for changes in the mix of businesses and in reporting scope.</w:t>
      </w:r>
    </w:p>
    <w:p>
      <w:pPr>
        <w:pStyle w:val="BodyText"/>
      </w:pPr>
      <w:r>
        <w:t xml:space="preserve">The market-value analysis asks whether investors, who price revenue (Section 2.1), treat its two sources alike. Equation (5) shows that revenue can grow in two ways, through more commerce or through a larger take rate. Early studies of internet companies found that markets priced measures of web activity beyond reported earnings (Trueman, Wong and Zhang 2000).</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SourceCode"/>
      </w:pPr>
      <w:r>
        <w:rPr>
          <w:rStyle w:val="VerbatimChar"/>
        </w:rPr>
        <w:t xml:space="preserve">Δln MV_it = β_V Δln V_it + β_m Δln m_it + year effect + error      (8)</w:t>
      </w:r>
    </w:p>
    <w:p>
      <w:pPr>
        <w:pStyle w:val="FirstParagraph"/>
      </w:pPr>
      <w:r>
        <w:t xml:space="preserve">where β_V shows how market value moves with transaction value, and β_m how it moves with the take rate. Two predictions were written down before the market values were collected. The first is that market value moves with transaction value, so β_V is positive. The second is that markets value growth from more commerce more than growth from a higher take rate, so β_V is larger than β_m.</w:t>
      </w:r>
    </w:p>
    <w:p>
      <w:pPr>
        <w:pStyle w:val="BodyText"/>
      </w:pPr>
      <w:r>
        <w:t xml:space="preserve">The channel analysis answers the third question of Section 2.4. A rule built on platform records reaches only the sellers whose sales pass through a platform. Research on tax shows that reports from a third party improve compliance where they exist (Kleven et al. 2011).</w:t>
      </w:r>
    </w:p>
    <w:p>
      <w:pPr>
        <w:pStyle w:val="BodyText"/>
      </w:pPr>
      <w:r>
        <w:t xml:space="preserve">The reach of a rule built on platform records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 Chapter 6 develops the reach of the rules.</w:t>
      </w:r>
    </w:p>
    <w:p>
      <w:pPr>
        <w:pStyle w:val="BodyText"/>
      </w:pPr>
      <w:r>
        <w:t xml:space="preserve">The comparison of national figures extends the outer link in Figure 3.1. Platform reports, BPS’s survey, Bank Indonesia’s statistics and industry estimates count different things. Their values change with the definition used (UNCTAD 2024).</w:t>
      </w:r>
    </w:p>
    <w:p>
      <w:pPr>
        <w:pStyle w:val="BodyText"/>
      </w:pPr>
      <w:r>
        <w:t xml:space="preserve">If two national figures move in opposite directions in the same year, the conclusion about growth depends on the figure chosen. The thesis compares their growth rates, each in its own unit, and compares levels only after reconciling what each source covers. Household spending, from the national accounts, serves as a further point of comparison. Chapter 4 describes the data and methods behind each test and analysis.</w:t>
      </w:r>
    </w:p>
    <w:bookmarkEnd w:id="37"/>
    <w:bookmarkEnd w:id="38"/>
    <w:bookmarkStart w:id="49" w:name="chapter-4.-data-and-methods"/>
    <w:p>
      <w:pPr>
        <w:pStyle w:val="Heading1"/>
      </w:pPr>
      <w:r>
        <w:t xml:space="preserve">Chapter 4. Data and Methods</w:t>
      </w:r>
    </w:p>
    <w:p>
      <w:pPr>
        <w:pStyle w:val="FirstParagraph"/>
      </w:pPr>
      <w:r>
        <w:t xml:space="preserve">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and the extraction tables keep the source file and the quoted passage beside every value. Where a platform does not report Indonesia alone, as with Shopee and Grab, the thesis states what it derives or borrows and labels it.</w:t>
      </w:r>
    </w:p>
    <w:p>
      <w:pPr>
        <w:pStyle w:val="BodyText"/>
      </w:pPr>
      <w:r>
        <w:t xml:space="preserve">The national side rests on a survey that BPS, the national statistics office, runs among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t xml:space="preserve">Setting the two sides against each other for one country is what makes the tests possible. Indonesia allows it. Five platform series report revenue and transaction value in the same year, three of them report what they pay out in incentives, and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It starts with the platforms: the data, the wedge in Indonesia, the test of H1, the tracing of large moves and market values. It then turns to the survey: H2, the entry test, and the channels and records of sellers. It ends with the comparison of national figures and with how every number is labelled and traced.</w:t>
      </w:r>
    </w:p>
    <w:bookmarkStart w:id="39"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as long as the company keeps both the definition and the mix of its businesses.</w:t>
      </w:r>
    </w:p>
    <w:p>
      <w:pPr>
        <w:pStyle w:val="BodyText"/>
      </w:pPr>
      <w:r>
        <w:t xml:space="preserve">Two groups of platforms are compared. The Indonesian and regional group has five platforms, listed in Table 4.1.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pPr>
      <w:r>
        <w:rPr>
          <w:bCs/>
          <w:b/>
        </w:rPr>
        <w:t xml:space="preserve">Table 4.1. The Indonesian and regional group of platforms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series</w:t>
            </w:r>
          </w:p>
        </w:tc>
        <w:tc>
          <w:tcPr/>
          <w:p>
            <w:pPr>
              <w:pStyle w:val="Compact"/>
              <w:jc w:val="left"/>
            </w:pPr>
            <w:r>
              <w:t xml:space="preserve">What it covers</w:t>
            </w:r>
          </w:p>
        </w:tc>
        <w:tc>
          <w:tcPr/>
          <w:p>
            <w:pPr>
              <w:pStyle w:val="Compact"/>
              <w:jc w:val="left"/>
            </w:pPr>
            <w:r>
              <w:t xml:space="preserve">Years</w:t>
            </w:r>
          </w:p>
        </w:tc>
        <w:tc>
          <w:tcPr/>
          <w:p>
            <w:pPr>
              <w:pStyle w:val="Compact"/>
              <w:jc w:val="left"/>
            </w:pPr>
            <w:r>
              <w:t xml:space="preserve">Yearly pairs</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The e-commerce segment of GoTo, an Indonesian marketplace</w:t>
            </w:r>
          </w:p>
        </w:tc>
        <w:tc>
          <w:tcPr/>
          <w:p>
            <w:pPr>
              <w:pStyle w:val="Compact"/>
              <w:jc w:val="left"/>
            </w:pPr>
            <w:r>
              <w:t xml:space="preserve">2022–2023</w:t>
            </w:r>
          </w:p>
        </w:tc>
        <w:tc>
          <w:tcPr/>
          <w:p>
            <w:pPr>
              <w:pStyle w:val="Compact"/>
              <w:jc w:val="left"/>
            </w:pPr>
            <w:r>
              <w:t xml:space="preserve">1</w:t>
            </w:r>
          </w:p>
        </w:tc>
        <w:tc>
          <w:tcPr/>
          <w:p>
            <w:pPr>
              <w:pStyle w:val="Compact"/>
              <w:jc w:val="left"/>
            </w:pPr>
            <w:r>
              <w:t xml:space="preserve">Direct segment disclosure</w:t>
            </w:r>
          </w:p>
        </w:tc>
      </w:tr>
      <w:tr>
        <w:tc>
          <w:tcPr/>
          <w:p>
            <w:pPr>
              <w:pStyle w:val="Compact"/>
              <w:jc w:val="left"/>
            </w:pPr>
            <w:r>
              <w:t xml:space="preserve">Blibli</w:t>
            </w:r>
          </w:p>
        </w:tc>
        <w:tc>
          <w:tcPr/>
          <w:p>
            <w:pPr>
              <w:pStyle w:val="Compact"/>
              <w:jc w:val="left"/>
            </w:pPr>
            <w:r>
              <w:t xml:space="preserve">Blibli’s third-party retail segment, which includes online travel</w:t>
            </w:r>
          </w:p>
        </w:tc>
        <w:tc>
          <w:tcPr/>
          <w:p>
            <w:pPr>
              <w:pStyle w:val="Compact"/>
              <w:jc w:val="left"/>
            </w:pPr>
            <w:r>
              <w:t xml:space="preserve">2021–2025</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Bukalapak</w:t>
            </w:r>
          </w:p>
        </w:tc>
        <w:tc>
          <w:tcPr/>
          <w:p>
            <w:pPr>
              <w:pStyle w:val="Compact"/>
              <w:jc w:val="left"/>
            </w:pPr>
            <w:r>
              <w:t xml:space="preserve">The whole Bukalapak group, mainly in Indonesia, including Mitra, its online-to-offline business</w:t>
            </w:r>
          </w:p>
        </w:tc>
        <w:tc>
          <w:tcPr/>
          <w:p>
            <w:pPr>
              <w:pStyle w:val="Compact"/>
              <w:jc w:val="left"/>
            </w:pPr>
            <w:r>
              <w:t xml:space="preserve">2020–2023</w:t>
            </w:r>
          </w:p>
        </w:tc>
        <w:tc>
          <w:tcPr/>
          <w:p>
            <w:pPr>
              <w:pStyle w:val="Compact"/>
              <w:jc w:val="left"/>
            </w:pPr>
            <w:r>
              <w:t xml:space="preserve">3</w:t>
            </w:r>
          </w:p>
        </w:tc>
        <w:tc>
          <w:tcPr/>
          <w:p>
            <w:pPr>
              <w:pStyle w:val="Compact"/>
              <w:jc w:val="left"/>
            </w:pPr>
            <w:r>
              <w:t xml:space="preserve">Direct company disclosure</w:t>
            </w:r>
          </w:p>
        </w:tc>
      </w:tr>
      <w:tr>
        <w:tc>
          <w:tcPr/>
          <w:p>
            <w:pPr>
              <w:pStyle w:val="Compact"/>
              <w:jc w:val="left"/>
            </w:pPr>
            <w:r>
              <w:t xml:space="preserve">Grab on-demand</w:t>
            </w:r>
          </w:p>
        </w:tc>
        <w:tc>
          <w:tcPr/>
          <w:p>
            <w:pPr>
              <w:pStyle w:val="Compact"/>
              <w:jc w:val="left"/>
            </w:pPr>
            <w:r>
              <w:t xml:space="preserve">Grab’s rides and deliveries across Southeast Asia, not Indonesia alone</w:t>
            </w:r>
          </w:p>
        </w:tc>
        <w:tc>
          <w:tcPr/>
          <w:p>
            <w:pPr>
              <w:pStyle w:val="Compact"/>
              <w:jc w:val="left"/>
            </w:pPr>
            <w:r>
              <w:t xml:space="preserve">2020–2024</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GoTo on-demand</w:t>
            </w:r>
          </w:p>
        </w:tc>
        <w:tc>
          <w:tcPr/>
          <w:p>
            <w:pPr>
              <w:pStyle w:val="Compact"/>
              <w:jc w:val="left"/>
            </w:pPr>
            <w:r>
              <w:t xml:space="preserve">GoTo’s rides and deliveries segment, in Indonesia and Vietnam to 2024</w:t>
            </w:r>
          </w:p>
        </w:tc>
        <w:tc>
          <w:tcPr/>
          <w:p>
            <w:pPr>
              <w:pStyle w:val="Compact"/>
              <w:jc w:val="left"/>
            </w:pPr>
            <w:r>
              <w:t xml:space="preserve">2022–2025</w:t>
            </w:r>
          </w:p>
        </w:tc>
        <w:tc>
          <w:tcPr/>
          <w:p>
            <w:pPr>
              <w:pStyle w:val="Compact"/>
              <w:jc w:val="left"/>
            </w:pPr>
            <w:r>
              <w:t xml:space="preserve">3</w:t>
            </w:r>
          </w:p>
        </w:tc>
        <w:tc>
          <w:tcPr/>
          <w:p>
            <w:pPr>
              <w:pStyle w:val="Compact"/>
              <w:jc w:val="left"/>
            </w:pPr>
            <w:r>
              <w:t xml:space="preserve">Direct segment disclosure; the 2022 transaction value is an estimate</w:t>
            </w:r>
          </w:p>
        </w:tc>
      </w:tr>
    </w:tbl>
    <w:p>
      <w:pPr>
        <w:pStyle w:val="BodyText"/>
      </w:pPr>
      <w:r>
        <w:t xml:space="preserve">Table 4.1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B repeats the test without it. One added pair, Ozon from 2021 to 2022, ends in a kept year but starts in a dropped one. Appendix B repeats the test without Ozon as well. The result is 15 pairs for the Indonesian and regional group and 158 for the foreign group.</w:t>
      </w:r>
    </w:p>
    <w:bookmarkEnd w:id="39"/>
    <w:bookmarkStart w:id="40"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0"/>
    <w:bookmarkStart w:id="41" w:name="testing-h1"/>
    <w:p>
      <w:pPr>
        <w:pStyle w:val="Heading2"/>
      </w:pPr>
      <w:r>
        <w:t xml:space="preserve">4.3 Testing H1</w:t>
      </w:r>
    </w:p>
    <w:p>
      <w:pPr>
        <w:pStyle w:val="FirstParagraph"/>
      </w:pPr>
      <w:r>
        <w:t xml:space="preserve">The test of H1 asks how far each platform’s take rate moves from one year to the next. For each pair of years it takes the change in the logarithm of the take rate, the take-rate term of equation (5). This change is growth divergence measured in logs, and it does not depend on how fast transaction value grew. Tokopedia’s log change in 2023 is 0.52, which is a rise by a factor of 1.68, or 68 percent.</w:t>
      </w:r>
    </w:p>
    <w:p>
      <w:pPr>
        <w:pStyle w:val="BodyText"/>
      </w:pPr>
      <w:r>
        <w:t xml:space="preserve">A move in either direction counts against H1, so the test uses the size of each yearly change in the take rate. 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B lists the checks on this test. They drop each platform in turn and treat Tokopedia and GoTo as one company. They repeat the test with growth divergence in points as Chapter 3 defines it. They compare the change in the take rate in percentage points, to see whether a thin take rate explains the result. They narrow the test to the three marketplaces, correlate revenue growth with transaction value growth, and repeat the test with quarterly pairs.</w:t>
      </w:r>
    </w:p>
    <w:bookmarkEnd w:id="41"/>
    <w:bookmarkStart w:id="42" w:name="tracing-the-moves"/>
    <w:p>
      <w:pPr>
        <w:pStyle w:val="Heading2"/>
      </w:pPr>
      <w:r>
        <w:t xml:space="preserve">4.4 Tracing the moves</w:t>
      </w:r>
    </w:p>
    <w:p>
      <w:pPr>
        <w:pStyle w:val="FirstParagraph"/>
      </w:pPr>
      <w:r>
        <w:t xml:space="preserve">The second objective, to reconcile large movements in revenue with disclosed changes in fees, discounts and scope, is answered in two steps. The first divides each movement into volume and take rate with equation (5). The take-rate share is the size of the take-rate change divided by the sum of the sizes of both changes. The same split is made for the wedge.</w:t>
      </w:r>
    </w:p>
    <w:p>
      <w:pPr>
        <w:pStyle w:val="BodyText"/>
      </w:pPr>
      <w:r>
        <w:t xml:space="preserve">The second step splits the take-rate change with equation (6). Wherever a company discloses both its gross fees and its incentives, the thesis splits the growth of revenue over a window into three parts: more commerce, a change in the fee rate and a change in the incentive rate.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w:t>
      </w:r>
    </w:p>
    <w:p>
      <w:pPr>
        <w:pStyle w:val="BodyText"/>
      </w:pPr>
      <w:r>
        <w:t xml:space="preserve">Grab is read from its annual filings and GoTo from its audited statements. Blibli does not report incentives, so its split rests on a proxy built from its releases. Seven windows are traced, and Appendix A lists them. The thesis also records where accounting treatment or reporting scope matters, such as the deduction of incentives from revenue and the travel business inside Blibli’s retail segment. Company explanations are read as reports and are not tested.</w:t>
      </w:r>
    </w:p>
    <w:bookmarkEnd w:id="42"/>
    <w:bookmarkStart w:id="43" w:name="market-values"/>
    <w:p>
      <w:pPr>
        <w:pStyle w:val="Heading2"/>
      </w:pPr>
      <w:r>
        <w:t xml:space="preserve">4.5 Market values</w:t>
      </w:r>
    </w:p>
    <w:p>
      <w:pPr>
        <w:pStyle w:val="FirstParagraph"/>
      </w:pPr>
      <w:r>
        <w:t xml:space="preserve">The market-value analysis of Section 3.6 uses year-end market values from the financial data service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(8)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The result is an association, and market value also changes when a company issues shares, so the thesis does not call it a stock return. A second run adds three segment series and three more whole companies as a robustness check.</w:t>
      </w:r>
    </w:p>
    <w:bookmarkEnd w:id="43"/>
    <w:bookmarkStart w:id="44"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(7). BPS prints two counts of businesses for 2023, so the thesis computes the split with both and reports both.</w:t>
      </w:r>
    </w:p>
    <w:p>
      <w:pPr>
        <w:pStyle w:val="BodyText"/>
      </w:pPr>
      <w:r>
        <w:t xml:space="preserve">The published figures cannot tell a new seller from one counted for the first time, but the survey files can. Table 4.2 lists them. 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p>
      <w:pPr>
        <w:pStyle w:val="BodyText"/>
      </w:pPr>
      <w:r>
        <w:rPr>
          <w:bCs/>
          <w:b/>
        </w:rPr>
        <w:t xml:space="preserve">Table 4.2. The three BPS survey files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Survey round</w:t>
            </w:r>
          </w:p>
        </w:tc>
        <w:tc>
          <w:tcPr/>
          <w:p>
            <w:pPr>
              <w:pStyle w:val="Compact"/>
              <w:jc w:val="left"/>
            </w:pPr>
            <w:r>
              <w:t xml:space="preserve">Activity year</w:t>
            </w:r>
          </w:p>
        </w:tc>
        <w:tc>
          <w:tcPr/>
          <w:p>
            <w:pPr>
              <w:pStyle w:val="Compact"/>
              <w:jc w:val="left"/>
            </w:pPr>
            <w:r>
              <w:t xml:space="preserve">Rows</w:t>
            </w:r>
          </w:p>
        </w:tc>
        <w:tc>
          <w:tcPr/>
          <w:p>
            <w:pPr>
              <w:pStyle w:val="Compact"/>
              <w:jc w:val="left"/>
            </w:pPr>
            <w:r>
              <w:t xml:space="preserve">Weighted total</w:t>
            </w:r>
          </w:p>
        </w:tc>
        <w:tc>
          <w:tcPr/>
          <w:p>
            <w:pPr>
              <w:pStyle w:val="Compact"/>
              <w:jc w:val="left"/>
            </w:pPr>
            <w:r>
              <w:t xml:space="preserve">BPS count</w:t>
            </w:r>
          </w:p>
        </w:tc>
      </w:tr>
      <w:tr>
        <w:tc>
          <w:tcPr/>
          <w:p>
            <w:pPr>
              <w:pStyle w:val="Compact"/>
              <w:jc w:val="left"/>
            </w:pPr>
            <w:r>
              <w:t xml:space="preserve">E-Commerce 2021</w:t>
            </w:r>
          </w:p>
        </w:tc>
        <w:tc>
          <w:tcPr/>
          <w:p>
            <w:pPr>
              <w:pStyle w:val="Compact"/>
              <w:jc w:val="left"/>
            </w:pPr>
            <w:r>
              <w:t xml:space="preserve">2020</w:t>
            </w:r>
          </w:p>
        </w:tc>
        <w:tc>
          <w:tcPr/>
          <w:p>
            <w:pPr>
              <w:pStyle w:val="Compact"/>
              <w:jc w:val="left"/>
            </w:pPr>
            <w:r>
              <w:t xml:space="preserve">11,848</w:t>
            </w:r>
          </w:p>
        </w:tc>
        <w:tc>
          <w:tcPr/>
          <w:p>
            <w:pPr>
              <w:pStyle w:val="Compact"/>
              <w:jc w:val="left"/>
            </w:pPr>
            <w:r>
              <w:t xml:space="preserve">2,361,423</w:t>
            </w:r>
          </w:p>
        </w:tc>
        <w:tc>
          <w:tcPr/>
          <w:p>
            <w:pPr>
              <w:pStyle w:val="Compact"/>
              <w:jc w:val="left"/>
            </w:pPr>
            <w:r>
              <w:t xml:space="preserve">2,361,423</w:t>
            </w:r>
          </w:p>
        </w:tc>
      </w:tr>
      <w:tr>
        <w:tc>
          <w:tcPr/>
          <w:p>
            <w:pPr>
              <w:pStyle w:val="Compact"/>
              <w:jc w:val="left"/>
            </w:pPr>
            <w:r>
              <w:t xml:space="preserve">E-Commerce 2023</w:t>
            </w:r>
          </w:p>
        </w:tc>
        <w:tc>
          <w:tcPr/>
          <w:p>
            <w:pPr>
              <w:pStyle w:val="Compact"/>
              <w:jc w:val="left"/>
            </w:pPr>
            <w:r>
              <w:t xml:space="preserve">2022</w:t>
            </w:r>
          </w:p>
        </w:tc>
        <w:tc>
          <w:tcPr/>
          <w:p>
            <w:pPr>
              <w:pStyle w:val="Compact"/>
              <w:jc w:val="left"/>
            </w:pPr>
            <w:r>
              <w:t xml:space="preserve">31,724</w:t>
            </w:r>
          </w:p>
        </w:tc>
        <w:tc>
          <w:tcPr/>
          <w:p>
            <w:pPr>
              <w:pStyle w:val="Compact"/>
              <w:jc w:val="left"/>
            </w:pPr>
            <w:r>
              <w:t xml:space="preserve">2,995,986</w:t>
            </w:r>
          </w:p>
        </w:tc>
        <w:tc>
          <w:tcPr/>
          <w:p>
            <w:pPr>
              <w:pStyle w:val="Compact"/>
              <w:jc w:val="left"/>
            </w:pPr>
            <w:r>
              <w:t xml:space="preserve">2,995,879*</w:t>
            </w:r>
          </w:p>
        </w:tc>
      </w:tr>
      <w:tr>
        <w:tc>
          <w:tcPr/>
          <w:p>
            <w:pPr>
              <w:pStyle w:val="Compact"/>
              <w:jc w:val="left"/>
            </w:pPr>
            <w:r>
              <w:t xml:space="preserve">E-Commerce 2024</w:t>
            </w:r>
          </w:p>
        </w:tc>
        <w:tc>
          <w:tcPr/>
          <w:p>
            <w:pPr>
              <w:pStyle w:val="Compact"/>
              <w:jc w:val="left"/>
            </w:pPr>
            <w:r>
              <w:t xml:space="preserve">2023</w:t>
            </w:r>
          </w:p>
        </w:tc>
        <w:tc>
          <w:tcPr/>
          <w:p>
            <w:pPr>
              <w:pStyle w:val="Compact"/>
              <w:jc w:val="left"/>
            </w:pPr>
            <w:r>
              <w:t xml:space="preserve">39,736</w:t>
            </w:r>
          </w:p>
        </w:tc>
        <w:tc>
          <w:tcPr/>
          <w:p>
            <w:pPr>
              <w:pStyle w:val="Compact"/>
              <w:jc w:val="left"/>
            </w:pPr>
            <w:r>
              <w:t xml:space="preserve">3,814,799</w:t>
            </w:r>
          </w:p>
        </w:tc>
        <w:tc>
          <w:tcPr/>
          <w:p>
            <w:pPr>
              <w:pStyle w:val="Compact"/>
              <w:jc w:val="left"/>
            </w:pPr>
            <w:r>
              <w:t xml:space="preserve">3,816,750</w:t>
            </w:r>
          </w:p>
        </w:tc>
      </w:tr>
    </w:tbl>
    <w:p>
      <w:pPr>
        <w:pStyle w:val="BodyText"/>
      </w:pPr>
      <w:r>
        <w:t xml:space="preserve">*Implied by the published count for 2023 and its published growth of 27.4 percent.</w:t>
      </w:r>
    </w:p>
    <w:bookmarkEnd w:id="44"/>
    <w:bookmarkStart w:id="45"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They look across provinces and channels, using rank correlations, and at sellers’ own reports of their sales. They use the sampling error that BPS publishes. They profile who the extra sellers are, with each group’s count in 2023 compared with what its own yearly change in 2020 to 2022 would give. They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5"/>
    <w:bookmarkStart w:id="46"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rests on revenue brackets, which only the 2021 and 2023 files give. The thesis assigns each bracket a low, a middle and a high amount. The amounts were fixed before the file was opened. A validation rule applies: the middle scenario’s 2022 total must lie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 Chapter 6 also sets each recent rule against the part of the figures it acts on. The thesis reads each legal text where it is published, and it labels each rule by the status of its text: primary text read, announced, or reported in the news only.</w:t>
      </w:r>
    </w:p>
    <w:bookmarkEnd w:id="46"/>
    <w:bookmarkStart w:id="47"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Table 4.3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p>
      <w:pPr>
        <w:pStyle w:val="BodyText"/>
      </w:pPr>
      <w:r>
        <w:rPr>
          <w:bCs/>
          <w:b/>
        </w:rPr>
        <w:t xml:space="preserve">Table 4.3. Sources compared in Objective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covers</w:t>
            </w:r>
          </w:p>
        </w:tc>
        <w:tc>
          <w:tcPr/>
          <w:p>
            <w:pPr>
              <w:pStyle w:val="Compact"/>
              <w:jc w:val="left"/>
            </w:pPr>
            <w:r>
              <w:t xml:space="preserve">How it counts</w:t>
            </w:r>
          </w:p>
        </w:tc>
      </w:tr>
      <w:tr>
        <w:tc>
          <w:tcPr/>
          <w:p>
            <w:pPr>
              <w:pStyle w:val="Compact"/>
              <w:jc w:val="left"/>
            </w:pPr>
            <w:r>
              <w:t xml:space="preserve">Platform reports</w:t>
            </w:r>
          </w:p>
        </w:tc>
        <w:tc>
          <w:tcPr/>
          <w:p>
            <w:pPr>
              <w:pStyle w:val="Compact"/>
              <w:jc w:val="left"/>
            </w:pPr>
            <w:r>
              <w:t xml:space="preserve">Everything bought through one platform</w:t>
            </w:r>
          </w:p>
        </w:tc>
        <w:tc>
          <w:tcPr/>
          <w:p>
            <w:pPr>
              <w:pStyle w:val="Compact"/>
              <w:jc w:val="left"/>
            </w:pPr>
            <w:r>
              <w:t xml:space="preserve">The platform’s own records</w:t>
            </w:r>
          </w:p>
        </w:tc>
      </w:tr>
      <w:tr>
        <w:tc>
          <w:tcPr/>
          <w:p>
            <w:pPr>
              <w:pStyle w:val="Compact"/>
              <w:jc w:val="left"/>
            </w:pPr>
            <w:r>
              <w:t xml:space="preserve">BPS online-seller survey</w:t>
            </w:r>
          </w:p>
        </w:tc>
        <w:tc>
          <w:tcPr/>
          <w:p>
            <w:pPr>
              <w:pStyle w:val="Compact"/>
              <w:jc w:val="left"/>
            </w:pPr>
            <w:r>
              <w:t xml:space="preserve">Every business that sold online, including chat and social media</w:t>
            </w:r>
          </w:p>
        </w:tc>
        <w:tc>
          <w:tcPr/>
          <w:p>
            <w:pPr>
              <w:pStyle w:val="Compact"/>
              <w:jc w:val="left"/>
            </w:pPr>
            <w:r>
              <w:t xml:space="preserve">Listing in sampled areas, scaled up by survey weights</w:t>
            </w:r>
          </w:p>
        </w:tc>
      </w:tr>
      <w:tr>
        <w:tc>
          <w:tcPr/>
          <w:p>
            <w:pPr>
              <w:pStyle w:val="Compact"/>
              <w:jc w:val="left"/>
            </w:pPr>
            <w:r>
              <w:t xml:space="preserve">Bank Indonesia e-commerce statistics</w:t>
            </w:r>
          </w:p>
        </w:tc>
        <w:tc>
          <w:tcPr/>
          <w:p>
            <w:pPr>
              <w:pStyle w:val="Compact"/>
              <w:jc w:val="left"/>
            </w:pPr>
            <w:r>
              <w:t xml:space="preserve">Transactions of large e-commerce firms (Bank Indonesia 2025)</w:t>
            </w:r>
          </w:p>
        </w:tc>
        <w:tc>
          <w:tcPr/>
          <w:p>
            <w:pPr>
              <w:pStyle w:val="Compact"/>
              <w:jc w:val="left"/>
            </w:pPr>
            <w:r>
              <w:t xml:space="preserve">Data sent to the central bank; the method is not public</w:t>
            </w:r>
          </w:p>
        </w:tc>
      </w:tr>
      <w:tr>
        <w:tc>
          <w:tcPr/>
          <w:p>
            <w:pPr>
              <w:pStyle w:val="Compact"/>
              <w:jc w:val="left"/>
            </w:pPr>
            <w:r>
              <w:t xml:space="preserve">Industry estimates</w:t>
            </w:r>
          </w:p>
        </w:tc>
        <w:tc>
          <w:tcPr/>
          <w:p>
            <w:pPr>
              <w:pStyle w:val="Compact"/>
              <w:jc w:val="left"/>
            </w:pPr>
            <w:r>
              <w:t xml:space="preserve">Shopping marketplaces in Indonesia or Southeast Asia, from the research firm Momentum Works (2024) and the e-Conomy report (Google, Temasek and Bain 2024)</w:t>
            </w:r>
          </w:p>
        </w:tc>
        <w:tc>
          <w:tcPr/>
          <w:p>
            <w:pPr>
              <w:pStyle w:val="Compact"/>
              <w:jc w:val="left"/>
            </w:pPr>
            <w:r>
              <w:t xml:space="preserve">Outside estimates</w:t>
            </w:r>
          </w:p>
        </w:tc>
      </w:tr>
      <w:tr>
        <w:tc>
          <w:tcPr/>
          <w:p>
            <w:pPr>
              <w:pStyle w:val="Compact"/>
              <w:jc w:val="left"/>
            </w:pPr>
            <w:r>
              <w:t xml:space="preserve">Household spending</w:t>
            </w:r>
          </w:p>
        </w:tc>
        <w:tc>
          <w:tcPr/>
          <w:p>
            <w:pPr>
              <w:pStyle w:val="Compact"/>
              <w:jc w:val="left"/>
            </w:pPr>
            <w:r>
              <w:t xml:space="preserve">All household purchases</w:t>
            </w:r>
          </w:p>
        </w:tc>
        <w:tc>
          <w:tcPr/>
          <w:p>
            <w:pPr>
              <w:pStyle w:val="Compact"/>
              <w:jc w:val="left"/>
            </w:pPr>
            <w:r>
              <w:t xml:space="preserve">BPS national accounts</w:t>
            </w:r>
          </w:p>
        </w:tc>
      </w:tr>
      <w:tr>
        <w:tc>
          <w:tcPr/>
          <w:p>
            <w:pPr>
              <w:pStyle w:val="Compact"/>
              <w:jc w:val="left"/>
            </w:pPr>
            <w:r>
              <w:t xml:space="preserve">Payment figures</w:t>
            </w:r>
          </w:p>
        </w:tc>
        <w:tc>
          <w:tcPr/>
          <w:p>
            <w:pPr>
              <w:pStyle w:val="Compact"/>
              <w:jc w:val="left"/>
            </w:pPr>
            <w:r>
              <w:t xml:space="preserve">Payments made through systems such as QRIS, the national QR-code system</w:t>
            </w:r>
          </w:p>
        </w:tc>
        <w:tc>
          <w:tcPr/>
          <w:p>
            <w:pPr>
              <w:pStyle w:val="Compact"/>
              <w:jc w:val="left"/>
            </w:pPr>
            <w:r>
              <w:t xml:space="preserve">Payment records, in person and online</w:t>
            </w:r>
          </w:p>
        </w:tc>
      </w:tr>
      <w:tr>
        <w:tc>
          <w:tcPr/>
          <w:p>
            <w:pPr>
              <w:pStyle w:val="Compact"/>
              <w:jc w:val="left"/>
            </w:pPr>
            <w:r>
              <w:t xml:space="preserve">Adjacent figures</w:t>
            </w:r>
          </w:p>
        </w:tc>
        <w:tc>
          <w:tcPr/>
          <w:p>
            <w:pPr>
              <w:pStyle w:val="Compact"/>
              <w:jc w:val="left"/>
            </w:pPr>
            <w:r>
              <w:t xml:space="preserve">Parcels shipped in Southeast Asia, the value-added tax collected on foreign digital services (Directorate General of Taxes n.d.), and the number of merchants a company reports</w:t>
            </w:r>
          </w:p>
        </w:tc>
        <w:tc>
          <w:tcPr/>
          <w:p>
            <w:pPr>
              <w:pStyle w:val="Compact"/>
              <w:jc w:val="left"/>
            </w:pPr>
            <w:r>
              <w:t xml:space="preserve">Used as context only, since none measures Indonesian e-commerce</w:t>
            </w:r>
          </w:p>
        </w:tc>
      </w:tr>
    </w:tbl>
    <w:bookmarkEnd w:id="47"/>
    <w:bookmarkStart w:id="48"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272 automatic checks confirm that each recorded result still matches its table.</w:t>
      </w:r>
    </w:p>
    <w:p>
      <w:pPr>
        <w:pStyle w:val="BodyText"/>
      </w:pPr>
      <w: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C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pPr>
      <w:r>
        <w:t xml:space="preserve">Three sources are licensed and are not in the repository: the BPS survey files, the LSEG market values and the World Bank survey files. The repository records the size and checksum of each BPS and LSEG file and of the World Bank cross-country query, so anyone who obtains the same files can check them. It holds the code that reads them and the national totals that the code produces, and no business-level record. BPS is cited as the source of every survey figure, in line with the data-use agreement. Chapter 7 states what these data cannot show.</w:t>
      </w:r>
    </w:p>
    <w:bookmarkEnd w:id="48"/>
    <w:bookmarkEnd w:id="49"/>
    <w:bookmarkStart w:id="75" w:name="chapter-5.-results"/>
    <w:p>
      <w:pPr>
        <w:pStyle w:val="Heading1"/>
      </w:pPr>
      <w:r>
        <w:t xml:space="preserve">Chapter 5. Results</w:t>
      </w:r>
    </w:p>
    <w:p>
      <w:pPr>
        <w:pStyle w:val="FirstParagraph"/>
      </w:pPr>
      <w:r>
        <w:t xml:space="preserve">The results follow the two links of Figure 3.1.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did not come from sellers entering for the first time (Sections 5.5 to 5.10).</w:t>
      </w:r>
    </w:p>
    <w:p>
      <w:pPr>
        <w:pStyle w:val="BodyText"/>
      </w:pPr>
      <w:r>
        <w:t xml:space="preserve">Every result in this chapter carries one of the three labels of Section 4.10: registered, exploratory or descriptive. A result given without a label is descriptive. Table 5.1 gives each main result with its label, the checks behind it and the section that reports it.</w:t>
      </w:r>
    </w:p>
    <w:p>
      <w:pPr>
        <w:pStyle w:val="BodyText"/>
      </w:pPr>
      <w:r>
        <w:rPr>
          <w:bCs/>
          <w:b/>
        </w:rPr>
        <w:t xml:space="preserve">Table 5.1. Main results and the evidence behind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Result</w:t>
            </w:r>
          </w:p>
        </w:tc>
        <w:tc>
          <w:tcPr/>
          <w:p>
            <w:pPr>
              <w:pStyle w:val="Compact"/>
              <w:jc w:val="left"/>
            </w:pPr>
            <w:r>
              <w:t xml:space="preserve">Label</w:t>
            </w:r>
          </w:p>
        </w:tc>
        <w:tc>
          <w:tcPr/>
          <w:p>
            <w:pPr>
              <w:pStyle w:val="Compact"/>
              <w:jc w:val="left"/>
            </w:pPr>
            <w:r>
              <w:t xml:space="preserve">Main checks</w:t>
            </w:r>
          </w:p>
        </w:tc>
        <w:tc>
          <w:tcPr/>
          <w:p>
            <w:pPr>
              <w:pStyle w:val="Compact"/>
              <w:jc w:val="left"/>
            </w:pPr>
            <w:r>
              <w:t xml:space="preserve">Section</w:t>
            </w:r>
          </w:p>
        </w:tc>
      </w:tr>
      <w:tr>
        <w:tc>
          <w:tcPr/>
          <w:p>
            <w:pPr>
              <w:pStyle w:val="Compact"/>
              <w:jc w:val="left"/>
            </w:pPr>
            <w:r>
              <w:rPr>
                <w:iCs/>
                <w:i/>
              </w:rPr>
              <w:t xml:space="preserve">Inner link: revenue and platform commerce</w:t>
            </w:r>
          </w:p>
        </w:tc>
        <w:tc>
          <w:tcPr/>
          <w:p>
            <w:pPr>
              <w:pStyle w:val="Compact"/>
            </w:pPr>
          </w:p>
        </w:tc>
        <w:tc>
          <w:tcPr/>
          <w:p>
            <w:pPr>
              <w:pStyle w:val="Compact"/>
            </w:pPr>
          </w:p>
        </w:tc>
        <w:tc>
          <w:tcPr/>
          <w:p>
            <w:pPr>
              <w:pStyle w:val="Compact"/>
            </w:pPr>
          </w:p>
        </w:tc>
      </w:tr>
      <w:tr>
        <w:tc>
          <w:tcPr/>
          <w:p>
            <w:pPr>
              <w:pStyle w:val="Compact"/>
              <w:jc w:val="left"/>
            </w:pPr>
            <w:r>
              <w:t xml:space="preserve">Revenue was about 7 percent of what three major platforms carried in 2023; the wedge was about US$40 billion</w:t>
            </w:r>
          </w:p>
        </w:tc>
        <w:tc>
          <w:tcPr/>
          <w:p>
            <w:pPr>
              <w:pStyle w:val="Compact"/>
              <w:jc w:val="left"/>
            </w:pPr>
            <w:r>
              <w:t xml:space="preserve">Descriptive</w:t>
            </w:r>
          </w:p>
        </w:tc>
        <w:tc>
          <w:tcPr/>
          <w:p>
            <w:pPr>
              <w:pStyle w:val="Compact"/>
              <w:jc w:val="left"/>
            </w:pPr>
            <w:r>
              <w:t xml:space="preserve">Shopee’s take rate varied; each platform dropped in turn</w:t>
            </w:r>
          </w:p>
        </w:tc>
        <w:tc>
          <w:tcPr/>
          <w:p>
            <w:pPr>
              <w:pStyle w:val="Compact"/>
              <w:jc w:val="left"/>
            </w:pPr>
            <w:r>
              <w:t xml:space="preserve">5.1</w:t>
            </w:r>
          </w:p>
        </w:tc>
      </w:tr>
      <w:tr>
        <w:tc>
          <w:tcPr/>
          <w:p>
            <w:pPr>
              <w:pStyle w:val="Compact"/>
              <w:jc w:val="left"/>
            </w:pPr>
            <w:r>
              <w:t xml:space="preserve">Take rates moved about three times as much in Indonesia and the region as abroad, so H1 is rejected</w:t>
            </w:r>
          </w:p>
        </w:tc>
        <w:tc>
          <w:tcPr/>
          <w:p>
            <w:pPr>
              <w:pStyle w:val="Compact"/>
              <w:jc w:val="left"/>
            </w:pPr>
            <w:r>
              <w:t xml:space="preserve">Exploratory; the narrower test planned in advance points the same way</w:t>
            </w:r>
          </w:p>
        </w:tc>
        <w:tc>
          <w:tcPr/>
          <w:p>
            <w:pPr>
              <w:pStyle w:val="Compact"/>
              <w:jc w:val="left"/>
            </w:pPr>
            <w:r>
              <w:t xml:space="preserve">Each platform dropped in turn; Ozon and Zalando dropped; change measured in points; quarterly pairs do not reject</w:t>
            </w:r>
          </w:p>
        </w:tc>
        <w:tc>
          <w:tcPr/>
          <w:p>
            <w:pPr>
              <w:pStyle w:val="Compact"/>
              <w:jc w:val="left"/>
            </w:pPr>
            <w:r>
              <w:t xml:space="preserve">5.2</w:t>
            </w:r>
          </w:p>
        </w:tc>
      </w:tr>
      <w:tr>
        <w:tc>
          <w:tcPr/>
          <w:p>
            <w:pPr>
              <w:pStyle w:val="Compact"/>
              <w:jc w:val="left"/>
            </w:pPr>
            <w:r>
              <w:t xml:space="preserve">The thin take rate of Indonesian and regional platforms explains much of that difference</w:t>
            </w:r>
          </w:p>
        </w:tc>
        <w:tc>
          <w:tcPr/>
          <w:p>
            <w:pPr>
              <w:pStyle w:val="Compact"/>
              <w:jc w:val="left"/>
            </w:pPr>
            <w:r>
              <w:t xml:space="preserve">Exploratory</w:t>
            </w:r>
          </w:p>
        </w:tc>
        <w:tc>
          <w:tcPr/>
          <w:p>
            <w:pPr>
              <w:pStyle w:val="Compact"/>
              <w:jc w:val="left"/>
            </w:pPr>
            <w:r>
              <w:t xml:space="preserve">Changes in percentage points compared across groups</w:t>
            </w:r>
          </w:p>
        </w:tc>
        <w:tc>
          <w:tcPr/>
          <w:p>
            <w:pPr>
              <w:pStyle w:val="Compact"/>
              <w:jc w:val="left"/>
            </w:pPr>
            <w:r>
              <w:t xml:space="preserve">5.2</w:t>
            </w:r>
          </w:p>
        </w:tc>
      </w:tr>
      <w:tr>
        <w:tc>
          <w:tcPr/>
          <w:p>
            <w:pPr>
              <w:pStyle w:val="Compact"/>
              <w:jc w:val="left"/>
            </w:pPr>
            <w:r>
              <w:t xml:space="preserve">Pricing, not more commerce, moved revenue</w:t>
            </w:r>
          </w:p>
        </w:tc>
        <w:tc>
          <w:tcPr/>
          <w:p>
            <w:pPr>
              <w:pStyle w:val="Compact"/>
              <w:jc w:val="left"/>
            </w:pPr>
            <w:r>
              <w:t xml:space="preserve">Descriptive</w:t>
            </w:r>
          </w:p>
        </w:tc>
        <w:tc>
          <w:tcPr/>
          <w:p>
            <w:pPr>
              <w:pStyle w:val="Compact"/>
              <w:jc w:val="left"/>
            </w:pPr>
            <w:r>
              <w:t xml:space="preserve">All 15 pairs against 158 abroad; seven traced windows; two views of Tokopedia</w:t>
            </w:r>
          </w:p>
        </w:tc>
        <w:tc>
          <w:tcPr/>
          <w:p>
            <w:pPr>
              <w:pStyle w:val="Compact"/>
              <w:jc w:val="left"/>
            </w:pPr>
            <w:r>
              <w:t xml:space="preserve">5.3</w:t>
            </w:r>
          </w:p>
        </w:tc>
      </w:tr>
      <w:tr>
        <w:tc>
          <w:tcPr/>
          <w:p>
            <w:pPr>
              <w:pStyle w:val="Compact"/>
              <w:jc w:val="left"/>
            </w:pPr>
            <w:r>
              <w:t xml:space="preserve">Market value moves with transaction value</w:t>
            </w:r>
          </w:p>
        </w:tc>
        <w:tc>
          <w:tcPr/>
          <w:p>
            <w:pPr>
              <w:pStyle w:val="Compact"/>
              <w:jc w:val="left"/>
            </w:pPr>
            <w:r>
              <w:t xml:space="preserve">Registered; holds</w:t>
            </w:r>
          </w:p>
        </w:tc>
        <w:tc>
          <w:tcPr/>
          <w:p>
            <w:pPr>
              <w:pStyle w:val="Compact"/>
              <w:jc w:val="left"/>
            </w:pPr>
            <w:r>
              <w:t xml:space="preserve">Extreme values trimmed; a second run</w:t>
            </w:r>
          </w:p>
        </w:tc>
        <w:tc>
          <w:tcPr/>
          <w:p>
            <w:pPr>
              <w:pStyle w:val="Compact"/>
              <w:jc w:val="left"/>
            </w:pPr>
            <w:r>
              <w:t xml:space="preserve">5.4</w:t>
            </w:r>
          </w:p>
        </w:tc>
      </w:tr>
      <w:tr>
        <w:tc>
          <w:tcPr/>
          <w:p>
            <w:pPr>
              <w:pStyle w:val="Compact"/>
              <w:jc w:val="left"/>
            </w:pPr>
            <w:r>
              <w:t xml:space="preserve">Markets value growth from a higher take rate less</w:t>
            </w:r>
          </w:p>
        </w:tc>
        <w:tc>
          <w:tcPr/>
          <w:p>
            <w:pPr>
              <w:pStyle w:val="Compact"/>
              <w:jc w:val="left"/>
            </w:pPr>
            <w:r>
              <w:t xml:space="preserve">Registered; does not hold in the main sample</w:t>
            </w:r>
          </w:p>
        </w:tc>
        <w:tc>
          <w:tcPr/>
          <w:p>
            <w:pPr>
              <w:pStyle w:val="Compact"/>
              <w:jc w:val="left"/>
            </w:pPr>
            <w:r>
              <w:t xml:space="preserve">Holds only in a second run that mixes segment figures</w:t>
            </w:r>
          </w:p>
        </w:tc>
        <w:tc>
          <w:tcPr/>
          <w:p>
            <w:pPr>
              <w:pStyle w:val="Compact"/>
              <w:jc w:val="left"/>
            </w:pPr>
            <w:r>
              <w:t xml:space="preserve">5.4</w:t>
            </w:r>
          </w:p>
        </w:tc>
      </w:tr>
      <w:tr>
        <w:tc>
          <w:tcPr/>
          <w:p>
            <w:pPr>
              <w:pStyle w:val="Compact"/>
              <w:jc w:val="left"/>
            </w:pPr>
            <w:r>
              <w:rPr>
                <w:iCs/>
                <w:i/>
              </w:rPr>
              <w:t xml:space="preserve">Outer link: platform commerce and all online commerce</w:t>
            </w:r>
          </w:p>
        </w:tc>
        <w:tc>
          <w:tcPr/>
          <w:p>
            <w:pPr>
              <w:pStyle w:val="Compact"/>
            </w:pPr>
          </w:p>
        </w:tc>
        <w:tc>
          <w:tcPr/>
          <w:p>
            <w:pPr>
              <w:pStyle w:val="Compact"/>
            </w:pPr>
          </w:p>
        </w:tc>
        <w:tc>
          <w:tcPr/>
          <w:p>
            <w:pPr>
              <w:pStyle w:val="Compact"/>
            </w:pPr>
          </w:p>
        </w:tc>
      </w:tr>
      <w:tr>
        <w:tc>
          <w:tcPr/>
          <w:p>
            <w:pPr>
              <w:pStyle w:val="Compact"/>
              <w:jc w:val="left"/>
            </w:pPr>
            <w:r>
              <w:t xml:space="preserve">Buying through platforms, and sellers’ own sales, did not boom in 2023</w:t>
            </w:r>
          </w:p>
        </w:tc>
        <w:tc>
          <w:tcPr/>
          <w:p>
            <w:pPr>
              <w:pStyle w:val="Compact"/>
              <w:jc w:val="left"/>
            </w:pPr>
            <w:r>
              <w:t xml:space="preserve">Descriptive; registered for sellers’ sales, holds</w:t>
            </w:r>
          </w:p>
        </w:tc>
        <w:tc>
          <w:tcPr/>
          <w:p>
            <w:pPr>
              <w:pStyle w:val="Compact"/>
              <w:jc w:val="left"/>
            </w:pPr>
            <w:r>
              <w:t xml:space="preserve">Six platform measures against household spending</w:t>
            </w:r>
          </w:p>
        </w:tc>
        <w:tc>
          <w:tcPr/>
          <w:p>
            <w:pPr>
              <w:pStyle w:val="Compact"/>
              <w:jc w:val="left"/>
            </w:pPr>
            <w:r>
              <w:t xml:space="preserve">5.5</w:t>
            </w:r>
          </w:p>
        </w:tc>
      </w:tr>
      <w:tr>
        <w:tc>
          <w:tcPr/>
          <w:p>
            <w:pPr>
              <w:pStyle w:val="Compact"/>
              <w:jc w:val="left"/>
            </w:pPr>
            <w:r>
              <w:t xml:space="preserve">More businesses account for most national growth, so H2 holds</w:t>
            </w:r>
          </w:p>
        </w:tc>
        <w:tc>
          <w:tcPr/>
          <w:p>
            <w:pPr>
              <w:pStyle w:val="Compact"/>
              <w:jc w:val="left"/>
            </w:pPr>
            <w:r>
              <w:t xml:space="preserve">Descriptive</w:t>
            </w:r>
          </w:p>
        </w:tc>
        <w:tc>
          <w:tcPr/>
          <w:p>
            <w:pPr>
              <w:pStyle w:val="Compact"/>
              <w:jc w:val="left"/>
            </w:pPr>
            <w:r>
              <w:t xml:space="preserve">Both BPS counts for 2023; two periods</w:t>
            </w:r>
          </w:p>
        </w:tc>
        <w:tc>
          <w:tcPr/>
          <w:p>
            <w:pPr>
              <w:pStyle w:val="Compact"/>
              <w:jc w:val="left"/>
            </w:pPr>
            <w:r>
              <w:t xml:space="preserve">5.6</w:t>
            </w:r>
          </w:p>
        </w:tc>
      </w:tr>
      <w:tr>
        <w:tc>
          <w:tcPr/>
          <w:p>
            <w:pPr>
              <w:pStyle w:val="Compact"/>
              <w:jc w:val="left"/>
            </w:pPr>
            <w:r>
              <w:t xml:space="preserve">Too few 2023 sellers were new to produce the rise in the count (13.45 against 21.5 percent)</w:t>
            </w:r>
          </w:p>
        </w:tc>
        <w:tc>
          <w:tcPr/>
          <w:p>
            <w:pPr>
              <w:pStyle w:val="Compact"/>
              <w:jc w:val="left"/>
            </w:pPr>
            <w:r>
              <w:t xml:space="preserve">Registered; the entry test fails</w:t>
            </w:r>
          </w:p>
        </w:tc>
        <w:tc>
          <w:tcPr/>
          <w:p>
            <w:pPr>
              <w:pStyle w:val="Compact"/>
              <w:jc w:val="left"/>
            </w:pPr>
            <w:r>
              <w:t xml:space="preserve">Recall error would favour passing</w:t>
            </w:r>
          </w:p>
        </w:tc>
        <w:tc>
          <w:tcPr/>
          <w:p>
            <w:pPr>
              <w:pStyle w:val="Compact"/>
              <w:jc w:val="left"/>
            </w:pPr>
            <w:r>
              <w:t xml:space="preserve">5.6</w:t>
            </w:r>
          </w:p>
        </w:tc>
      </w:tr>
      <w:tr>
        <w:tc>
          <w:tcPr/>
          <w:p>
            <w:pPr>
              <w:pStyle w:val="Compact"/>
              <w:jc w:val="left"/>
            </w:pPr>
            <w:r>
              <w:t xml:space="preserve">About half of the rise is not explained by first-time entry</w:t>
            </w:r>
          </w:p>
        </w:tc>
        <w:tc>
          <w:tcPr/>
          <w:p>
            <w:pPr>
              <w:pStyle w:val="Compact"/>
              <w:jc w:val="left"/>
            </w:pPr>
            <w:r>
              <w:t xml:space="preserve">Exploratory</w:t>
            </w:r>
          </w:p>
        </w:tc>
        <w:tc>
          <w:tcPr/>
          <w:p>
            <w:pPr>
              <w:pStyle w:val="Compact"/>
              <w:jc w:val="left"/>
            </w:pPr>
            <w:r>
              <w:t xml:space="preserve">With and without exits; cohorts; provinces; sampling error</w:t>
            </w:r>
          </w:p>
        </w:tc>
        <w:tc>
          <w:tcPr/>
          <w:p>
            <w:pPr>
              <w:pStyle w:val="Compact"/>
              <w:jc w:val="left"/>
            </w:pPr>
            <w:r>
              <w:t xml:space="preserve">5.7</w:t>
            </w:r>
          </w:p>
        </w:tc>
      </w:tr>
      <w:tr>
        <w:tc>
          <w:tcPr/>
          <w:p>
            <w:pPr>
              <w:pStyle w:val="Compact"/>
              <w:jc w:val="left"/>
            </w:pPr>
            <w:r>
              <w:t xml:space="preserve">The extra count leaned toward long-running businesses; returning sellers cannot be ruled out</w:t>
            </w:r>
          </w:p>
        </w:tc>
        <w:tc>
          <w:tcPr/>
          <w:p>
            <w:pPr>
              <w:pStyle w:val="Compact"/>
              <w:jc w:val="left"/>
            </w:pPr>
            <w:r>
              <w:t xml:space="preserve">Exploratory</w:t>
            </w:r>
          </w:p>
        </w:tc>
        <w:tc>
          <w:tcPr/>
          <w:p>
            <w:pPr>
              <w:pStyle w:val="Compact"/>
              <w:jc w:val="left"/>
            </w:pPr>
            <w:r>
              <w:t xml:space="preserve">Part-year selling</w:t>
            </w:r>
          </w:p>
        </w:tc>
        <w:tc>
          <w:tcPr/>
          <w:p>
            <w:pPr>
              <w:pStyle w:val="Compact"/>
              <w:jc w:val="left"/>
            </w:pPr>
            <w:r>
              <w:t xml:space="preserve">5.8</w:t>
            </w:r>
          </w:p>
        </w:tc>
      </w:tr>
      <w:tr>
        <w:tc>
          <w:tcPr/>
          <w:p>
            <w:pPr>
              <w:pStyle w:val="Compact"/>
              <w:jc w:val="left"/>
            </w:pPr>
            <w:r>
              <w:t xml:space="preserve">Most online selling happens outside marketplaces, and records are thinner there</w:t>
            </w:r>
          </w:p>
        </w:tc>
        <w:tc>
          <w:tcPr/>
          <w:p>
            <w:pPr>
              <w:pStyle w:val="Compact"/>
              <w:jc w:val="left"/>
            </w:pPr>
            <w:r>
              <w:t xml:space="preserve">Registered and descriptive</w:t>
            </w:r>
          </w:p>
        </w:tc>
        <w:tc>
          <w:tcPr/>
          <w:p>
            <w:pPr>
              <w:pStyle w:val="Compact"/>
              <w:jc w:val="left"/>
            </w:pPr>
            <w:r>
              <w:t xml:space="preserve">Four survey years; World Bank surveys</w:t>
            </w:r>
          </w:p>
        </w:tc>
        <w:tc>
          <w:tcPr/>
          <w:p>
            <w:pPr>
              <w:pStyle w:val="Compact"/>
              <w:jc w:val="left"/>
            </w:pPr>
            <w:r>
              <w:t xml:space="preserve">5.9</w:t>
            </w:r>
          </w:p>
        </w:tc>
      </w:tr>
      <w:tr>
        <w:tc>
          <w:tcPr/>
          <w:p>
            <w:pPr>
              <w:pStyle w:val="Compact"/>
              <w:jc w:val="left"/>
            </w:pPr>
            <w:r>
              <w:t xml:space="preserve">National figures agree only where they cover the same sellers</w:t>
            </w:r>
          </w:p>
        </w:tc>
        <w:tc>
          <w:tcPr/>
          <w:p>
            <w:pPr>
              <w:pStyle w:val="Compact"/>
              <w:jc w:val="left"/>
            </w:pPr>
            <w:r>
              <w:t xml:space="preserve">Registered, with a mixed outcome, and descriptive</w:t>
            </w:r>
          </w:p>
        </w:tc>
        <w:tc>
          <w:tcPr/>
          <w:p>
            <w:pPr>
              <w:pStyle w:val="Compact"/>
              <w:jc w:val="left"/>
            </w:pPr>
            <w:r>
              <w:t xml:space="preserve">Three value scenarios</w:t>
            </w:r>
          </w:p>
        </w:tc>
        <w:tc>
          <w:tcPr/>
          <w:p>
            <w:pPr>
              <w:pStyle w:val="Compact"/>
              <w:jc w:val="left"/>
            </w:pPr>
            <w:r>
              <w:t xml:space="preserve">5.10</w:t>
            </w:r>
          </w:p>
        </w:tc>
      </w:tr>
    </w:tbl>
    <w:bookmarkStart w:id="50" w:name="how-much-revenue-leaves-out"/>
    <w:p>
      <w:pPr>
        <w:pStyle w:val="Heading2"/>
      </w:pPr>
      <w:r>
        <w:t xml:space="preserve">5.1 How much revenue leaves out</w:t>
      </w:r>
    </w:p>
    <w:p>
      <w:pPr>
        <w:pStyle w:val="FirstParagraph"/>
      </w:pPr>
      <w: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5.2 shows each platform.</w:t>
      </w:r>
    </w:p>
    <w:p>
      <w:pPr>
        <w:pStyle w:val="BodyText"/>
      </w:pPr>
      <w:r>
        <w:rPr>
          <w:bCs/>
          <w:b/>
        </w:rPr>
        <w:t xml:space="preserve">Table 5.2. The invisible wedge of three platforms, 2023 (US$ billion)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Ecosystem ratio</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16.33</w:t>
            </w:r>
          </w:p>
        </w:tc>
        <w:tc>
          <w:tcPr/>
          <w:p>
            <w:pPr>
              <w:pStyle w:val="Compact"/>
              <w:jc w:val="left"/>
            </w:pPr>
            <w:r>
              <w:t xml:space="preserve">0.41</w:t>
            </w:r>
          </w:p>
        </w:tc>
        <w:tc>
          <w:tcPr/>
          <w:p>
            <w:pPr>
              <w:pStyle w:val="Compact"/>
              <w:jc w:val="left"/>
            </w:pPr>
            <w:r>
              <w:t xml:space="preserve">15.93</w:t>
            </w:r>
          </w:p>
        </w:tc>
        <w:tc>
          <w:tcPr/>
          <w:p>
            <w:pPr>
              <w:pStyle w:val="Compact"/>
              <w:jc w:val="left"/>
            </w:pPr>
            <w:r>
              <w:t xml:space="preserve">39.3</w:t>
            </w:r>
          </w:p>
        </w:tc>
        <w:tc>
          <w:tcPr/>
          <w:p>
            <w:pPr>
              <w:pStyle w:val="Compact"/>
              <w:jc w:val="left"/>
            </w:pPr>
            <w:r>
              <w:t xml:space="preserve">Both direct segment disclosure</w:t>
            </w:r>
          </w:p>
        </w:tc>
      </w:tr>
      <w:tr>
        <w:tc>
          <w:tcPr/>
          <w:p>
            <w:pPr>
              <w:pStyle w:val="Compact"/>
              <w:jc w:val="left"/>
            </w:pPr>
            <w:r>
              <w:t xml:space="preserve">Shopee, Indonesia</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9.0</w:t>
            </w:r>
          </w:p>
        </w:tc>
        <w:tc>
          <w:tcPr/>
          <w:p>
            <w:pPr>
              <w:pStyle w:val="Compact"/>
              <w:jc w:val="left"/>
            </w:pPr>
            <w:r>
              <w:t xml:space="preserve">Transaction value is an outside estimate (Momentum Works); revenue is derived at an assumed take rate of 10 percent</w:t>
            </w:r>
          </w:p>
        </w:tc>
      </w:tr>
      <w:tr>
        <w:tc>
          <w:tcPr/>
          <w:p>
            <w:pPr>
              <w:pStyle w:val="Compact"/>
              <w:jc w:val="left"/>
            </w:pPr>
            <w:r>
              <w:t xml:space="preserve">Grab, Indonesia</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7.9</w:t>
            </w:r>
          </w:p>
        </w:tc>
        <w:tc>
          <w:tcPr/>
          <w:p>
            <w:pPr>
              <w:pStyle w:val="Compact"/>
              <w:jc w:val="left"/>
            </w:pPr>
            <w:r>
              <w:t xml:space="preserve">Revenue is a direct country disclosure; transaction value is derived from Grab’s company-wide ratio</w:t>
            </w:r>
          </w:p>
        </w:tc>
      </w:tr>
      <w:tr>
        <w:tc>
          <w:tcPr/>
          <w:p>
            <w:pPr>
              <w:pStyle w:val="Compact"/>
              <w:jc w:val="left"/>
            </w:pPr>
            <w:r>
              <w:t xml:space="preserve">Total</w:t>
            </w:r>
          </w:p>
        </w:tc>
        <w:tc>
          <w:tcPr/>
          <w:p>
            <w:pPr>
              <w:pStyle w:val="Compact"/>
              <w:jc w:val="left"/>
            </w:pPr>
            <w:r>
              <w:t xml:space="preserve">43.23</w:t>
            </w:r>
          </w:p>
        </w:tc>
        <w:tc>
          <w:tcPr/>
          <w:p>
            <w:pPr>
              <w:pStyle w:val="Compact"/>
              <w:jc w:val="left"/>
            </w:pPr>
            <w:r>
              <w:t xml:space="preserve">3.16</w:t>
            </w:r>
          </w:p>
        </w:tc>
        <w:tc>
          <w:tcPr/>
          <w:p>
            <w:pPr>
              <w:pStyle w:val="Compact"/>
              <w:jc w:val="left"/>
            </w:pPr>
            <w:r>
              <w:t xml:space="preserve">40.07</w:t>
            </w:r>
          </w:p>
        </w:tc>
        <w:tc>
          <w:tcPr/>
          <w:p>
            <w:pPr>
              <w:pStyle w:val="Compact"/>
              <w:jc w:val="left"/>
            </w:pPr>
            <w:r>
              <w:t xml:space="preserve">12.7</w:t>
            </w:r>
          </w:p>
        </w:tc>
        <w:tc>
          <w:tcPr/>
          <w:p>
            <w:pPr>
              <w:pStyle w:val="Compact"/>
              <w:jc w:val="left"/>
            </w:pPr>
            <w:r>
              <w:t xml:space="preserve">Sum of three platforms, not a national total</w:t>
            </w:r>
          </w:p>
        </w:tc>
      </w:tr>
    </w:tbl>
    <w:p>
      <w:pPr>
        <w:pStyle w:val="BodyText"/>
      </w:pPr>
      <w:r>
        <w:rPr>
          <w:iCs/>
          <w:i/>
        </w:rPr>
        <w:t xml:space="preserve">Note:</w:t>
      </w:r>
      <w:r>
        <w:t xml:space="preserve"> </w:t>
      </w:r>
      <w:r>
        <w:t xml:space="preserve">Rounded amounts may not add. With Shopee’s take rate at 9 or 11 percent, the total wedge is US$39.9 or US$40.3 billion; at Sea’s company-wide rate of 11.5 percent, it is US$39.8 billion. Source: company filings; Momentum Works (2024); author’s calculations.</w:t>
      </w:r>
    </w:p>
    <w:p>
      <w:pPr>
        <w:pStyle w:val="BodyText"/>
      </w:pPr>
      <w:r>
        <w:t xml:space="preserve">The ratios differ because the amounts were obtained in different ways. Tokopedia reports both amounts, and its ratio is about 39. Shopee’s ratio of 9 follows from the assumed take rate, and Grab’s ratio of about 8 is its company-wide ratio. Neither is separate evidence for Indonesia. Blibli and Bukalapak also report both amounts, with ratios of about 43 and 36, close to Tokopedia’s. They are left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Dropping any one platform still leaves more than US$20 billion. For platforms that report both amounts, the wedge was 97 to 99 percent of transaction value in every year. It moved almost one for one with the commerce, and Appendix A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0"/>
    <w:bookmarkStart w:id="54" w:name="testing-h1-1"/>
    <w:p>
      <w:pPr>
        <w:pStyle w:val="Heading2"/>
      </w:pPr>
      <w:r>
        <w:t xml:space="preserve">5.2 Testing H1</w:t>
      </w:r>
    </w:p>
    <w:p>
      <w:pPr>
        <w:pStyle w:val="FirstParagraph"/>
      </w:pPr>
      <w:r>
        <w:t xml:space="preserve">Revenue did not keep pace with transaction value at the Indonesian and regional platforms, and the thesis rejects H1. At the typical platform in this group, the take rate moved by about 20 percent a year, up or down. At the typical foreign platform it moved by about 6 percent, so the moves were about three times as large. Table 5.3 gives the test and its checks.</w:t>
      </w:r>
    </w:p>
    <w:p>
      <w:pPr>
        <w:pStyle w:val="BodyText"/>
      </w:pPr>
      <w:r>
        <w:rPr>
          <w:bCs/>
          <w:b/>
        </w:rPr>
        <w:t xml:space="preserve">Table 5.3. The test of H1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Method</w:t>
            </w:r>
          </w:p>
        </w:tc>
        <w:tc>
          <w:tcPr/>
          <w:p>
            <w:pPr>
              <w:pStyle w:val="Compact"/>
              <w:jc w:val="left"/>
            </w:pPr>
            <w:r>
              <w:t xml:space="preserve">Indonesian and regional group</w:t>
            </w:r>
          </w:p>
        </w:tc>
        <w:tc>
          <w:tcPr/>
          <w:p>
            <w:pPr>
              <w:pStyle w:val="Compact"/>
              <w:jc w:val="left"/>
            </w:pPr>
            <w:r>
              <w:t xml:space="preserve">Foreign group</w:t>
            </w:r>
          </w:p>
        </w:tc>
        <w:tc>
          <w:tcPr/>
          <w:p>
            <w:pPr>
              <w:pStyle w:val="Compact"/>
              <w:jc w:val="left"/>
            </w:pPr>
            <w:r>
              <w:t xml:space="preserve">p-value</w:t>
            </w:r>
          </w:p>
        </w:tc>
      </w:tr>
      <w:tr>
        <w:tc>
          <w:tcPr/>
          <w:p>
            <w:pPr>
              <w:pStyle w:val="Compact"/>
              <w:jc w:val="left"/>
            </w:pPr>
            <w:r>
              <w:t xml:space="preserve">Yearly change in log take rate, 5 platforms against 27</w:t>
            </w:r>
          </w:p>
        </w:tc>
        <w:tc>
          <w:tcPr/>
          <w:p>
            <w:pPr>
              <w:pStyle w:val="Compact"/>
              <w:jc w:val="left"/>
            </w:pPr>
            <w:r>
              <w:t xml:space="preserve">Mann–Whitney</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0.004</w:t>
            </w:r>
          </w:p>
        </w:tc>
      </w:tr>
      <w:tr>
        <w:tc>
          <w:tcPr/>
          <w:p>
            <w:pPr>
              <w:pStyle w:val="Compact"/>
              <w:jc w:val="left"/>
            </w:pPr>
            <w:r>
              <w:t xml:space="preserve">The same</w:t>
            </w:r>
          </w:p>
        </w:tc>
        <w:tc>
          <w:tcPr/>
          <w:p>
            <w:pPr>
              <w:pStyle w:val="Compact"/>
              <w:jc w:val="left"/>
            </w:pPr>
            <w:r>
              <w:t xml:space="preserve">Shuffle</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0.022</w:t>
            </w:r>
          </w:p>
        </w:tc>
      </w:tr>
      <w:tr>
        <w:tc>
          <w:tcPr/>
          <w:p>
            <w:pPr>
              <w:pStyle w:val="Compact"/>
              <w:jc w:val="left"/>
            </w:pPr>
            <w:r>
              <w:t xml:space="preserve">Growth divergence in points, 5 platforms against 26</w:t>
            </w:r>
          </w:p>
        </w:tc>
        <w:tc>
          <w:tcPr/>
          <w:p>
            <w:pPr>
              <w:pStyle w:val="Compact"/>
              <w:jc w:val="left"/>
            </w:pPr>
            <w:r>
              <w:t xml:space="preserve">Mann–Whitney</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w:t>
            </w:r>
          </w:p>
        </w:tc>
      </w:tr>
      <w:tr>
        <w:tc>
          <w:tcPr/>
          <w:p>
            <w:pPr>
              <w:pStyle w:val="Compact"/>
              <w:jc w:val="left"/>
            </w:pPr>
            <w:r>
              <w:t xml:space="preserve">Drop each platform in turn, or treat Tokopedia and GoTo as one company</w:t>
            </w:r>
          </w:p>
        </w:tc>
        <w:tc>
          <w:tcPr/>
          <w:p>
            <w:pPr>
              <w:pStyle w:val="Compact"/>
              <w:jc w:val="left"/>
            </w:pPr>
            <w:r>
              <w:t xml:space="preserve">Mann–Whitney</w:t>
            </w:r>
          </w:p>
        </w:tc>
        <w:tc>
          <w:tcPr/>
          <w:p>
            <w:pPr>
              <w:pStyle w:val="Compact"/>
              <w:jc w:val="left"/>
            </w:pPr>
            <w:r>
              <w:t xml:space="preserve">0.17 to 0.23</w:t>
            </w:r>
          </w:p>
        </w:tc>
        <w:tc>
          <w:tcPr/>
          <w:p>
            <w:pPr>
              <w:pStyle w:val="Compact"/>
              <w:jc w:val="left"/>
            </w:pPr>
            <w:r>
              <w:t xml:space="preserve">0.06</w:t>
            </w:r>
          </w:p>
        </w:tc>
        <w:tc>
          <w:tcPr/>
          <w:p>
            <w:pPr>
              <w:pStyle w:val="Compact"/>
              <w:jc w:val="left"/>
            </w:pPr>
            <w:r>
              <w:t xml:space="preserve">0.003 to 0.016</w:t>
            </w:r>
          </w:p>
        </w:tc>
      </w:tr>
      <w:tr>
        <w:tc>
          <w:tcPr/>
          <w:p>
            <w:pPr>
              <w:pStyle w:val="Compact"/>
              <w:jc w:val="left"/>
            </w:pPr>
            <w:r>
              <w:t xml:space="preserve">Quarterly pairs, 3 platforms against 8</w:t>
            </w:r>
          </w:p>
        </w:tc>
        <w:tc>
          <w:tcPr/>
          <w:p>
            <w:pPr>
              <w:pStyle w:val="Compact"/>
              <w:jc w:val="left"/>
            </w:pPr>
            <w:r>
              <w:t xml:space="preserve">Mann–Whitney</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r>
    </w:tbl>
    <w:p>
      <w:pPr>
        <w:pStyle w:val="BodyText"/>
      </w:pPr>
      <w:r>
        <w:rPr>
          <w:iCs/>
          <w:i/>
        </w:rPr>
        <w:t xml:space="preserve">Note:</w:t>
      </w:r>
      <w:r>
        <w:t xml:space="preserve"> </w:t>
      </w:r>
      <w:r>
        <w:t xml:space="preserve">Group values are medians of each platform’s median yearly change. Appendix B lists every check, including the tests without Ozon and Zalando.</w:t>
      </w:r>
    </w:p>
    <w:p>
      <w:pPr>
        <w:pStyle w:val="BodyText"/>
      </w:pPr>
      <w:r>
        <w:t xml:space="preserve">The main test compares the five platforms with 27 abroad, one median per platform. Both methods of Section 4.3 reject equal moves, with p = 0.004 and p = 0.022. No single platform carries the result. Dropping any one, or treating Tokopedia and GoTo as one company, keeps the Mann–Whitney p-value at 0.016 or below. The main test was set up after a first, narrower test, so it is exploratory.</w:t>
      </w:r>
    </w:p>
    <w:p>
      <w:pPr>
        <w:pStyle w:val="BodyText"/>
      </w:pPr>
      <w:r>
        <w:t xml:space="preserve">The test planned in advance was narrower: the three Indonesian marketplaces against the eight foreign platforms chosen first. It points the same way. With one median per platform, the Mann–Whitney test rejects equal moves (p = 0.024). The shuffle of platform labels comes close without passing (p = 0.06), since three platforms give a test little power. In that sample, revenue growth and transaction value growth had a correlation of 0.10 in Indonesia and 0.98 abroad, excluding Sea.</w:t>
      </w:r>
    </w:p>
    <w:p>
      <w:pPr>
        <w:pStyle w:val="BodyText"/>
      </w:pPr>
      <w:r>
        <w:t xml:space="preserve">The direction of the moves is less telling than their size. Revenue grew faster than transaction value in 13 of the 15 Indonesian and regional pairs. In two of them, revenue and transaction value moved in opposite directions. Abroad, take rates also rose in about two thirds of pairs, but by much less. What sets the Indonesian and regional platforms apart is the size of the moves, which is what the test measures.</w:t>
      </w:r>
    </w:p>
    <w:p>
      <w:pPr>
        <w:pStyle w:val="BodyText"/>
      </w:pPr>
      <w:r>
        <w:t xml:space="preserve">Quarterly pairs do not reject H1 (p = 0.19), contrary to a prediction registered before the test was run. The quarterly Indonesian pairs mostly cover 2023 to 2026, after most of the repricing, while the large moves came between 2021 and 2024. The rejection of H1 describes that period.</w:t>
      </w:r>
    </w:p>
    <w:p>
      <w:pPr>
        <w:pStyle w:val="BodyText"/>
      </w:pPr>
      <w:r>
        <w:t xml:space="preserve">The thin take rate of Indonesian and regional platforms explains much of the threefold difference, an exploratory finding. Measured in percentage points, both groups changed their take rates by about 1 point a year. The difference between them is nowhere near large enough to count (p = 0.65).</w:t>
      </w:r>
    </w:p>
    <w:p>
      <w:pPr>
        <w:pStyle w:val="BodyText"/>
      </w:pPr>
      <w:r>
        <w:t xml:space="preserve">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5.1 shows the three measures side by side. The test shows that take rates moved, but not what the platforms changed to move them.</w:t>
      </w:r>
    </w:p>
    <w:p>
      <w:pPr>
        <w:pStyle w:val="CaptionedFigure"/>
      </w:pPr>
      <w:r>
        <w:drawing>
          <wp:inline>
            <wp:extent cx="5334000" cy="1965026"/>
            <wp:effectExtent b="0" l="0" r="0" t="0"/>
            <wp:docPr descr="Figure 5.1" title="" id="52" name="Picture"/>
            <a:graphic>
              <a:graphicData uri="http://schemas.openxmlformats.org/drawingml/2006/picture">
                <pic:pic>
                  <pic:nvPicPr>
                    <pic:cNvPr descr="figures/fig5_1_thin_slice.png" id="53" name="Picture"/>
                    <pic:cNvPicPr>
                      <a:picLocks noChangeArrowheads="1" noChangeAspect="1"/>
                    </pic:cNvPicPr>
                  </pic:nvPicPr>
                  <pic:blipFill>
                    <a:blip r:embed="rId51"/>
                    <a:stretch>
                      <a:fillRect/>
                    </a:stretch>
                  </pic:blipFill>
                  <pic:spPr bwMode="auto">
                    <a:xfrm>
                      <a:off x="0" y="0"/>
                      <a:ext cx="5334000" cy="1965026"/>
                    </a:xfrm>
                    <a:prstGeom prst="rect">
                      <a:avLst/>
                    </a:prstGeom>
                    <a:noFill/>
                    <a:ln w="9525">
                      <a:noFill/>
                      <a:headEnd/>
                      <a:tailEnd/>
                    </a:ln>
                  </pic:spPr>
                </pic:pic>
              </a:graphicData>
            </a:graphic>
          </wp:inline>
        </w:drawing>
      </w:r>
    </w:p>
    <w:p>
      <w:pPr>
        <w:pStyle w:val="ImageCaption"/>
      </w:pPr>
      <w:r>
        <w:t xml:space="preserve">Figure 5.1</w:t>
      </w:r>
    </w:p>
    <w:p>
      <w:pPr>
        <w:pStyle w:val="BodyText"/>
      </w:pPr>
      <w:r>
        <w:rPr>
          <w:bCs/>
          <w:b/>
        </w:rPr>
        <w:t xml:space="preserve">Figure 5.1. The thin take rate.</w:t>
      </w:r>
      <w:r>
        <w:t xml:space="preserve"> </w:t>
      </w:r>
      <w: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4"/>
    <w:bookmarkStart w:id="58" w:name="what-moved-the-take-rate"/>
    <w:p>
      <w:pPr>
        <w:pStyle w:val="Heading2"/>
      </w:pPr>
      <w:r>
        <w:t xml:space="preserve">5.3 What moved the take rate</w:t>
      </w:r>
    </w:p>
    <w:p>
      <w:pPr>
        <w:pStyle w:val="FirstParagraph"/>
      </w:pPr>
      <w:r>
        <w:t xml:space="preserve">Pricing, not more commerce, moved revenue at the Indonesian and regional platforms. With equation (5), the take rate accounts for about two thirds of a revenue move at the typical pair, against about a quarter abroad. The wedge, by contrast, follows the commerce: in both groups, about 95 percent of a move in the wedge comes from transaction value.</w:t>
      </w:r>
    </w:p>
    <w:p>
      <w:pPr>
        <w:pStyle w:val="BodyText"/>
      </w:pPr>
      <w:r>
        <w:t xml:space="preserve">Where companies disclose both their fees and their incentives, equation (6) splits the growth of revenue further. Table 5.4 gives the seven traced windows. Fees and incentives are measured per unit of transaction value, and a negative share means that a part pulled revenue down. The windows of one platform overlap, so they are not seven independent cases.</w:t>
      </w:r>
    </w:p>
    <w:p>
      <w:pPr>
        <w:pStyle w:val="BodyText"/>
      </w:pPr>
      <w:r>
        <w:rPr>
          <w:bCs/>
          <w:b/>
        </w:rPr>
        <w:t xml:space="preserve">Table 5.4. What moved revenue in seven Indonesian and regional windows (share of the growth of revenue, percent)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and window</w:t>
            </w:r>
          </w:p>
        </w:tc>
        <w:tc>
          <w:tcPr/>
          <w:p>
            <w:pPr>
              <w:pStyle w:val="Compact"/>
              <w:jc w:val="left"/>
            </w:pPr>
            <w:r>
              <w:t xml:space="preserve">Growth of revenue</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Tokopedia, 2022–23</w:t>
            </w:r>
          </w:p>
        </w:tc>
        <w:tc>
          <w:tcPr/>
          <w:p>
            <w:pPr>
              <w:pStyle w:val="Compact"/>
              <w:jc w:val="left"/>
            </w:pPr>
            <w:r>
              <w:t xml:space="preserve">+53%</w:t>
            </w:r>
          </w:p>
        </w:tc>
        <w:tc>
          <w:tcPr/>
          <w:p>
            <w:pPr>
              <w:pStyle w:val="Compact"/>
              <w:jc w:val="left"/>
            </w:pPr>
            <w:r>
              <w:t xml:space="preserve">−22</w:t>
            </w:r>
          </w:p>
        </w:tc>
        <w:tc>
          <w:tcPr/>
          <w:p>
            <w:pPr>
              <w:pStyle w:val="Compact"/>
              <w:jc w:val="left"/>
            </w:pPr>
            <w:r>
              <w:t xml:space="preserve">76</w:t>
            </w:r>
          </w:p>
        </w:tc>
        <w:tc>
          <w:tcPr/>
          <w:p>
            <w:pPr>
              <w:pStyle w:val="Compact"/>
              <w:jc w:val="left"/>
            </w:pPr>
            <w:r>
              <w:t xml:space="preserve">45</w:t>
            </w:r>
          </w:p>
        </w:tc>
      </w:tr>
      <w:tr>
        <w:tc>
          <w:tcPr/>
          <w:p>
            <w:pPr>
              <w:pStyle w:val="Compact"/>
              <w:jc w:val="left"/>
            </w:pPr>
            <w:r>
              <w:t xml:space="preserve">Blibli third-party retail, 2022–23</w:t>
            </w:r>
          </w:p>
        </w:tc>
        <w:tc>
          <w:tcPr/>
          <w:p>
            <w:pPr>
              <w:pStyle w:val="Compact"/>
              <w:jc w:val="left"/>
            </w:pPr>
            <w:r>
              <w:t xml:space="preserve">+465%</w:t>
            </w:r>
          </w:p>
        </w:tc>
        <w:tc>
          <w:tcPr/>
          <w:p>
            <w:pPr>
              <w:pStyle w:val="Compact"/>
              <w:jc w:val="left"/>
            </w:pPr>
            <w:r>
              <w:t xml:space="preserve">17</w:t>
            </w:r>
          </w:p>
        </w:tc>
        <w:tc>
          <w:tcPr/>
          <w:p>
            <w:pPr>
              <w:pStyle w:val="Compact"/>
              <w:jc w:val="left"/>
            </w:pPr>
            <w:r>
              <w:t xml:space="preserve">20</w:t>
            </w:r>
          </w:p>
        </w:tc>
        <w:tc>
          <w:tcPr/>
          <w:p>
            <w:pPr>
              <w:pStyle w:val="Compact"/>
              <w:jc w:val="left"/>
            </w:pPr>
            <w:r>
              <w:t xml:space="preserve">63</w:t>
            </w:r>
          </w:p>
        </w:tc>
      </w:tr>
      <w:tr>
        <w:tc>
          <w:tcPr/>
          <w:p>
            <w:pPr>
              <w:pStyle w:val="Compact"/>
              <w:jc w:val="left"/>
            </w:pPr>
            <w:r>
              <w:t xml:space="preserve">Blibli third-party retail, 2022–25</w:t>
            </w:r>
          </w:p>
        </w:tc>
        <w:tc>
          <w:tcPr/>
          <w:p>
            <w:pPr>
              <w:pStyle w:val="Compact"/>
              <w:jc w:val="left"/>
            </w:pPr>
            <w:r>
              <w:t xml:space="preserve">+679%</w:t>
            </w:r>
          </w:p>
        </w:tc>
        <w:tc>
          <w:tcPr/>
          <w:p>
            <w:pPr>
              <w:pStyle w:val="Compact"/>
              <w:jc w:val="left"/>
            </w:pPr>
            <w:r>
              <w:t xml:space="preserve">18</w:t>
            </w:r>
          </w:p>
        </w:tc>
        <w:tc>
          <w:tcPr/>
          <w:p>
            <w:pPr>
              <w:pStyle w:val="Compact"/>
              <w:jc w:val="left"/>
            </w:pPr>
            <w:r>
              <w:t xml:space="preserve">63</w:t>
            </w:r>
          </w:p>
        </w:tc>
        <w:tc>
          <w:tcPr/>
          <w:p>
            <w:pPr>
              <w:pStyle w:val="Compact"/>
              <w:jc w:val="left"/>
            </w:pPr>
            <w:r>
              <w:t xml:space="preserve">20</w:t>
            </w:r>
          </w:p>
        </w:tc>
      </w:tr>
      <w:tr>
        <w:tc>
          <w:tcPr/>
          <w:p>
            <w:pPr>
              <w:pStyle w:val="Compact"/>
              <w:jc w:val="left"/>
            </w:pPr>
            <w:r>
              <w:t xml:space="preserve">Grab on-demand, 2021–24</w:t>
            </w:r>
          </w:p>
        </w:tc>
        <w:tc>
          <w:tcPr/>
          <w:p>
            <w:pPr>
              <w:pStyle w:val="Compact"/>
              <w:jc w:val="left"/>
            </w:pPr>
            <w:r>
              <w:t xml:space="preserve">+321%</w:t>
            </w:r>
          </w:p>
        </w:tc>
        <w:tc>
          <w:tcPr/>
          <w:p>
            <w:pPr>
              <w:pStyle w:val="Compact"/>
              <w:jc w:val="left"/>
            </w:pPr>
            <w:r>
              <w:t xml:space="preserve">34</w:t>
            </w:r>
          </w:p>
        </w:tc>
        <w:tc>
          <w:tcPr/>
          <w:p>
            <w:pPr>
              <w:pStyle w:val="Compact"/>
              <w:jc w:val="left"/>
            </w:pPr>
            <w:r>
              <w:t xml:space="preserve">34</w:t>
            </w:r>
          </w:p>
        </w:tc>
        <w:tc>
          <w:tcPr/>
          <w:p>
            <w:pPr>
              <w:pStyle w:val="Compact"/>
              <w:jc w:val="left"/>
            </w:pPr>
            <w:r>
              <w:t xml:space="preserve">33</w:t>
            </w:r>
          </w:p>
        </w:tc>
      </w:tr>
      <w:tr>
        <w:tc>
          <w:tcPr/>
          <w:p>
            <w:pPr>
              <w:pStyle w:val="Compact"/>
              <w:jc w:val="left"/>
            </w:pPr>
            <w:r>
              <w:t xml:space="preserve">Grab on-demand, 2022–24</w:t>
            </w:r>
          </w:p>
        </w:tc>
        <w:tc>
          <w:tcPr/>
          <w:p>
            <w:pPr>
              <w:pStyle w:val="Compact"/>
              <w:jc w:val="left"/>
            </w:pPr>
            <w:r>
              <w:t xml:space="preserve">+86%</w:t>
            </w:r>
          </w:p>
        </w:tc>
        <w:tc>
          <w:tcPr/>
          <w:p>
            <w:pPr>
              <w:pStyle w:val="Compact"/>
              <w:jc w:val="left"/>
            </w:pPr>
            <w:r>
              <w:t xml:space="preserve">42</w:t>
            </w:r>
          </w:p>
        </w:tc>
        <w:tc>
          <w:tcPr/>
          <w:p>
            <w:pPr>
              <w:pStyle w:val="Compact"/>
              <w:jc w:val="left"/>
            </w:pPr>
            <w:r>
              <w:t xml:space="preserve">11</w:t>
            </w:r>
          </w:p>
        </w:tc>
        <w:tc>
          <w:tcPr/>
          <w:p>
            <w:pPr>
              <w:pStyle w:val="Compact"/>
              <w:jc w:val="left"/>
            </w:pPr>
            <w:r>
              <w:t xml:space="preserve">47</w:t>
            </w:r>
          </w:p>
        </w:tc>
      </w:tr>
      <w:tr>
        <w:tc>
          <w:tcPr/>
          <w:p>
            <w:pPr>
              <w:pStyle w:val="Compact"/>
              <w:jc w:val="left"/>
            </w:pPr>
            <w:r>
              <w:t xml:space="preserve">GoTo on-demand, 2022–25</w:t>
            </w:r>
          </w:p>
        </w:tc>
        <w:tc>
          <w:tcPr/>
          <w:p>
            <w:pPr>
              <w:pStyle w:val="Compact"/>
              <w:jc w:val="left"/>
            </w:pPr>
            <w:r>
              <w:t xml:space="preserve">+111%</w:t>
            </w:r>
          </w:p>
        </w:tc>
        <w:tc>
          <w:tcPr/>
          <w:p>
            <w:pPr>
              <w:pStyle w:val="Compact"/>
              <w:jc w:val="left"/>
            </w:pPr>
            <w:r>
              <w:t xml:space="preserve">12</w:t>
            </w:r>
          </w:p>
        </w:tc>
        <w:tc>
          <w:tcPr/>
          <w:p>
            <w:pPr>
              <w:pStyle w:val="Compact"/>
              <w:jc w:val="left"/>
            </w:pPr>
            <w:r>
              <w:t xml:space="preserve">36</w:t>
            </w:r>
          </w:p>
        </w:tc>
        <w:tc>
          <w:tcPr/>
          <w:p>
            <w:pPr>
              <w:pStyle w:val="Compact"/>
              <w:jc w:val="left"/>
            </w:pPr>
            <w:r>
              <w:t xml:space="preserve">52</w:t>
            </w:r>
          </w:p>
        </w:tc>
      </w:tr>
      <w:tr>
        <w:tc>
          <w:tcPr/>
          <w:p>
            <w:pPr>
              <w:pStyle w:val="Compact"/>
              <w:jc w:val="left"/>
            </w:pPr>
            <w:r>
              <w:t xml:space="preserve">GoTo on-demand, 2023–25</w:t>
            </w:r>
          </w:p>
        </w:tc>
        <w:tc>
          <w:tcPr/>
          <w:p>
            <w:pPr>
              <w:pStyle w:val="Compact"/>
              <w:jc w:val="left"/>
            </w:pPr>
            <w:r>
              <w:t xml:space="preserve">+114%</w:t>
            </w:r>
          </w:p>
        </w:tc>
        <w:tc>
          <w:tcPr/>
          <w:p>
            <w:pPr>
              <w:pStyle w:val="Compact"/>
              <w:jc w:val="left"/>
            </w:pPr>
            <w:r>
              <w:t xml:space="preserve">27</w:t>
            </w:r>
          </w:p>
        </w:tc>
        <w:tc>
          <w:tcPr/>
          <w:p>
            <w:pPr>
              <w:pStyle w:val="Compact"/>
              <w:jc w:val="left"/>
            </w:pPr>
            <w:r>
              <w:t xml:space="preserve">6</w:t>
            </w:r>
          </w:p>
        </w:tc>
        <w:tc>
          <w:tcPr/>
          <w:p>
            <w:pPr>
              <w:pStyle w:val="Compact"/>
              <w:jc w:val="left"/>
            </w:pPr>
            <w:r>
              <w:t xml:space="preserve">67</w:t>
            </w:r>
          </w:p>
        </w:tc>
      </w:tr>
    </w:tbl>
    <w:p>
      <w:pPr>
        <w:pStyle w:val="BodyText"/>
      </w:pPr>
      <w:r>
        <w:rPr>
          <w:iCs/>
          <w:i/>
        </w:rPr>
        <w:t xml:space="preserve">Note:</w:t>
      </w:r>
      <w:r>
        <w:t xml:space="preserve"> </w:t>
      </w:r>
      <w:r>
        <w:t xml:space="preserve">Shares are rounded, so a row can add to 99 or 101. Source: company filings; author’s calculations (Appendix A).</w:t>
      </w:r>
    </w:p>
    <w:p>
      <w:pPr>
        <w:pStyle w:val="BodyText"/>
      </w:pPr>
      <w:r>
        <w:t xml:space="preserve">Higher fees and lower incentives together outweighed more commerce in every window. Lower incentives were the larger of the two in four windows and higher fees in two. In the seventh, Grab from 2021 to 2024, the two were nearly equal. Three series need a note. GoTo’s 2022 transaction value is an estimate.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as in Table 5.4, higher fees account for more of the rise in the take rate. The two views differ only on which lever led (Figure 5.2).</w:t>
      </w:r>
    </w:p>
    <w:p>
      <w:pPr>
        <w:pStyle w:val="CaptionedFigure"/>
      </w:pPr>
      <w:r>
        <w:drawing>
          <wp:inline>
            <wp:extent cx="5334000" cy="1805277"/>
            <wp:effectExtent b="0" l="0" r="0" t="0"/>
            <wp:docPr descr="Figure 5.2" title="" id="56" name="Picture"/>
            <a:graphic>
              <a:graphicData uri="http://schemas.openxmlformats.org/drawingml/2006/picture">
                <pic:pic>
                  <pic:nvPicPr>
                    <pic:cNvPr descr="figures/fig5_2_tokopedia_two_views.png" id="57" name="Picture"/>
                    <pic:cNvPicPr>
                      <a:picLocks noChangeArrowheads="1" noChangeAspect="1"/>
                    </pic:cNvPicPr>
                  </pic:nvPicPr>
                  <pic:blipFill>
                    <a:blip r:embed="rId55"/>
                    <a:stretch>
                      <a:fillRect/>
                    </a:stretch>
                  </pic:blipFill>
                  <pic:spPr bwMode="auto">
                    <a:xfrm>
                      <a:off x="0" y="0"/>
                      <a:ext cx="5334000" cy="1805277"/>
                    </a:xfrm>
                    <a:prstGeom prst="rect">
                      <a:avLst/>
                    </a:prstGeom>
                    <a:noFill/>
                    <a:ln w="9525">
                      <a:noFill/>
                      <a:headEnd/>
                      <a:tailEnd/>
                    </a:ln>
                  </pic:spPr>
                </pic:pic>
              </a:graphicData>
            </a:graphic>
          </wp:inline>
        </w:drawing>
      </w:r>
    </w:p>
    <w:p>
      <w:pPr>
        <w:pStyle w:val="ImageCaption"/>
      </w:pPr>
      <w:r>
        <w:t xml:space="preserve">Figure 5.2</w:t>
      </w:r>
    </w:p>
    <w:p>
      <w:pPr>
        <w:pStyle w:val="BodyText"/>
      </w:pPr>
      <w:r>
        <w:rPr>
          <w:bCs/>
          <w:b/>
        </w:rPr>
        <w:t xml:space="preserve">Figure 5.2. Tokopedia, 2022 to 2023: two ways to split the rise in revenue.</w:t>
      </w:r>
      <w:r>
        <w:t xml:space="preserve"> </w:t>
      </w:r>
      <w: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bookmarkEnd w:id="58"/>
    <w:bookmarkStart w:id="59" w:name="what-markets-valued"/>
    <w:p>
      <w:pPr>
        <w:pStyle w:val="Heading2"/>
      </w:pPr>
      <w:r>
        <w:t xml:space="preserve">5.4 What markets valued</w:t>
      </w:r>
    </w:p>
    <w:p>
      <w:pPr>
        <w:pStyle w:val="FirstParagraph"/>
      </w:pPr>
      <w:r>
        <w:t xml:space="preserve">Across 28 listed platforms and 138 platform-years, market value moved with transaction value, a registered result. A 1 percent rise in transaction value goes with a rise of about 0.6 percent in market value (β_V in equation (8), p = 0.002). Section 4.5 describes this sample, which differs from the 27 foreign platforms of H1.</w:t>
      </w:r>
    </w:p>
    <w:p>
      <w:pPr>
        <w:pStyle w:val="BodyText"/>
      </w:pPr>
      <w:r>
        <w:t xml:space="preserve">The second registered prediction does not hold in the main sample. It expected markets to value growth from a higher take rate less than growth from more commerce. A 1 percent rise in the take rate goes with a rise of about 0.3 percent (β_m). That estimate is too uncertain to tell from zero. The gap between the two estimates is not large enough to count (p = 0.20), or p = 0.16 with extreme values trimmed.</w:t>
      </w:r>
    </w:p>
    <w:p>
      <w:pPr>
        <w:pStyle w:val="BodyText"/>
      </w:pPr>
      <w:r>
        <w:t xml:space="preserve">A second run adds three segment series and three more whole companies. There the gap counts (p = 0.004), with about 0.6 for transaction value against about 0.1 for the take rate.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The data do not show that markets valued growth from pricing any less. Revenue and transaction value come from the platforms’ own reports, and market value from share prices. The national figures give a separate view of the same commerce.</w:t>
      </w:r>
    </w:p>
    <w:bookmarkEnd w:id="59"/>
    <w:bookmarkStart w:id="63" w:name="the-platforms-and-the-sellers-in-2023"/>
    <w:p>
      <w:pPr>
        <w:pStyle w:val="Heading2"/>
      </w:pPr>
      <w:r>
        <w:t xml:space="preserve">5.5 The platforms and the sellers in 2023</w:t>
      </w:r>
    </w:p>
    <w:p>
      <w:pPr>
        <w:pStyle w:val="FirstParagraph"/>
      </w:pPr>
      <w:r>
        <w:t xml:space="preserve">Buying through platforms did not boom in 2023. Household spending rose by about 9 percent in current prices that year. Of six measures of buying through platforms, five grew more slowly, and three fell. Blibli is the one exception. Figure 5.3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5.3 shows the two kinds in different colours.</w:t>
      </w:r>
    </w:p>
    <w:p>
      <w:pPr>
        <w:pStyle w:val="CaptionedFigure"/>
      </w:pPr>
      <w:r>
        <w:drawing>
          <wp:inline>
            <wp:extent cx="5334000" cy="2862754"/>
            <wp:effectExtent b="0" l="0" r="0" t="0"/>
            <wp:docPr descr="Figure 5.3" title="" id="61" name="Picture"/>
            <a:graphic>
              <a:graphicData uri="http://schemas.openxmlformats.org/drawingml/2006/picture">
                <pic:pic>
                  <pic:nvPicPr>
                    <pic:cNvPr descr="figures/fig5_3_growth_2023.png" id="62" name="Picture"/>
                    <pic:cNvPicPr>
                      <a:picLocks noChangeArrowheads="1" noChangeAspect="1"/>
                    </pic:cNvPicPr>
                  </pic:nvPicPr>
                  <pic:blipFill>
                    <a:blip r:embed="rId60"/>
                    <a:stretch>
                      <a:fillRect/>
                    </a:stretch>
                  </pic:blipFill>
                  <pic:spPr bwMode="auto">
                    <a:xfrm>
                      <a:off x="0" y="0"/>
                      <a:ext cx="5334000" cy="2862754"/>
                    </a:xfrm>
                    <a:prstGeom prst="rect">
                      <a:avLst/>
                    </a:prstGeom>
                    <a:noFill/>
                    <a:ln w="9525">
                      <a:noFill/>
                      <a:headEnd/>
                      <a:tailEnd/>
                    </a:ln>
                  </pic:spPr>
                </pic:pic>
              </a:graphicData>
            </a:graphic>
          </wp:inline>
        </w:drawing>
      </w:r>
    </w:p>
    <w:p>
      <w:pPr>
        <w:pStyle w:val="ImageCaption"/>
      </w:pPr>
      <w:r>
        <w:t xml:space="preserve">Figure 5.3</w:t>
      </w:r>
    </w:p>
    <w:p>
      <w:pPr>
        <w:pStyle w:val="BodyText"/>
      </w:pPr>
      <w:r>
        <w:rPr>
          <w:bCs/>
          <w:b/>
        </w:rPr>
        <w:t xml:space="preserve">Figure 5.3. Growth in 2023 (percent).</w:t>
      </w:r>
      <w:r>
        <w:t xml:space="preserve"> </w:t>
      </w:r>
      <w: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D gives the values.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 The published count of online sellers nonetheless rose by 27 percent in 2023. A rise of that size, in a year without a boom in sales, needs explaining.</w:t>
      </w:r>
    </w:p>
    <w:bookmarkEnd w:id="63"/>
    <w:bookmarkStart w:id="64" w:name="h2-and-the-entry-test"/>
    <w:p>
      <w:pPr>
        <w:pStyle w:val="Heading2"/>
      </w:pPr>
      <w:r>
        <w:t xml:space="preserve">5.6 H2 and the entry test</w:t>
      </w:r>
    </w:p>
    <w:p>
      <w:pPr>
        <w:pStyle w:val="FirstParagraph"/>
      </w:pPr>
      <w:r>
        <w:t xml:space="preserve">H2 holds on BPS’s published figures, but the registered entry test shows that first-time entry cannot explain the whole rise in the count. From 2022 to 2023, online sales value grew by 41 percent and the number of businesses by 27 percent. More businesses account for 71 percent of that growth, and higher sales per business for the rest.</w:t>
      </w:r>
    </w:p>
    <w:p>
      <w:pPr>
        <w:pStyle w:val="BodyText"/>
      </w:pPr>
      <w:r>
        <w:t xml:space="preserve">H2 holds again from 2023 to 2024. Value grew by 17 percent, and more businesses account for 90 percent of the growth, or 71 percent on BPS’s other count for 2023. The split of equation (7) is arithmetic, and it cannot tell a new seller from one counted for the first time.</w:t>
      </w:r>
    </w:p>
    <w:p>
      <w:pPr>
        <w:pStyle w:val="BodyText"/>
      </w:pPr>
      <w:r>
        <w:t xml:space="preserve">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4"/>
    <w:bookmarkStart w:id="65" w:name="what-the-rise-in-the-count-contains"/>
    <w:p>
      <w:pPr>
        <w:pStyle w:val="Heading2"/>
      </w:pPr>
      <w:r>
        <w:t xml:space="preserve">5.7 What the rise in the count contains</w:t>
      </w:r>
    </w:p>
    <w:p>
      <w:pPr>
        <w:pStyle w:val="FirstParagraph"/>
      </w:pPr>
      <w:r>
        <w:t xml:space="preserve">About half of the 2023 rise in the count is not explained by first-time entry, an exploratory result. Table 5.5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BodyText"/>
      </w:pPr>
      <w:r>
        <w:rPr>
          <w:bCs/>
          <w:b/>
        </w:rPr>
        <w:t xml:space="preserve">Table 5.5. The 2023 rise in the count of online sellers (thousands)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 of the rise</w:t>
            </w:r>
          </w:p>
        </w:tc>
        <w:tc>
          <w:tcPr/>
          <w:p>
            <w:pPr>
              <w:pStyle w:val="Compact"/>
              <w:jc w:val="left"/>
            </w:pPr>
            <w:r>
              <w:t xml:space="preserve">If no seller stopped</w:t>
            </w:r>
          </w:p>
        </w:tc>
        <w:tc>
          <w:tcPr/>
          <w:p>
            <w:pPr>
              <w:pStyle w:val="Compact"/>
              <w:jc w:val="left"/>
            </w:pPr>
            <w:r>
              <w:t xml:space="preserve">If sellers stopped at 5 percent a year</w:t>
            </w:r>
          </w:p>
        </w:tc>
      </w:tr>
      <w:tr>
        <w:tc>
          <w:tcPr/>
          <w:p>
            <w:pPr>
              <w:pStyle w:val="Compact"/>
              <w:jc w:val="left"/>
            </w:pPr>
            <w:r>
              <w:t xml:space="preserve">Rise between the weighted totals of the two files</w:t>
            </w:r>
          </w:p>
        </w:tc>
        <w:tc>
          <w:tcPr/>
          <w:p>
            <w:pPr>
              <w:pStyle w:val="Compact"/>
              <w:jc w:val="left"/>
            </w:pPr>
            <w:r>
              <w:t xml:space="preserve">819 (100%)</w:t>
            </w:r>
          </w:p>
        </w:tc>
        <w:tc>
          <w:tcPr/>
          <w:p>
            <w:pPr>
              <w:pStyle w:val="Compact"/>
              <w:jc w:val="left"/>
            </w:pPr>
            <w:r>
              <w:t xml:space="preserve">819 (100%)</w:t>
            </w:r>
          </w:p>
        </w:tc>
      </w:tr>
      <w:tr>
        <w:tc>
          <w:tcPr/>
          <w:p>
            <w:pPr>
              <w:pStyle w:val="Compact"/>
              <w:jc w:val="left"/>
            </w:pPr>
            <w:r>
              <w:t xml:space="preserve">Net entry: sellers who began in 2023, less those who stopped</w:t>
            </w:r>
          </w:p>
        </w:tc>
        <w:tc>
          <w:tcPr/>
          <w:p>
            <w:pPr>
              <w:pStyle w:val="Compact"/>
              <w:jc w:val="left"/>
            </w:pPr>
            <w:r>
              <w:t xml:space="preserve">513 (63%)</w:t>
            </w:r>
          </w:p>
        </w:tc>
        <w:tc>
          <w:tcPr/>
          <w:p>
            <w:pPr>
              <w:pStyle w:val="Compact"/>
              <w:jc w:val="left"/>
            </w:pPr>
            <w:r>
              <w:t xml:space="preserve">361 (44%)</w:t>
            </w:r>
          </w:p>
        </w:tc>
      </w:tr>
      <w:tr>
        <w:tc>
          <w:tcPr/>
          <w:p>
            <w:pPr>
              <w:pStyle w:val="Compact"/>
              <w:jc w:val="left"/>
            </w:pPr>
            <w:r>
              <w:t xml:space="preserve">Earlier sellers newly counted above the whole 2022 count</w:t>
            </w:r>
          </w:p>
        </w:tc>
        <w:tc>
          <w:tcPr/>
          <w:p>
            <w:pPr>
              <w:pStyle w:val="Compact"/>
              <w:jc w:val="left"/>
            </w:pPr>
            <w:r>
              <w:t xml:space="preserve">306 (37%)</w:t>
            </w:r>
          </w:p>
        </w:tc>
        <w:tc>
          <w:tcPr/>
          <w:p>
            <w:pPr>
              <w:pStyle w:val="Compact"/>
              <w:jc w:val="left"/>
            </w:pPr>
            <w:r>
              <w:t xml:space="preserve">458 (56%)</w:t>
            </w:r>
          </w:p>
        </w:tc>
      </w:tr>
    </w:tbl>
    <w:p>
      <w:pPr>
        <w:pStyle w:val="BodyText"/>
      </w:pPr>
      <w:r>
        <w:rPr>
          <w:iCs/>
          <w:i/>
        </w:rPr>
        <w:t xml:space="preserve">Note:</w:t>
      </w:r>
      <w:r>
        <w:t xml:space="preserve"> </w:t>
      </w:r>
      <w: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was uneven across places and channels. Across the 34 provinces, growth in the count had almost no link to the share of new sellers, a rank correlation of 0.10. It had only a weak link to growth in the sample, at 0.35. A rank correlation compares the order of provinces on two measures and runs from −1 to 1. The break sat in chat and social selling. Among sellers who began by 2022, sellers using only chat or social media rose by 13 percent, and marketplace users by 0.3 percent.</w:t>
      </w:r>
    </w:p>
    <w:p>
      <w:pPr>
        <w:pStyle w:val="BodyText"/>
      </w:pPr>
      <w:r>
        <w:t xml:space="preserve">Sampling noise does not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value has no source in the answers of existing sellers. BPS’s online sales value rose from about US$53 billion to about US$72 billion. Entrants account for 25 to 30 percent of that rise, and sellers not explained by entry for 15 to 17 percent. Existing sellers reported a mean change of about −4 percent, so they added nothing to the rise. That leaves 53 to 59 percent of it with no source in the sellers’ answers.</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bears on the choice between the two.</w:t>
      </w:r>
    </w:p>
    <w:bookmarkEnd w:id="65"/>
    <w:bookmarkStart w:id="69" w:name="who-the-extra-sellers-were"/>
    <w:p>
      <w:pPr>
        <w:pStyle w:val="Heading2"/>
      </w:pPr>
      <w:r>
        <w:t xml:space="preserve">5.8 Who the extra sellers were</w:t>
      </w:r>
    </w:p>
    <w:p>
      <w:pPr>
        <w:pStyle w:val="FirstParagraph"/>
      </w:pPr>
      <w:r>
        <w:t xml:space="preserve">The extra count leaned toward long-running businesses, older owners and places outside Java, an exploratory result. Each group’s extra count is its 2023 count above what its own yearly change from 2020 to 2022 would give (Section 4.7). The extra sellers total about 450 thousand, close to the 458 thousand in Table 5.5. Figure 5.4 compares each group’s share of the extra count with its share of the 2022 count.</w:t>
      </w:r>
    </w:p>
    <w:p>
      <w:pPr>
        <w:pStyle w:val="CaptionedFigure"/>
      </w:pPr>
      <w:r>
        <w:drawing>
          <wp:inline>
            <wp:extent cx="5334000" cy="2117141"/>
            <wp:effectExtent b="0" l="0" r="0" t="0"/>
            <wp:docPr descr="Figure 5.4" title="" id="67" name="Picture"/>
            <a:graphic>
              <a:graphicData uri="http://schemas.openxmlformats.org/drawingml/2006/picture">
                <pic:pic>
                  <pic:nvPicPr>
                    <pic:cNvPr descr="figures/fig5_4_extra_sellers.png" id="68" name="Picture"/>
                    <pic:cNvPicPr>
                      <a:picLocks noChangeArrowheads="1" noChangeAspect="1"/>
                    </pic:cNvPicPr>
                  </pic:nvPicPr>
                  <pic:blipFill>
                    <a:blip r:embed="rId66"/>
                    <a:stretch>
                      <a:fillRect/>
                    </a:stretch>
                  </pic:blipFill>
                  <pic:spPr bwMode="auto">
                    <a:xfrm>
                      <a:off x="0" y="0"/>
                      <a:ext cx="5334000" cy="2117141"/>
                    </a:xfrm>
                    <a:prstGeom prst="rect">
                      <a:avLst/>
                    </a:prstGeom>
                    <a:noFill/>
                    <a:ln w="9525">
                      <a:noFill/>
                      <a:headEnd/>
                      <a:tailEnd/>
                    </a:ln>
                  </pic:spPr>
                </pic:pic>
              </a:graphicData>
            </a:graphic>
          </wp:inline>
        </w:drawing>
      </w:r>
    </w:p>
    <w:p>
      <w:pPr>
        <w:pStyle w:val="ImageCaption"/>
      </w:pPr>
      <w:r>
        <w:t xml:space="preserve">Figure 5.4</w:t>
      </w:r>
    </w:p>
    <w:p>
      <w:pPr>
        <w:pStyle w:val="BodyText"/>
      </w:pPr>
      <w:r>
        <w:rPr>
          <w:bCs/>
          <w:b/>
        </w:rPr>
        <w:t xml:space="preserve">Figure 5.4. Who the extra sellers were.</w:t>
      </w:r>
      <w:r>
        <w:t xml:space="preserve"> </w:t>
      </w:r>
      <w: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bears on whether the extra sellers were returning after a pause.</w:t>
      </w:r>
    </w:p>
    <w:p>
      <w:pPr>
        <w:pStyle w:val="BodyText"/>
      </w:pPr>
      <w:r>
        <w:t xml:space="preserve">Part-year selling weighs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weighs against returners as well. Small firms that stop are more often young firms with young owners (McKenzie and Paffhausen 2019). Returners would then make the extra count lean young. It leaned old.</w:t>
      </w:r>
    </w:p>
    <w:p>
      <w:pPr>
        <w:pStyle w:val="BodyText"/>
      </w:pPr>
      <w:r>
        <w:t xml:space="preserve">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Where online sellers sell, and what records they keep, complete the survey evidence.</w:t>
      </w:r>
    </w:p>
    <w:bookmarkEnd w:id="69"/>
    <w:bookmarkStart w:id="73" w:name="channels-and-records"/>
    <w:p>
      <w:pPr>
        <w:pStyle w:val="Heading2"/>
      </w:pPr>
      <w:r>
        <w:t xml:space="preserve">5.9 Channels and records</w:t>
      </w:r>
    </w:p>
    <w:p>
      <w:pPr>
        <w:pStyle w:val="FirstParagraph"/>
      </w:pPr>
      <w:r>
        <w:t xml:space="preserve">Most online selling happens outside marketplaces, and records are thinner there. The path of marketplace use, the value held by sellers without financial statements and the World Bank results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CaptionedFigure"/>
      </w:pPr>
      <w:r>
        <w:drawing>
          <wp:inline>
            <wp:extent cx="5334000" cy="2553101"/>
            <wp:effectExtent b="0" l="0" r="0" t="0"/>
            <wp:docPr descr="Figure 5.5" title="" id="71" name="Picture"/>
            <a:graphic>
              <a:graphicData uri="http://schemas.openxmlformats.org/drawingml/2006/picture">
                <pic:pic>
                  <pic:nvPicPr>
                    <pic:cNvPr descr="figures/fig5_5_marketplace_and_records.png" id="72" name="Picture"/>
                    <pic:cNvPicPr>
                      <a:picLocks noChangeArrowheads="1" noChangeAspect="1"/>
                    </pic:cNvPicPr>
                  </pic:nvPicPr>
                  <pic:blipFill>
                    <a:blip r:embed="rId70"/>
                    <a:stretch>
                      <a:fillRect/>
                    </a:stretch>
                  </pic:blipFill>
                  <pic:spPr bwMode="auto">
                    <a:xfrm>
                      <a:off x="0" y="0"/>
                      <a:ext cx="5334000" cy="2553101"/>
                    </a:xfrm>
                    <a:prstGeom prst="rect">
                      <a:avLst/>
                    </a:prstGeom>
                    <a:noFill/>
                    <a:ln w="9525">
                      <a:noFill/>
                      <a:headEnd/>
                      <a:tailEnd/>
                    </a:ln>
                  </pic:spPr>
                </pic:pic>
              </a:graphicData>
            </a:graphic>
          </wp:inline>
        </w:drawing>
      </w:r>
    </w:p>
    <w:p>
      <w:pPr>
        <w:pStyle w:val="ImageCaption"/>
      </w:pPr>
      <w:r>
        <w:t xml:space="preserve">Figure 5.5</w:t>
      </w:r>
    </w:p>
    <w:p>
      <w:pPr>
        <w:pStyle w:val="BodyText"/>
      </w:pPr>
      <w:r>
        <w:rPr>
          <w:bCs/>
          <w:b/>
        </w:rPr>
        <w:t xml:space="preserve">Figure 5.5. Marketplace use and financial statements, 2020 to 2024.</w:t>
      </w:r>
      <w:r>
        <w:t xml:space="preserve"> </w:t>
      </w:r>
      <w: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Records are thinner outside the marketplaces. In 2023, about 29 percent of marketplace sellers kept complete financial statements, against about 12 percent of other sellers. Figure 5.5 shows the share of all sellers who keep them falling. The fall from 2020 to 2022 came while the survey appears to have counted the same kinds of seller. The fall in 2023 may partly reflect the chat-only sellers added to the count.</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 The annual reading of the brackets passes the validation rule, at about twice BPS’s total, while the monthly reading fails at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w:t>
      </w:r>
    </w:p>
    <w:p>
      <w:pPr>
        <w:pStyle w:val="BodyText"/>
      </w:pPr>
      <w:r>
        <w:t xml:space="preserve">The split by channel bears on the third question of Section 2.4, because a rule built on platform records reaches only the marketplace part. Chapter 6 measures that reach. The same split also marks where the national figures part.</w:t>
      </w:r>
    </w:p>
    <w:bookmarkEnd w:id="73"/>
    <w:bookmarkStart w:id="74" w:name="why-the-national-figures-disagree"/>
    <w:p>
      <w:pPr>
        <w:pStyle w:val="Heading2"/>
      </w:pPr>
      <w:r>
        <w:t xml:space="preserve">5.10 Why the national figures disagree</w:t>
      </w:r>
    </w:p>
    <w:p>
      <w:pPr>
        <w:pStyle w:val="FirstParagraph"/>
      </w:pPr>
      <w:r>
        <w:t xml:space="preserve">The national figures agree on growth only where they cover the same sellers, and they do not agree on scale. In 2023, Bank Indonesia’s e-commerce figure fell by about 5 percent while BPS’s rose by about 41 percent. That is the disagreement with which Chapter 1 began,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Across the scenarios it grew by 0.2 to 13 percent.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Table 4.3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QRIS payments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 In 2023, BPS’s marketplace slice was about US$13 billion, against about US$38 billion for Tokopedia and the Shopee estimate together. In 2024 it was less than a quarter of Momentum Works’ marketplace estimate of about US$57 billion.</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said that it had about 15 million merchants in 2022, while BPS counts about 0.6 million marketplace sellers.</w:t>
      </w:r>
    </w:p>
    <w:p>
      <w:pPr>
        <w:pStyle w:val="BodyText"/>
      </w:pPr>
      <w:r>
        <w:t xml:space="preserve">Platform sales do not always keep pace with household spending. In each of the four quarters to mid-2026, GoTo’s on-demand transaction value grew more slowly than household spending. In the last, it grew by 2 percent against 8 percent, while its revenue grew by 21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part most where only the survey looks. Chapter 6 turns to the rules that Indonesia is writing.</w:t>
      </w:r>
    </w:p>
    <w:bookmarkEnd w:id="74"/>
    <w:bookmarkEnd w:id="75"/>
    <w:bookmarkStart w:id="82" w:name="Xf3297f1c0094fd76621fe8d81a0cbffa613ab7d"/>
    <w:p>
      <w:pPr>
        <w:pStyle w:val="Heading1"/>
      </w:pPr>
      <w:r>
        <w:t xml:space="preserve">Chapter 6. The Rules and How Far They Reach</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pPr>
      <w:r>
        <w:t xml:space="preserve">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6"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6.1 lists each rule with the part it acts on and the section of Chapter 5 that measures that part.</w:t>
      </w:r>
    </w:p>
    <w:p>
      <w:pPr>
        <w:pStyle w:val="BodyText"/>
      </w:pPr>
      <w:r>
        <w:rPr>
          <w:bCs/>
          <w:b/>
        </w:rPr>
        <w:t xml:space="preserve">Table 6.1. Indonesia’s recent rules and what each acts 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What it does</w:t>
            </w:r>
          </w:p>
        </w:tc>
        <w:tc>
          <w:tcPr/>
          <w:p>
            <w:pPr>
              <w:pStyle w:val="Compact"/>
              <w:jc w:val="left"/>
            </w:pPr>
            <w:r>
              <w:t xml:space="preserve">What it acts on</w:t>
            </w:r>
          </w:p>
        </w:tc>
        <w:tc>
          <w:tcPr/>
          <w:p>
            <w:pPr>
              <w:pStyle w:val="Compact"/>
              <w:jc w:val="left"/>
            </w:pPr>
            <w:r>
              <w:t xml:space="preserve">Measured in</w:t>
            </w:r>
          </w:p>
        </w:tc>
        <w:tc>
          <w:tcPr/>
          <w:p>
            <w:pPr>
              <w:pStyle w:val="Compact"/>
              <w:jc w:val="left"/>
            </w:pPr>
            <w:r>
              <w:t xml:space="preserve">Status of the text</w:t>
            </w:r>
          </w:p>
        </w:tc>
      </w:tr>
      <w:tr>
        <w:tc>
          <w:tcPr/>
          <w:p>
            <w:pPr>
              <w:pStyle w:val="Compact"/>
              <w:jc w:val="left"/>
            </w:pPr>
            <w:r>
              <w:t xml:space="preserve">Commission cap (Transport Minister Decree KP-PHB 532/2026; Presidential Regulation 27/2026)</w:t>
            </w:r>
          </w:p>
        </w:tc>
        <w:tc>
          <w:tcPr/>
          <w:p>
            <w:pPr>
              <w:pStyle w:val="Compact"/>
              <w:jc w:val="left"/>
            </w:pPr>
            <w:r>
              <w:t xml:space="preserve">Caps the commission on two-wheel passenger trips at 8 percent from 1 July 2026</w:t>
            </w:r>
          </w:p>
        </w:tc>
        <w:tc>
          <w:tcPr/>
          <w:p>
            <w:pPr>
              <w:pStyle w:val="Compact"/>
              <w:jc w:val="left"/>
            </w:pPr>
            <w:r>
              <w:t xml:space="preserve">The fee rate, for one service</w:t>
            </w:r>
          </w:p>
        </w:tc>
        <w:tc>
          <w:tcPr/>
          <w:p>
            <w:pPr>
              <w:pStyle w:val="Compact"/>
              <w:jc w:val="left"/>
            </w:pPr>
            <w:r>
              <w:t xml:space="preserve">5.3</w:t>
            </w:r>
          </w:p>
        </w:tc>
        <w:tc>
          <w:tcPr/>
          <w:p>
            <w:pPr>
              <w:pStyle w:val="Compact"/>
              <w:jc w:val="left"/>
            </w:pPr>
            <w:r>
              <w:t xml:space="preserve">Decree in force from July 2026; presidential regulation released 8 October 2026; neither text public when this thesis was written</w:t>
            </w:r>
          </w:p>
        </w:tc>
      </w:tr>
      <w:tr>
        <w:tc>
          <w:tcPr/>
          <w:p>
            <w:pPr>
              <w:pStyle w:val="Compact"/>
              <w:jc w:val="left"/>
            </w:pPr>
            <w:r>
              <w:t xml:space="preserve">Discount rule (Trade Minister Regulation 19/2026, Art. 18)</w:t>
            </w:r>
          </w:p>
        </w:tc>
        <w:tc>
          <w:tcPr/>
          <w:p>
            <w:pPr>
              <w:pStyle w:val="Compact"/>
              <w:jc w:val="left"/>
            </w:pPr>
            <w:r>
              <w:t xml:space="preserve">Requires every online trade operator, including ride-hailing apps that sell goods, to prevent repeated price subsidies that hurt local products and endless below-cost discounts</w:t>
            </w:r>
          </w:p>
        </w:tc>
        <w:tc>
          <w:tcPr/>
          <w:p>
            <w:pPr>
              <w:pStyle w:val="Compact"/>
              <w:jc w:val="left"/>
            </w:pPr>
            <w:r>
              <w:t xml:space="preserve">The incentive rate</w:t>
            </w:r>
          </w:p>
        </w:tc>
        <w:tc>
          <w:tcPr/>
          <w:p>
            <w:pPr>
              <w:pStyle w:val="Compact"/>
              <w:jc w:val="left"/>
            </w:pPr>
            <w:r>
              <w:t xml:space="preserve">5.3</w:t>
            </w:r>
          </w:p>
        </w:tc>
        <w:tc>
          <w:tcPr/>
          <w:p>
            <w:pPr>
              <w:pStyle w:val="Compact"/>
              <w:jc w:val="left"/>
            </w:pPr>
            <w:r>
              <w:t xml:space="preserve">Primary text read</w:t>
            </w:r>
          </w:p>
        </w:tc>
      </w:tr>
      <w:tr>
        <w:tc>
          <w:tcPr/>
          <w:p>
            <w:pPr>
              <w:pStyle w:val="Compact"/>
              <w:jc w:val="left"/>
            </w:pPr>
            <w:r>
              <w:t xml:space="preserve">Marketplace tax (Finance Minister Regulation 37/2025)</w:t>
            </w:r>
          </w:p>
        </w:tc>
        <w:tc>
          <w:tcPr/>
          <w:p>
            <w:pPr>
              <w:pStyle w:val="Compact"/>
              <w:jc w:val="left"/>
            </w:pPr>
            <w:r>
              <w:t xml:space="preserve">Designated marketplaces collect 0.5 percent of domestic sellers’ gross sales; individuals with sales up to Rp500 million a year are exempt; every seller gives a tax number or national ID</w:t>
            </w:r>
          </w:p>
        </w:tc>
        <w:tc>
          <w:tcPr/>
          <w:p>
            <w:pPr>
              <w:pStyle w:val="Compact"/>
              <w:jc w:val="left"/>
            </w:pPr>
            <w:r>
              <w:t xml:space="preserve">Sellers’ sales inside marketplaces</w:t>
            </w:r>
          </w:p>
        </w:tc>
        <w:tc>
          <w:tcPr/>
          <w:p>
            <w:pPr>
              <w:pStyle w:val="Compact"/>
              <w:jc w:val="left"/>
            </w:pPr>
            <w:r>
              <w:t xml:space="preserve">5.9</w:t>
            </w:r>
          </w:p>
        </w:tc>
        <w:tc>
          <w:tcPr/>
          <w:p>
            <w:pPr>
              <w:pStyle w:val="Compact"/>
              <w:jc w:val="left"/>
            </w:pPr>
            <w:r>
              <w:t xml:space="preserve">Primary text read; collected by Shopee, Tokopedia, Lazada and Blibli since 1 October 2026</w:t>
            </w:r>
          </w:p>
        </w:tc>
      </w:tr>
      <w:tr>
        <w:tc>
          <w:tcPr/>
          <w:p>
            <w:pPr>
              <w:pStyle w:val="Compact"/>
              <w:jc w:val="left"/>
            </w:pPr>
            <w:r>
              <w:t xml:space="preserve">Small-business final tax (Government Regulation 20/2026)</w:t>
            </w:r>
          </w:p>
        </w:tc>
        <w:tc>
          <w:tcPr/>
          <w:p>
            <w:pPr>
              <w:pStyle w:val="Compact"/>
              <w:jc w:val="left"/>
            </w:pPr>
            <w:r>
              <w:t xml:space="preserve">Keeps a 0.5 percent final tax on turnover up to Rp4.8 billion a year; excludes content creators</w:t>
            </w:r>
          </w:p>
        </w:tc>
        <w:tc>
          <w:tcPr/>
          <w:p>
            <w:pPr>
              <w:pStyle w:val="Compact"/>
              <w:jc w:val="left"/>
            </w:pPr>
            <w:r>
              <w:t xml:space="preserve">Small sellers in every channel</w:t>
            </w:r>
          </w:p>
        </w:tc>
        <w:tc>
          <w:tcPr/>
          <w:p>
            <w:pPr>
              <w:pStyle w:val="Compact"/>
              <w:jc w:val="left"/>
            </w:pPr>
            <w:r>
              <w:t xml:space="preserve">Not measured</w:t>
            </w:r>
          </w:p>
        </w:tc>
        <w:tc>
          <w:tcPr/>
          <w:p>
            <w:pPr>
              <w:pStyle w:val="Compact"/>
              <w:jc w:val="left"/>
            </w:pPr>
            <w:r>
              <w:t xml:space="preserve">Primary text read</w:t>
            </w:r>
          </w:p>
        </w:tc>
      </w:tr>
      <w:tr>
        <w:tc>
          <w:tcPr/>
          <w:p>
            <w:pPr>
              <w:pStyle w:val="Compact"/>
              <w:jc w:val="left"/>
            </w:pPr>
            <w:r>
              <w:t xml:space="preserve">Platform data to BPS (BPS Regulation 4/2023)</w:t>
            </w:r>
          </w:p>
        </w:tc>
        <w:tc>
          <w:tcPr/>
          <w:p>
            <w:pPr>
              <w:pStyle w:val="Compact"/>
              <w:jc w:val="left"/>
            </w:pPr>
            <w:r>
              <w:t xml:space="preserve">E-commerce operators must send BPS their revenue, transactions and numbers of sellers and buyers, with sanctions</w:t>
            </w:r>
          </w:p>
        </w:tc>
        <w:tc>
          <w:tcPr/>
          <w:p>
            <w:pPr>
              <w:pStyle w:val="Compact"/>
              <w:jc w:val="left"/>
            </w:pPr>
            <w:r>
              <w:t xml:space="preserve">BPS’s coverage</w:t>
            </w:r>
          </w:p>
        </w:tc>
        <w:tc>
          <w:tcPr/>
          <w:p>
            <w:pPr>
              <w:pStyle w:val="Compact"/>
              <w:jc w:val="left"/>
            </w:pPr>
            <w:r>
              <w:t xml:space="preserve">5.10</w:t>
            </w:r>
          </w:p>
        </w:tc>
        <w:tc>
          <w:tcPr/>
          <w:p>
            <w:pPr>
              <w:pStyle w:val="Compact"/>
              <w:jc w:val="left"/>
            </w:pPr>
            <w:r>
              <w:t xml:space="preserve">Primary text read</w:t>
            </w:r>
          </w:p>
        </w:tc>
      </w:tr>
      <w:tr>
        <w:tc>
          <w:tcPr/>
          <w:p>
            <w:pPr>
              <w:pStyle w:val="Compact"/>
              <w:jc w:val="left"/>
            </w:pPr>
            <w:r>
              <w:t xml:space="preserve">Economic census 2026</w:t>
            </w:r>
          </w:p>
        </w:tc>
        <w:tc>
          <w:tcPr/>
          <w:p>
            <w:pPr>
              <w:pStyle w:val="Compact"/>
              <w:jc w:val="left"/>
            </w:pPr>
            <w:r>
              <w:t xml:space="preserve">Door-to-door count of all businesses, including online selling, affiliates and influencers</w:t>
            </w:r>
          </w:p>
        </w:tc>
        <w:tc>
          <w:tcPr/>
          <w:p>
            <w:pPr>
              <w:pStyle w:val="Compact"/>
              <w:jc w:val="left"/>
            </w:pPr>
            <w:r>
              <w:t xml:space="preserve">BPS’s sampling frame</w:t>
            </w:r>
          </w:p>
        </w:tc>
        <w:tc>
          <w:tcPr/>
          <w:p>
            <w:pPr>
              <w:pStyle w:val="Compact"/>
              <w:jc w:val="left"/>
            </w:pPr>
            <w:r>
              <w:t xml:space="preserve">5.7</w:t>
            </w:r>
          </w:p>
        </w:tc>
        <w:tc>
          <w:tcPr/>
          <w:p>
            <w:pPr>
              <w:pStyle w:val="Compact"/>
              <w:jc w:val="left"/>
            </w:pPr>
            <w:r>
              <w:t xml:space="preserve">News reports; results not yet released</w:t>
            </w:r>
          </w:p>
        </w:tc>
      </w:tr>
      <w:tr>
        <w:tc>
          <w:tcPr/>
          <w:p>
            <w:pPr>
              <w:pStyle w:val="Compact"/>
              <w:jc w:val="left"/>
            </w:pPr>
            <w:r>
              <w:t xml:space="preserve">Ban on payments on social media (Trade Minister Regulation 31/2023, carried into Regulation 19/2026)</w:t>
            </w:r>
          </w:p>
        </w:tc>
        <w:tc>
          <w:tcPr/>
          <w:p>
            <w:pPr>
              <w:pStyle w:val="Compact"/>
              <w:jc w:val="left"/>
            </w:pPr>
            <w:r>
              <w:t xml:space="preserve">Bars social media platforms from handling payments for sales</w:t>
            </w:r>
          </w:p>
        </w:tc>
        <w:tc>
          <w:tcPr/>
          <w:p>
            <w:pPr>
              <w:pStyle w:val="Compact"/>
              <w:jc w:val="left"/>
            </w:pPr>
            <w:r>
              <w:t xml:space="preserve">Where online sales are paid</w:t>
            </w:r>
          </w:p>
        </w:tc>
        <w:tc>
          <w:tcPr/>
          <w:p>
            <w:pPr>
              <w:pStyle w:val="Compact"/>
              <w:jc w:val="left"/>
            </w:pPr>
            <w:r>
              <w:t xml:space="preserve">5.9</w:t>
            </w:r>
          </w:p>
        </w:tc>
        <w:tc>
          <w:tcPr/>
          <w:p>
            <w:pPr>
              <w:pStyle w:val="Compact"/>
              <w:jc w:val="left"/>
            </w:pPr>
            <w:r>
              <w:t xml:space="preserve">Primary text read</w:t>
            </w:r>
          </w:p>
        </w:tc>
      </w:tr>
    </w:tbl>
    <w:p>
      <w:pPr>
        <w:pStyle w:val="BodyText"/>
      </w:pPr>
      <w:r>
        <w:rPr>
          <w:iCs/>
          <w:i/>
        </w:rPr>
        <w:t xml:space="preserve">Note:</w:t>
      </w:r>
      <w:r>
        <w:t xml:space="preserve"> </w:t>
      </w:r>
      <w:r>
        <w:t xml:space="preserve">At the 2024 rate, Rp500 million is about US$32,000 and Rp4.8 billion about US$300,000. Section 4.8 converts the exemption at the 2022 rate, about US$34,000, to match the survey year. Source: the legal texts; news reports where marked.</w:t>
      </w:r>
    </w:p>
    <w:p>
      <w:pPr>
        <w:pStyle w:val="BodyText"/>
      </w:pPr>
      <w:r>
        <w:t xml:space="preserve">Equation (6)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with which Chapter 1 began.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3.1, from the take rate outward.</w:t>
      </w:r>
    </w:p>
    <w:bookmarkEnd w:id="76"/>
    <w:bookmarkStart w:id="77" w:name="X28b7fd3199e423b82cfc8b23ae379c54a934281"/>
    <w:p>
      <w:pPr>
        <w:pStyle w:val="Heading2"/>
      </w:pPr>
      <w:r>
        <w:t xml:space="preserve">6.2 What the commission cap and the discount rule can move</w:t>
      </w:r>
    </w:p>
    <w:p>
      <w:pPr>
        <w:pStyle w:val="FirstParagraph"/>
      </w:pPr>
      <w:r>
        <w:t xml:space="preserve">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A cap on one fee does not fix the take rate, because the platform still sets its incentives. At GoTo, on-demand revenue rose by about 21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Table 5.4.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 Setyowati 2026). The government declined to cap these fees. It later required marketplaces to halve the service fee for small sellers of local products, a rule not yet in force by late August 2026 (Ayudiana 2026). The rules on the take rate cap one fee on one ride-hailing service and leave the largest marketplace fees free. How far the cap moves the companies’ take rates is the subject of the predictions in Section 6.5.</w:t>
      </w:r>
    </w:p>
    <w:bookmarkEnd w:id="77"/>
    <w:bookmarkStart w:id="78"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 It had begun once in August 2026, then stopped, and the tax collected was returned.</w:t>
      </w:r>
    </w:p>
    <w:p>
      <w:pPr>
        <w:pStyle w:val="BodyText"/>
      </w:pPr>
      <w:r>
        <w:t xml:space="preserve">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17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t xml:space="preserve">The tax adds a record more than revenue. Whether sellers move away from the four marketplaces now that collection has started will be known only from later data.</w:t>
      </w:r>
    </w:p>
    <w:bookmarkEnd w:id="78"/>
    <w:bookmarkStart w:id="79" w:name="what-the-statistics-rules-can-change"/>
    <w:p>
      <w:pPr>
        <w:pStyle w:val="Heading2"/>
      </w:pPr>
      <w:r>
        <w:t xml:space="preserve">6.4 What the statistics rules can change</w:t>
      </w:r>
    </w:p>
    <w:p>
      <w:pPr>
        <w:pStyle w:val="FirstParagraph"/>
      </w:pPr>
      <w:r>
        <w:t xml:space="preserve">The rules on statistics act on the outer link, where the national figures parted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part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79"/>
    <w:bookmarkStart w:id="80"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bear on the commission cap, one on marketplace fees and one on buying through platforms. The ninth concerns BPS’s next figure for the marketplace share. Table 6.2 lists them with the date each is scored.</w:t>
      </w:r>
    </w:p>
    <w:p>
      <w:pPr>
        <w:pStyle w:val="BodyText"/>
      </w:pPr>
      <w:r>
        <w:rPr>
          <w:bCs/>
          <w:b/>
        </w:rPr>
        <w:t xml:space="preserve">Table 6.2. Registered predictions on the 2026 rules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Prediction</w:t>
            </w:r>
          </w:p>
        </w:tc>
        <w:tc>
          <w:tcPr/>
          <w:p>
            <w:pPr>
              <w:pStyle w:val="Compact"/>
              <w:jc w:val="left"/>
            </w:pPr>
            <w:r>
              <w:t xml:space="preserve">What it expects</w:t>
            </w:r>
          </w:p>
        </w:tc>
        <w:tc>
          <w:tcPr/>
          <w:p>
            <w:pPr>
              <w:pStyle w:val="Compact"/>
              <w:jc w:val="left"/>
            </w:pPr>
            <w:r>
              <w:t xml:space="preserve">Bears on</w:t>
            </w:r>
          </w:p>
        </w:tc>
        <w:tc>
          <w:tcPr/>
          <w:p>
            <w:pPr>
              <w:pStyle w:val="Compact"/>
              <w:jc w:val="left"/>
            </w:pPr>
            <w:r>
              <w:t xml:space="preserve">Scored</w:t>
            </w:r>
          </w:p>
        </w:tc>
        <w:tc>
          <w:tcPr/>
          <w:p>
            <w:pPr>
              <w:pStyle w:val="Compact"/>
              <w:jc w:val="left"/>
            </w:pPr>
            <w:r>
              <w:t xml:space="preserve">Outcome</w:t>
            </w:r>
          </w:p>
        </w:tc>
      </w:tr>
      <w:tr>
        <w:tc>
          <w:tcPr/>
          <w:p>
            <w:pPr>
              <w:pStyle w:val="Compact"/>
              <w:jc w:val="left"/>
            </w:pPr>
            <w:r>
              <w:t xml:space="preserve">P1</w:t>
            </w:r>
          </w:p>
        </w:tc>
        <w:tc>
          <w:tcPr/>
          <w:p>
            <w:pPr>
              <w:pStyle w:val="Compact"/>
              <w:jc w:val="left"/>
            </w:pPr>
            <w:r>
              <w:t xml:space="preserve">GoTo’s on-demand take rate falls by 0.3 to 2.5 points from the second quarter of 2026</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P3</w:t>
            </w:r>
          </w:p>
        </w:tc>
        <w:tc>
          <w:tcPr/>
          <w:p>
            <w:pPr>
              <w:pStyle w:val="Compact"/>
              <w:jc w:val="left"/>
            </w:pPr>
            <w:r>
              <w:t xml:space="preserve">GoTo’s on-demand transaction value grows by 0 to 12 percent on a year earlier</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P5</w:t>
            </w:r>
          </w:p>
        </w:tc>
        <w:tc>
          <w:tcPr/>
          <w:p>
            <w:pPr>
              <w:pStyle w:val="Compact"/>
              <w:jc w:val="left"/>
            </w:pPr>
            <w:r>
              <w:t xml:space="preserve">GoTo’s on-demand transaction value grows by at least 5 percent; the prediction fails only below 2 percent</w:t>
            </w:r>
          </w:p>
        </w:tc>
        <w:tc>
          <w:tcPr/>
          <w:p>
            <w:pPr>
              <w:pStyle w:val="Compact"/>
              <w:jc w:val="left"/>
            </w:pPr>
            <w:r>
              <w:t xml:space="preserve">Commission cap, with spending on growth</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R1</w:t>
            </w:r>
          </w:p>
        </w:tc>
        <w:tc>
          <w:tcPr/>
          <w:p>
            <w:pPr>
              <w:pStyle w:val="Compact"/>
              <w:jc w:val="left"/>
            </w:pPr>
            <w:r>
              <w:t xml:space="preserve">GoTo’s on-demand revenue growth less transaction value growth lies between −0.5 and +12.5 points; it follows from P1 and P3</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R2</w:t>
            </w:r>
          </w:p>
        </w:tc>
        <w:tc>
          <w:tcPr/>
          <w:p>
            <w:pPr>
              <w:pStyle w:val="Compact"/>
              <w:jc w:val="left"/>
            </w:pPr>
            <w:r>
              <w:t xml:space="preserve">GoTo’s on-demand transaction value grows more slowly than household spending</w:t>
            </w:r>
          </w:p>
        </w:tc>
        <w:tc>
          <w:tcPr/>
          <w:p>
            <w:pPr>
              <w:pStyle w:val="Compact"/>
              <w:jc w:val="left"/>
            </w:pPr>
            <w:r>
              <w:t xml:space="preserve">Buying through platforms</w:t>
            </w:r>
          </w:p>
        </w:tc>
        <w:tc>
          <w:tcPr/>
          <w:p>
            <w:pPr>
              <w:pStyle w:val="Compact"/>
              <w:jc w:val="left"/>
            </w:pPr>
            <w:r>
              <w:t xml:space="preserve">Early November 2026</w:t>
            </w:r>
          </w:p>
        </w:tc>
        <w:tc>
          <w:tcPr/>
          <w:p>
            <w:pPr>
              <w:pStyle w:val="Compact"/>
              <w:jc w:val="left"/>
            </w:pPr>
            <w:r>
              <w:t xml:space="preserve">[to be filled]</w:t>
            </w:r>
          </w:p>
        </w:tc>
      </w:tr>
      <w:tr>
        <w:tc>
          <w:tcPr/>
          <w:p>
            <w:pPr>
              <w:pStyle w:val="Compact"/>
              <w:jc w:val="left"/>
            </w:pPr>
            <w:r>
              <w:t xml:space="preserve">P2</w:t>
            </w:r>
          </w:p>
        </w:tc>
        <w:tc>
          <w:tcPr/>
          <w:p>
            <w:pPr>
              <w:pStyle w:val="Compact"/>
              <w:jc w:val="left"/>
            </w:pPr>
            <w:r>
              <w:t xml:space="preserve">Grab’s on-demand take rate stays within −0.6 to +0.4 points of the second quarter</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P4</w:t>
            </w:r>
          </w:p>
        </w:tc>
        <w:tc>
          <w:tcPr/>
          <w:p>
            <w:pPr>
              <w:pStyle w:val="Compact"/>
              <w:jc w:val="left"/>
            </w:pPr>
            <w:r>
              <w:t xml:space="preserve">Grab’s change in the rides take rate, less its change in the deliveries take rate, is at most +0.3 points</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R3</w:t>
            </w:r>
          </w:p>
        </w:tc>
        <w:tc>
          <w:tcPr/>
          <w:p>
            <w:pPr>
              <w:pStyle w:val="Compact"/>
              <w:jc w:val="left"/>
            </w:pPr>
            <w:r>
              <w:t xml:space="preserve">Shopee’s revenue growth less its transaction value growth is at least +10 points</w:t>
            </w:r>
          </w:p>
        </w:tc>
        <w:tc>
          <w:tcPr/>
          <w:p>
            <w:pPr>
              <w:pStyle w:val="Compact"/>
              <w:jc w:val="left"/>
            </w:pPr>
            <w:r>
              <w:t xml:space="preserve">Marketplace fees</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Marketplace share</w:t>
            </w:r>
          </w:p>
        </w:tc>
        <w:tc>
          <w:tcPr/>
          <w:p>
            <w:pPr>
              <w:pStyle w:val="Compact"/>
              <w:jc w:val="left"/>
            </w:pPr>
            <w:r>
              <w:t xml:space="preserve">BPS’s next marketplace share of online sales value is at most 15.79 percent</w:t>
            </w:r>
          </w:p>
        </w:tc>
        <w:tc>
          <w:tcPr/>
          <w:p>
            <w:pPr>
              <w:pStyle w:val="Compact"/>
              <w:jc w:val="left"/>
            </w:pPr>
            <w:r>
              <w:t xml:space="preserve">Reach of marketplace rules</w:t>
            </w:r>
          </w:p>
        </w:tc>
        <w:tc>
          <w:tcPr/>
          <w:p>
            <w:pPr>
              <w:pStyle w:val="Compact"/>
              <w:jc w:val="left"/>
            </w:pPr>
            <w:r>
              <w:t xml:space="preserve">Next BPS release</w:t>
            </w:r>
          </w:p>
        </w:tc>
        <w:tc>
          <w:tcPr/>
          <w:p>
            <w:pPr>
              <w:pStyle w:val="Compact"/>
              <w:jc w:val="left"/>
            </w:pPr>
            <w:r>
              <w:t xml:space="preserve">[to be filled]</w:t>
            </w:r>
          </w:p>
        </w:tc>
      </w:tr>
    </w:tbl>
    <w:p>
      <w:pPr>
        <w:pStyle w:val="BodyText"/>
      </w:pPr>
      <w:r>
        <w:rPr>
          <w:iCs/>
          <w:i/>
        </w:rPr>
        <w:t xml:space="preserve">Note:</w:t>
      </w:r>
      <w:r>
        <w:t xml:space="preserve"> </w:t>
      </w:r>
      <w:r>
        <w:t xml:space="preserve">Ranges as registered; registration dates are in Appendix C.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p>
      <w:pPr>
        <w:pStyle w:val="BlockText"/>
      </w:pPr>
      <w:r>
        <w:rPr>
          <w:bCs/>
          <w:b/>
        </w:rPr>
        <w:t xml:space="preserve">[Results slot.** To be written after the GoTo results (late October), the BPS national accounts (early November) and the Grab and Sea results (mid-November). For each outcome: the result against its range in Table 6.2 and Appendix C, then one paragraph on what the outcomes show about the cap and one on marketplace fees.**]</w:t>
      </w:r>
    </w:p>
    <w:p>
      <w:pPr>
        <w:pStyle w:val="FirstParagraph"/>
      </w:pPr>
      <w:r>
        <w:t xml:space="preserve">The outcomes will be reported whatever their direction, as the other registered tests are.</w:t>
      </w:r>
    </w:p>
    <w:bookmarkEnd w:id="80"/>
    <w:bookmarkStart w:id="81"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(6),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1"/>
    <w:bookmarkEnd w:id="82"/>
    <w:bookmarkStart w:id="88" w:name="chapter-7.-conclusion"/>
    <w:p>
      <w:pPr>
        <w:pStyle w:val="Heading1"/>
      </w:pPr>
      <w:r>
        <w:t xml:space="preserve">Chapter 7. Conclusion</w:t>
      </w:r>
    </w:p>
    <w:p>
      <w:pPr>
        <w:pStyle w:val="FirstParagraph"/>
      </w:pPr>
      <w:r>
        <w:t xml:space="preserve">Each figure of Indonesia’s online economy is a fair guide to another only while a condition holds. Revenue follows transaction value while the take rate stays steady. A survey’s count of sellers follows entry while the survey’s reach stays steady. Between 2021 and 2024 the platforms’ take rates moved, and revenue parted from the commerce it carried. In 2023 about half of the rise in BPS’s count of online sellers was not explained by first-time entry.</w:t>
      </w:r>
    </w:p>
    <w:p>
      <w:pPr>
        <w:pStyle w:val="BodyText"/>
      </w:pPr>
      <w:r>
        <w:t xml:space="preserve">This chapter answers the research question at both links of Figure 3.1. It then says what the answer adds for those who use the figures, reports the predictions that failed, states the limits of the evidence and sets out the next steps.</w:t>
      </w:r>
    </w:p>
    <w:bookmarkStart w:id="83"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t xml:space="preserve">The answer to the second half differs by link. On the inner link, the choice of revenue changed the conclusion between 2021 and 2024. The Indonesian and regional platforms changed their take rates about three times as much as platforms abroad, measured against the take rate itself, so H1 is rejected. They keep a much thinner share of each sale, so price changes of a similar size in points moved their revenue far more. In the windows traced, pricing moved revenue more than commerce did.</w:t>
      </w:r>
    </w:p>
    <w:p>
      <w:pPr>
        <w:pStyle w:val="BodyText"/>
      </w:pPr>
      <w: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The national figures agree on growth where they cover the same sellers. They part outside the marketplaces, among the chat and social sellers that only BPS reaches. The figure a reader picks decides whether 2023 looks like a stall or a boom. Market value, for its part, moved with transaction value, and the data do not show that markets valued growth from pricing any less.</w:t>
      </w:r>
    </w:p>
    <w:bookmarkEnd w:id="83"/>
    <w:bookmarkStart w:id="84"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more commerce and a larger take rate with two public figures (equation (5)). In Indonesia, the take rate accounted for about two thirds of a revenue move at the typical pair, against about a quarter abroad. The thinner the take rate, the more a small change in fees or incentives moves revenue growth. Across 28 listed platforms, market value moved with transaction value, as a registered prediction stated.</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4"/>
    <w:bookmarkStart w:id="85" w:name="predictions-that-failed"/>
    <w:p>
      <w:pPr>
        <w:pStyle w:val="Heading2"/>
      </w:pPr>
      <w:r>
        <w:t xml:space="preserve">7.3 Predictions that failed</w:t>
      </w:r>
    </w:p>
    <w:p>
      <w:pPr>
        <w:pStyle w:val="FirstParagraph"/>
      </w:pPr>
      <w:r>
        <w:t xml:space="preserve">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2021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though by only 3.3 points on a second version.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Appendix C lists every registered test with its outcome. The predictions on the 2026 rules are scored in Section 6.5. One of them, that the start of the marketplace tax would slip again, was withdrawn, because the tax had started a day before the prediction was registered.</w:t>
      </w:r>
    </w:p>
    <w:bookmarkEnd w:id="85"/>
    <w:bookmarkStart w:id="86" w:name="limits-of-the-evidence"/>
    <w:p>
      <w:pPr>
        <w:pStyle w:val="Heading2"/>
      </w:pPr>
      <w:r>
        <w:t xml:space="preserve">7.4 Limits of the evidence</w:t>
      </w:r>
    </w:p>
    <w:p>
      <w:pPr>
        <w:pStyle w:val="FirstParagraph"/>
      </w:pPr>
      <w: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part where they cover different sellers. The splits of Table 5.4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 The tests of H1 are one-sided, because each asks whether the Indonesian and regional group moves more. A two-sided test would about double each p-value, and the main Mann–Whitney result would still be below 1 percent.</w:t>
      </w:r>
    </w:p>
    <w:p>
      <w:pPr>
        <w:pStyle w:val="BodyText"/>
      </w:pPr>
      <w:r>
        <w:t xml:space="preserve">The platform figures carry their own limits. Shopee’s and Grab’s Indonesian amounts rest on an outside estimate, an assumed take rate or a company-wide ratio, and they stay out of the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 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B).</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rest on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Three of the sources are licensed: the BPS survey files, the LSEG market values and the World Bank survey files. The repository holds the code and the national totals, and anyone who obtains the same files can rerun the analysis. The evidence concerns Indonesia, with regional series labelled as such.</w:t>
      </w:r>
    </w:p>
    <w:bookmarkEnd w:id="86"/>
    <w:bookmarkStart w:id="87" w:name="next-steps"/>
    <w:p>
      <w:pPr>
        <w:pStyle w:val="Heading2"/>
      </w:pPr>
      <w:r>
        <w:t xml:space="preserve">7.5 Next steps</w:t>
      </w:r>
    </w:p>
    <w:p>
      <w:pPr>
        <w:pStyle w:val="FirstParagraph"/>
      </w:pPr>
      <w:r>
        <w:t xml:space="preserve">The first step is to score the registered predictions on the 2026 results, as Section 6.5 sets out. The outcomes will show how far the commission cap moved the companies’ take rates. Later data will show whether sellers moved away from the four marketplaces that collect the tax.</w:t>
      </w:r>
    </w:p>
    <w:p>
      <w:pPr>
        <w:pStyle w:val="BodyText"/>
      </w:pPr>
      <w:r>
        <w:t xml:space="preserve">Reconciling the levels of BPS’s and the platforms’ figures is the second step. It needs common definitions of what counts as a sale, including shipping, digital goods, travel and offline sales. The platform data that BPS now collects could supply the platform side, if BPS publishes them.</w:t>
      </w:r>
    </w:p>
    <w:p>
      <w:pPr>
        <w:pStyle w:val="BodyText"/>
      </w:pPr>
      <w:r>
        <w:t xml:space="preserve">The third step concerns the 2026 economic census. When BPS adopts a frame from it, the entry test can be repeated on the first survey that uses the new frame. A business identifier that links survey rounds would settle the question of returning sellers.</w:t>
      </w:r>
    </w:p>
    <w:p>
      <w:pPr>
        <w:pStyle w:val="BodyText"/>
      </w:pPr>
      <w:r>
        <w:t xml:space="preserve">The fourth step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grow as well. Lazada and TikTok Shop can join the test of H1 once they report Indonesian revenue and transaction value.</w:t>
      </w:r>
    </w:p>
    <w:p>
      <w:pPr>
        <w:pStyle w:val="BodyText"/>
      </w:pPr>
      <w:r>
        <w:t xml:space="preserve">The last step takes the channel count abroad. Any country whose statistics office asks sellers which channels they use can measure how much online selling its platform rules reach.</w:t>
      </w:r>
    </w:p>
    <w:p>
      <w:pPr>
        <w:pStyle w:val="BodyText"/>
      </w:pPr>
      <w:r>
        <w:t xml:space="preserve">The thesis began with figures that moved apart in 2023. BPS’s online sales rose by about 41 percent while Bank Indonesia’s measure fell by about 5 percent, and Tokopedia’s revenue rose while its transaction value fell. The figures disagreed because they measure different things. Revenue is what a platform keeps. Bank Indonesia’s figure comes from large e-commerce firms, and BPS’s survey counts the sellers it reaches. Each stops standing for another once a take rate or a survey’s reach changes. A reader who checks which condition holds can use any of them.</w:t>
      </w:r>
    </w:p>
    <w:bookmarkEnd w:id="87"/>
    <w:bookmarkEnd w:id="88"/>
    <w:bookmarkStart w:id="99" w:name="Xcc5e22dfeaef7b815bc568b762e37ce25611840"/>
    <w:p>
      <w:pPr>
        <w:pStyle w:val="Heading1"/>
      </w:pPr>
      <w:r>
        <w:t xml:space="preserve">Appendices to Chapters 4 and 5 (working draft, 13 Oct 2026)</w:t>
      </w:r>
    </w:p>
    <w:p>
      <w:pPr>
        <w:pStyle w:val="FirstParagraph"/>
      </w:pPr>
      <w:r>
        <w:t xml:space="preserve">Holds the detail that the main text points to. Every number comes from a committed table named in the notes. Nothing here changes a result in Chapter 5.</w:t>
      </w:r>
    </w:p>
    <w:bookmarkStart w:id="93" w:name="X190ea442f22e8dfb253327d946eb3313b4f8b85"/>
    <w:p>
      <w:pPr>
        <w:pStyle w:val="Heading2"/>
      </w:pPr>
      <w:r>
        <w:t xml:space="preserve">Appendix A. Platforms, windows and the wedge by year</w:t>
      </w:r>
    </w:p>
    <w:bookmarkStart w:id="89" w:name="a.1-the-foreign-group-27-platforms"/>
    <w:p>
      <w:pPr>
        <w:pStyle w:val="Heading3"/>
      </w:pPr>
      <w:r>
        <w:t xml:space="preserve">A.1 The foreign group (27 platforms)</w:t>
      </w:r>
    </w:p>
    <w:p>
      <w:pPr>
        <w:pStyle w:val="FirstParagraph"/>
      </w:pPr>
      <w:r>
        <w: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B). The median is the platform’s median size of yearly change in log take rate. Platforms are shown by the ticker or name used in the panel (</w:t>
      </w:r>
      <w:r>
        <w:rPr>
          <w:rStyle w:val="VerbatimChar"/>
        </w:rPr>
        <w:t xml:space="preserve">tables/spinoff_panel.csv</w:t>
      </w:r>
      <w:r>
        <w:t xml:space="preserve">,</w:t>
      </w:r>
      <w:r>
        <w:t xml:space="preserve"> </w:t>
      </w:r>
      <w:r>
        <w:rPr>
          <w:rStyle w:val="VerbatimChar"/>
        </w:rPr>
        <w:t xml:space="preserve">tables/transitions_master.csv</w:t>
      </w:r>
      <w:r>
        <w:t xml:space="preserve">); full company names are to be added.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Chosen first or added</w:t>
            </w:r>
          </w:p>
        </w:tc>
        <w:tc>
          <w:tcPr/>
          <w:p>
            <w:pPr>
              <w:pStyle w:val="Compact"/>
              <w:jc w:val="left"/>
            </w:pPr>
            <w:r>
              <w:t xml:space="preserve">Pairs</w:t>
            </w:r>
          </w:p>
        </w:tc>
        <w:tc>
          <w:tcPr/>
          <w:p>
            <w:pPr>
              <w:pStyle w:val="Compact"/>
              <w:jc w:val="left"/>
            </w:pPr>
            <w:r>
              <w:t xml:space="preserve">Median size of yearly change in log take rate</w:t>
            </w:r>
          </w:p>
        </w:tc>
      </w:tr>
      <w:tr>
        <w:tc>
          <w:tcPr/>
          <w:p>
            <w:pPr>
              <w:pStyle w:val="Compact"/>
              <w:jc w:val="left"/>
            </w:pPr>
            <w:r>
              <w:t xml:space="preserve">ACVA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0.15</w:t>
            </w:r>
          </w:p>
        </w:tc>
      </w:tr>
      <w:tr>
        <w:tc>
          <w:tcPr/>
          <w:p>
            <w:pPr>
              <w:pStyle w:val="Compact"/>
              <w:jc w:val="left"/>
            </w:pPr>
            <w:r>
              <w:t xml:space="preserve">ASAPQ</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0.10</w:t>
            </w:r>
          </w:p>
        </w:tc>
      </w:tr>
      <w:tr>
        <w:tc>
          <w:tcPr/>
          <w:p>
            <w:pPr>
              <w:pStyle w:val="Compact"/>
              <w:jc w:val="left"/>
            </w:pPr>
            <w:r>
              <w:t xml:space="preserve">BABA</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0.21</w:t>
            </w:r>
          </w:p>
        </w:tc>
      </w:tr>
      <w:tr>
        <w:tc>
          <w:tcPr/>
          <w:p>
            <w:pPr>
              <w:pStyle w:val="Compact"/>
              <w:jc w:val="left"/>
            </w:pPr>
            <w:r>
              <w:t xml:space="preserve">DESP</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0.07</w:t>
            </w:r>
          </w:p>
        </w:tc>
      </w:tr>
      <w:tr>
        <w:tc>
          <w:tcPr/>
          <w:p>
            <w:pPr>
              <w:pStyle w:val="Compact"/>
              <w:jc w:val="left"/>
            </w:pPr>
            <w:r>
              <w:t xml:space="preserve">DIBS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0.03</w:t>
            </w:r>
          </w:p>
        </w:tc>
      </w:tr>
      <w:tr>
        <w:tc>
          <w:tcPr/>
          <w:p>
            <w:pPr>
              <w:pStyle w:val="Compact"/>
              <w:jc w:val="left"/>
            </w:pPr>
            <w:r>
              <w:t xml:space="preserve">EXPE</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FVRR</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0.05</w:t>
            </w:r>
          </w:p>
        </w:tc>
      </w:tr>
      <w:tr>
        <w:tc>
          <w:tcPr/>
          <w:p>
            <w:pPr>
              <w:pStyle w:val="Compact"/>
              <w:jc w:val="left"/>
            </w:pPr>
            <w:r>
              <w:t xml:space="preserve">GrubHub</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0.09</w:t>
            </w:r>
          </w:p>
        </w:tc>
      </w:tr>
      <w:tr>
        <w:tc>
          <w:tcPr/>
          <w:p>
            <w:pPr>
              <w:pStyle w:val="Compact"/>
              <w:jc w:val="left"/>
            </w:pPr>
            <w:r>
              <w:t xml:space="preserve">HEPS</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KSPI</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0.08</w:t>
            </w:r>
          </w:p>
        </w:tc>
      </w:tr>
      <w:tr>
        <w:tc>
          <w:tcPr/>
          <w:p>
            <w:pPr>
              <w:pStyle w:val="Compact"/>
              <w:jc w:val="left"/>
            </w:pPr>
            <w:r>
              <w:t xml:space="preserve">MOGU</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0.21</w:t>
            </w:r>
          </w:p>
        </w:tc>
      </w:tr>
      <w:tr>
        <w:tc>
          <w:tcPr/>
          <w:p>
            <w:pPr>
              <w:pStyle w:val="Compact"/>
              <w:jc w:val="left"/>
            </w:pPr>
            <w:r>
              <w:t xml:space="preserve">Ozon</w:t>
            </w:r>
          </w:p>
        </w:tc>
        <w:tc>
          <w:tcPr/>
          <w:p>
            <w:pPr>
              <w:pStyle w:val="Compact"/>
              <w:jc w:val="left"/>
            </w:pPr>
            <w:r>
              <w:t xml:space="preserve">Added</w:t>
            </w:r>
          </w:p>
        </w:tc>
        <w:tc>
          <w:tcPr/>
          <w:p>
            <w:pPr>
              <w:pStyle w:val="Compact"/>
              <w:jc w:val="left"/>
            </w:pPr>
            <w:r>
              <w:t xml:space="preserve">1</w:t>
            </w:r>
          </w:p>
        </w:tc>
        <w:tc>
          <w:tcPr/>
          <w:p>
            <w:pPr>
              <w:pStyle w:val="Compact"/>
              <w:jc w:val="left"/>
            </w:pPr>
            <w:r>
              <w:t xml:space="preserve">0.18</w:t>
            </w:r>
          </w:p>
        </w:tc>
      </w:tr>
      <w:tr>
        <w:tc>
          <w:tcPr/>
          <w:p>
            <w:pPr>
              <w:pStyle w:val="Compact"/>
              <w:jc w:val="left"/>
            </w:pPr>
            <w:r>
              <w:t xml:space="preserve">PDD</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0.13</w:t>
            </w:r>
          </w:p>
        </w:tc>
      </w:tr>
      <w:tr>
        <w:tc>
          <w:tcPr/>
          <w:p>
            <w:pPr>
              <w:pStyle w:val="Compact"/>
              <w:jc w:val="left"/>
            </w:pPr>
            <w:r>
              <w:t xml:space="preserve">RBA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0.06</w:t>
            </w:r>
          </w:p>
        </w:tc>
      </w:tr>
      <w:tr>
        <w:tc>
          <w:tcPr/>
          <w:p>
            <w:pPr>
              <w:pStyle w:val="Compact"/>
              <w:jc w:val="left"/>
            </w:pPr>
            <w:r>
              <w:t xml:space="preserve">REAL</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SEAT</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0.07</w:t>
            </w:r>
          </w:p>
        </w:tc>
      </w:tr>
      <w:tr>
        <w:tc>
          <w:tcPr/>
          <w:p>
            <w:pPr>
              <w:pStyle w:val="Compact"/>
              <w:jc w:val="left"/>
            </w:pPr>
            <w:r>
              <w:t xml:space="preserve">UPWK</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VCSA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YTRA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Etsy</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0.07</w:t>
            </w:r>
          </w:p>
        </w:tc>
      </w:tr>
      <w:tr>
        <w:tc>
          <w:tcPr/>
          <w:p>
            <w:pPr>
              <w:pStyle w:val="Compact"/>
              <w:jc w:val="left"/>
            </w:pPr>
            <w:r>
              <w:t xml:space="preserve">Jumia</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0.16</w:t>
            </w:r>
          </w:p>
        </w:tc>
      </w:tr>
      <w:tr>
        <w:tc>
          <w:tcPr/>
          <w:p>
            <w:pPr>
              <w:pStyle w:val="Compact"/>
              <w:jc w:val="left"/>
            </w:pPr>
            <w:r>
              <w:t xml:space="preserve">Mercado Libre</w:t>
            </w:r>
          </w:p>
        </w:tc>
        <w:tc>
          <w:tcPr/>
          <w:p>
            <w:pPr>
              <w:pStyle w:val="Compact"/>
              <w:jc w:val="left"/>
            </w:pPr>
            <w:r>
              <w:t xml:space="preserve">Chosen first</w:t>
            </w:r>
          </w:p>
        </w:tc>
        <w:tc>
          <w:tcPr/>
          <w:p>
            <w:pPr>
              <w:pStyle w:val="Compact"/>
              <w:jc w:val="left"/>
            </w:pPr>
            <w:r>
              <w:t xml:space="preserve">2</w:t>
            </w:r>
          </w:p>
        </w:tc>
        <w:tc>
          <w:tcPr/>
          <w:p>
            <w:pPr>
              <w:pStyle w:val="Compact"/>
              <w:jc w:val="left"/>
            </w:pPr>
            <w:r>
              <w:t xml:space="preserve">0.06</w:t>
            </w:r>
          </w:p>
        </w:tc>
      </w:tr>
      <w:tr>
        <w:tc>
          <w:tcPr/>
          <w:p>
            <w:pPr>
              <w:pStyle w:val="Compact"/>
              <w:jc w:val="left"/>
            </w:pPr>
            <w:r>
              <w:t xml:space="preserve">Rakuten</w:t>
            </w:r>
          </w:p>
        </w:tc>
        <w:tc>
          <w:tcPr/>
          <w:p>
            <w:pPr>
              <w:pStyle w:val="Compact"/>
              <w:jc w:val="left"/>
            </w:pPr>
            <w:r>
              <w:t xml:space="preserve">Chosen first</w:t>
            </w:r>
          </w:p>
        </w:tc>
        <w:tc>
          <w:tcPr/>
          <w:p>
            <w:pPr>
              <w:pStyle w:val="Compact"/>
              <w:jc w:val="left"/>
            </w:pPr>
            <w:r>
              <w:t xml:space="preserve">1</w:t>
            </w:r>
          </w:p>
        </w:tc>
        <w:tc>
          <w:tcPr/>
          <w:p>
            <w:pPr>
              <w:pStyle w:val="Compact"/>
              <w:jc w:val="left"/>
            </w:pPr>
            <w:r>
              <w:t xml:space="preserve">0.02</w:t>
            </w:r>
          </w:p>
        </w:tc>
      </w:tr>
      <w:tr>
        <w:tc>
          <w:tcPr/>
          <w:p>
            <w:pPr>
              <w:pStyle w:val="Compact"/>
              <w:jc w:val="left"/>
            </w:pPr>
            <w:r>
              <w:t xml:space="preserve">Sea / Shopee</w:t>
            </w:r>
          </w:p>
        </w:tc>
        <w:tc>
          <w:tcPr/>
          <w:p>
            <w:pPr>
              <w:pStyle w:val="Compact"/>
              <w:jc w:val="left"/>
            </w:pPr>
            <w:r>
              <w:t xml:space="preserve">Chosen first</w:t>
            </w:r>
          </w:p>
        </w:tc>
        <w:tc>
          <w:tcPr/>
          <w:p>
            <w:pPr>
              <w:pStyle w:val="Compact"/>
              <w:jc w:val="left"/>
            </w:pPr>
            <w:r>
              <w:t xml:space="preserve">7</w:t>
            </w:r>
          </w:p>
        </w:tc>
        <w:tc>
          <w:tcPr/>
          <w:p>
            <w:pPr>
              <w:pStyle w:val="Compact"/>
              <w:jc w:val="left"/>
            </w:pPr>
            <w:r>
              <w:t xml:space="preserve">0.25</w:t>
            </w:r>
          </w:p>
        </w:tc>
      </w:tr>
      <w:tr>
        <w:tc>
          <w:tcPr/>
          <w:p>
            <w:pPr>
              <w:pStyle w:val="Compact"/>
              <w:jc w:val="left"/>
            </w:pPr>
            <w:r>
              <w:t xml:space="preserve">Shopify</w:t>
            </w:r>
          </w:p>
        </w:tc>
        <w:tc>
          <w:tcPr/>
          <w:p>
            <w:pPr>
              <w:pStyle w:val="Compact"/>
              <w:jc w:val="left"/>
            </w:pPr>
            <w:r>
              <w:t xml:space="preserve">Chosen first</w:t>
            </w:r>
          </w:p>
        </w:tc>
        <w:tc>
          <w:tcPr/>
          <w:p>
            <w:pPr>
              <w:pStyle w:val="Compact"/>
              <w:jc w:val="left"/>
            </w:pPr>
            <w:r>
              <w:t xml:space="preserve">5</w:t>
            </w:r>
          </w:p>
        </w:tc>
        <w:tc>
          <w:tcPr/>
          <w:p>
            <w:pPr>
              <w:pStyle w:val="Compact"/>
              <w:jc w:val="left"/>
            </w:pPr>
            <w:r>
              <w:t xml:space="preserve">0.05</w:t>
            </w:r>
          </w:p>
        </w:tc>
      </w:tr>
      <w:tr>
        <w:tc>
          <w:tcPr/>
          <w:p>
            <w:pPr>
              <w:pStyle w:val="Compact"/>
              <w:jc w:val="left"/>
            </w:pPr>
            <w:r>
              <w:t xml:space="preserve">Zalando</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0.02</w:t>
            </w:r>
          </w:p>
        </w:tc>
      </w:tr>
      <w:tr>
        <w:tc>
          <w:tcPr/>
          <w:p>
            <w:pPr>
              <w:pStyle w:val="Compact"/>
              <w:jc w:val="left"/>
            </w:pPr>
            <w:r>
              <w:t xml:space="preserve">eBay</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0.03</w:t>
            </w:r>
          </w:p>
        </w:tc>
      </w:tr>
    </w:tbl>
    <w:p>
      <w:pPr>
        <w:pStyle w:val="BodyText"/>
      </w:pPr>
      <w:r>
        <w:t xml:space="preserve">Left out after examination: DDL, JD, Jumei, LQDT, NEGG and VIPS (own goods are most of revenue in every year); NBIS, TCOM, TOUR and UXIN (no transaction value disclosed).</w:t>
      </w:r>
    </w:p>
    <w:bookmarkEnd w:id="89"/>
    <w:bookmarkStart w:id="90" w:name="a.2-the-indonesian-and-regional-group"/>
    <w:p>
      <w:pPr>
        <w:pStyle w:val="Heading3"/>
      </w:pPr>
      <w:r>
        <w:t xml:space="preserve">A.2 The Indonesian and regional group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Pairs</w:t>
            </w:r>
          </w:p>
        </w:tc>
        <w:tc>
          <w:tcPr/>
          <w:p>
            <w:pPr>
              <w:pStyle w:val="Compact"/>
              <w:jc w:val="left"/>
            </w:pPr>
            <w:r>
              <w:t xml:space="preserve">Median size of yearly change in log take rate</w:t>
            </w:r>
          </w:p>
        </w:tc>
        <w:tc>
          <w:tcPr/>
          <w:p>
            <w:pPr>
              <w:pStyle w:val="Compact"/>
              <w:jc w:val="left"/>
            </w:pPr>
            <w:r>
              <w:t xml:space="preserve">Share of pairs with a change of 0.10 or less</w:t>
            </w:r>
          </w:p>
        </w:tc>
      </w:tr>
      <w:tr>
        <w:tc>
          <w:tcPr/>
          <w:p>
            <w:pPr>
              <w:pStyle w:val="Compact"/>
              <w:jc w:val="left"/>
            </w:pPr>
            <w:r>
              <w:t xml:space="preserve">Blibli 3P Retail</w:t>
            </w:r>
          </w:p>
        </w:tc>
        <w:tc>
          <w:tcPr/>
          <w:p>
            <w:pPr>
              <w:pStyle w:val="Compact"/>
              <w:jc w:val="left"/>
            </w:pPr>
            <w:r>
              <w:t xml:space="preserve">4</w:t>
            </w:r>
          </w:p>
        </w:tc>
        <w:tc>
          <w:tcPr/>
          <w:p>
            <w:pPr>
              <w:pStyle w:val="Compact"/>
              <w:jc w:val="left"/>
            </w:pPr>
            <w:r>
              <w:t xml:space="preserve">0.25</w:t>
            </w:r>
          </w:p>
        </w:tc>
        <w:tc>
          <w:tcPr/>
          <w:p>
            <w:pPr>
              <w:pStyle w:val="Compact"/>
              <w:jc w:val="left"/>
            </w:pPr>
            <w:r>
              <w:t xml:space="preserve">0.00</w:t>
            </w:r>
          </w:p>
        </w:tc>
      </w:tr>
      <w:tr>
        <w:tc>
          <w:tcPr/>
          <w:p>
            <w:pPr>
              <w:pStyle w:val="Compact"/>
              <w:jc w:val="left"/>
            </w:pPr>
            <w:r>
              <w:t xml:space="preserve">Bukalapak Group</w:t>
            </w:r>
          </w:p>
        </w:tc>
        <w:tc>
          <w:tcPr/>
          <w:p>
            <w:pPr>
              <w:pStyle w:val="Compact"/>
              <w:jc w:val="left"/>
            </w:pPr>
            <w:r>
              <w:t xml:space="preserve">3</w:t>
            </w:r>
          </w:p>
        </w:tc>
        <w:tc>
          <w:tcPr/>
          <w:p>
            <w:pPr>
              <w:pStyle w:val="Compact"/>
              <w:jc w:val="left"/>
            </w:pPr>
            <w:r>
              <w:t xml:space="preserve">0.14</w:t>
            </w:r>
          </w:p>
        </w:tc>
        <w:tc>
          <w:tcPr/>
          <w:p>
            <w:pPr>
              <w:pStyle w:val="Compact"/>
              <w:jc w:val="left"/>
            </w:pPr>
            <w:r>
              <w:t xml:space="preserve">0.33</w:t>
            </w:r>
          </w:p>
        </w:tc>
      </w:tr>
      <w:tr>
        <w:tc>
          <w:tcPr/>
          <w:p>
            <w:pPr>
              <w:pStyle w:val="Compact"/>
              <w:jc w:val="left"/>
            </w:pPr>
            <w:r>
              <w:t xml:space="preserve">GoTo on-demand</w:t>
            </w:r>
          </w:p>
        </w:tc>
        <w:tc>
          <w:tcPr/>
          <w:p>
            <w:pPr>
              <w:pStyle w:val="Compact"/>
              <w:jc w:val="left"/>
            </w:pPr>
            <w:r>
              <w:t xml:space="preserve">3</w:t>
            </w:r>
          </w:p>
        </w:tc>
        <w:tc>
          <w:tcPr/>
          <w:p>
            <w:pPr>
              <w:pStyle w:val="Compact"/>
              <w:jc w:val="left"/>
            </w:pPr>
            <w:r>
              <w:t xml:space="preserve">0.09</w:t>
            </w:r>
          </w:p>
        </w:tc>
        <w:tc>
          <w:tcPr/>
          <w:p>
            <w:pPr>
              <w:pStyle w:val="Compact"/>
              <w:jc w:val="left"/>
            </w:pPr>
            <w:r>
              <w:t xml:space="preserve">0.67</w:t>
            </w:r>
          </w:p>
        </w:tc>
      </w:tr>
      <w:tr>
        <w:tc>
          <w:tcPr/>
          <w:p>
            <w:pPr>
              <w:pStyle w:val="Compact"/>
              <w:jc w:val="left"/>
            </w:pPr>
            <w:r>
              <w:t xml:space="preserve">Grab on-demand</w:t>
            </w:r>
          </w:p>
        </w:tc>
        <w:tc>
          <w:tcPr/>
          <w:p>
            <w:pPr>
              <w:pStyle w:val="Compact"/>
              <w:jc w:val="left"/>
            </w:pPr>
            <w:r>
              <w:t xml:space="preserve">4</w:t>
            </w:r>
          </w:p>
        </w:tc>
        <w:tc>
          <w:tcPr/>
          <w:p>
            <w:pPr>
              <w:pStyle w:val="Compact"/>
              <w:jc w:val="left"/>
            </w:pPr>
            <w:r>
              <w:t xml:space="preserve">0.20</w:t>
            </w:r>
          </w:p>
        </w:tc>
        <w:tc>
          <w:tcPr/>
          <w:p>
            <w:pPr>
              <w:pStyle w:val="Compact"/>
              <w:jc w:val="left"/>
            </w:pPr>
            <w:r>
              <w:t xml:space="preserve">0.50</w:t>
            </w:r>
          </w:p>
        </w:tc>
      </w:tr>
      <w:tr>
        <w:tc>
          <w:tcPr/>
          <w:p>
            <w:pPr>
              <w:pStyle w:val="Compact"/>
              <w:jc w:val="left"/>
            </w:pPr>
            <w:r>
              <w:t xml:space="preserve">Tokopedia e-commerce segment</w:t>
            </w:r>
          </w:p>
        </w:tc>
        <w:tc>
          <w:tcPr/>
          <w:p>
            <w:pPr>
              <w:pStyle w:val="Compact"/>
              <w:jc w:val="left"/>
            </w:pPr>
            <w:r>
              <w:t xml:space="preserve">1</w:t>
            </w:r>
          </w:p>
        </w:tc>
        <w:tc>
          <w:tcPr/>
          <w:p>
            <w:pPr>
              <w:pStyle w:val="Compact"/>
              <w:jc w:val="left"/>
            </w:pPr>
            <w:r>
              <w:t xml:space="preserve">0.52</w:t>
            </w:r>
          </w:p>
        </w:tc>
        <w:tc>
          <w:tcPr/>
          <w:p>
            <w:pPr>
              <w:pStyle w:val="Compact"/>
              <w:jc w:val="left"/>
            </w:pPr>
            <w:r>
              <w:t xml:space="preserve">0.00</w:t>
            </w:r>
          </w:p>
        </w:tc>
      </w:tr>
    </w:tbl>
    <w:bookmarkEnd w:id="90"/>
    <w:bookmarkStart w:id="91" w:name="X773f7b8c3d425b72b076696eb5a46fa11f89097"/>
    <w:p>
      <w:pPr>
        <w:pStyle w:val="Heading3"/>
      </w:pPr>
      <w:r>
        <w:t xml:space="preserve">A.3 The seven windows traced (Table 5.4 in full)</w:t>
      </w:r>
    </w:p>
    <w:p>
      <w:pPr>
        <w:pStyle w:val="FirstParagraph"/>
      </w:pPr>
      <w:r>
        <w:t xml:space="preserve">Shares are of the log growth of revenue. Source:</w:t>
      </w:r>
      <w:r>
        <w:t xml:space="preserve"> </w:t>
      </w:r>
      <w:r>
        <w:rPr>
          <w:rStyle w:val="VerbatimChar"/>
        </w:rPr>
        <w:t xml:space="preserve">tables/growth_decomposition.csv</w:t>
      </w:r>
      <w:r>
        <w:t xml:space="preserve">, built from</w:t>
      </w:r>
      <w:r>
        <w:t xml:space="preserve"> </w:t>
      </w:r>
      <w:r>
        <w:rPr>
          <w:rStyle w:val="VerbatimChar"/>
        </w:rPr>
        <w:t xml:space="preserve">tables/l_panel.csv</w:t>
      </w:r>
      <w:r>
        <w:t xml:space="preserve"> </w:t>
      </w:r>
      <w:r>
        <w:t xml:space="preserve">by</w:t>
      </w:r>
      <w:r>
        <w:t xml:space="preserve"> </w:t>
      </w:r>
      <w:r>
        <w:rPr>
          <w:rStyle w:val="VerbatimChar"/>
        </w:rPr>
        <w:t xml:space="preserve">growth_decomposition.py</w:t>
      </w:r>
      <w:r>
        <w:t xml:space="preserve">. Tokopedia, GoTo: audited statements. Grab: annual filings, summed over mobility and deliveries. Blibli: incentives are a proxy (gross profit before discounts less net revenue) and are marked</w:t>
      </w:r>
      <w:r>
        <w:t xml:space="preserve"> </w:t>
      </w:r>
      <w:r>
        <w:rPr>
          <w:rStyle w:val="VerbatimChar"/>
        </w:rPr>
        <w:t xml:space="preserve">out</w:t>
      </w:r>
      <w:r>
        <w:t xml:space="preserve"> </w:t>
      </w:r>
      <w:r>
        <w:t xml:space="preserve">of the main sample in the panel. GoTo’s 2022 transaction value is an estimate (2022 first and second quarters backed out of 2023 year-on-year comparisons).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Platform and window</w:t>
            </w:r>
          </w:p>
        </w:tc>
        <w:tc>
          <w:tcPr/>
          <w:p>
            <w:pPr>
              <w:pStyle w:val="Compact"/>
              <w:jc w:val="left"/>
            </w:pPr>
            <w:r>
              <w:t xml:space="preserve">Growth of revenue (%)</w:t>
            </w:r>
          </w:p>
        </w:tc>
        <w:tc>
          <w:tcPr/>
          <w:p>
            <w:pPr>
              <w:pStyle w:val="Compact"/>
              <w:jc w:val="left"/>
            </w:pPr>
            <w:r>
              <w:t xml:space="preserve">Growth of transaction value (%)</w:t>
            </w:r>
          </w:p>
        </w:tc>
        <w:tc>
          <w:tcPr/>
          <w:p>
            <w:pPr>
              <w:pStyle w:val="Compact"/>
              <w:jc w:val="left"/>
            </w:pPr>
            <w:r>
              <w:t xml:space="preserve">Take rate, start (%)</w:t>
            </w:r>
          </w:p>
        </w:tc>
        <w:tc>
          <w:tcPr/>
          <w:p>
            <w:pPr>
              <w:pStyle w:val="Compact"/>
              <w:jc w:val="left"/>
            </w:pPr>
            <w:r>
              <w:t xml:space="preserve">Take rate, end (%)</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Grab On-demand, 2021-2024</w:t>
            </w:r>
          </w:p>
        </w:tc>
        <w:tc>
          <w:tcPr/>
          <w:p>
            <w:pPr>
              <w:pStyle w:val="Compact"/>
              <w:jc w:val="left"/>
            </w:pPr>
            <w:r>
              <w:t xml:space="preserve">320.5</w:t>
            </w:r>
          </w:p>
        </w:tc>
        <w:tc>
          <w:tcPr/>
          <w:p>
            <w:pPr>
              <w:pStyle w:val="Compact"/>
              <w:jc w:val="left"/>
            </w:pPr>
            <w:r>
              <w:t xml:space="preserve">62.3</w:t>
            </w:r>
          </w:p>
        </w:tc>
        <w:tc>
          <w:tcPr/>
          <w:p>
            <w:pPr>
              <w:pStyle w:val="Compact"/>
              <w:jc w:val="left"/>
            </w:pPr>
            <w:r>
              <w:t xml:space="preserve">5.34</w:t>
            </w:r>
          </w:p>
        </w:tc>
        <w:tc>
          <w:tcPr/>
          <w:p>
            <w:pPr>
              <w:pStyle w:val="Compact"/>
              <w:jc w:val="left"/>
            </w:pPr>
            <w:r>
              <w:t xml:space="preserve">13.83</w:t>
            </w:r>
          </w:p>
        </w:tc>
        <w:tc>
          <w:tcPr/>
          <w:p>
            <w:pPr>
              <w:pStyle w:val="Compact"/>
              <w:jc w:val="left"/>
            </w:pPr>
            <w:r>
              <w:t xml:space="preserve">33.7</w:t>
            </w:r>
          </w:p>
        </w:tc>
        <w:tc>
          <w:tcPr/>
          <w:p>
            <w:pPr>
              <w:pStyle w:val="Compact"/>
              <w:jc w:val="left"/>
            </w:pPr>
            <w:r>
              <w:t xml:space="preserve">33.8</w:t>
            </w:r>
          </w:p>
        </w:tc>
        <w:tc>
          <w:tcPr/>
          <w:p>
            <w:pPr>
              <w:pStyle w:val="Compact"/>
              <w:jc w:val="left"/>
            </w:pPr>
            <w:r>
              <w:t xml:space="preserve">32.5</w:t>
            </w:r>
          </w:p>
        </w:tc>
      </w:tr>
      <w:tr>
        <w:tc>
          <w:tcPr/>
          <w:p>
            <w:pPr>
              <w:pStyle w:val="Compact"/>
              <w:jc w:val="left"/>
            </w:pPr>
            <w:r>
              <w:t xml:space="preserve">Grab On-demand, 2022-2024</w:t>
            </w:r>
          </w:p>
        </w:tc>
        <w:tc>
          <w:tcPr/>
          <w:p>
            <w:pPr>
              <w:pStyle w:val="Compact"/>
              <w:jc w:val="left"/>
            </w:pPr>
            <w:r>
              <w:t xml:space="preserve">85.8</w:t>
            </w:r>
          </w:p>
        </w:tc>
        <w:tc>
          <w:tcPr/>
          <w:p>
            <w:pPr>
              <w:pStyle w:val="Compact"/>
              <w:jc w:val="left"/>
            </w:pPr>
            <w:r>
              <w:t xml:space="preserve">30.1</w:t>
            </w:r>
          </w:p>
        </w:tc>
        <w:tc>
          <w:tcPr/>
          <w:p>
            <w:pPr>
              <w:pStyle w:val="Compact"/>
              <w:jc w:val="left"/>
            </w:pPr>
            <w:r>
              <w:t xml:space="preserve">9.69</w:t>
            </w:r>
          </w:p>
        </w:tc>
        <w:tc>
          <w:tcPr/>
          <w:p>
            <w:pPr>
              <w:pStyle w:val="Compact"/>
              <w:jc w:val="left"/>
            </w:pPr>
            <w:r>
              <w:t xml:space="preserve">13.83</w:t>
            </w:r>
          </w:p>
        </w:tc>
        <w:tc>
          <w:tcPr/>
          <w:p>
            <w:pPr>
              <w:pStyle w:val="Compact"/>
              <w:jc w:val="left"/>
            </w:pPr>
            <w:r>
              <w:t xml:space="preserve">42.5</w:t>
            </w:r>
          </w:p>
        </w:tc>
        <w:tc>
          <w:tcPr/>
          <w:p>
            <w:pPr>
              <w:pStyle w:val="Compact"/>
              <w:jc w:val="left"/>
            </w:pPr>
            <w:r>
              <w:t xml:space="preserve">10.6</w:t>
            </w:r>
          </w:p>
        </w:tc>
        <w:tc>
          <w:tcPr/>
          <w:p>
            <w:pPr>
              <w:pStyle w:val="Compact"/>
              <w:jc w:val="left"/>
            </w:pPr>
            <w:r>
              <w:t xml:space="preserve">46.9</w:t>
            </w:r>
          </w:p>
        </w:tc>
      </w:tr>
      <w:tr>
        <w:tc>
          <w:tcPr/>
          <w:p>
            <w:pPr>
              <w:pStyle w:val="Compact"/>
              <w:jc w:val="left"/>
            </w:pPr>
            <w:r>
              <w:t xml:space="preserve">GoTo On-demand, 2023-2025</w:t>
            </w:r>
          </w:p>
        </w:tc>
        <w:tc>
          <w:tcPr/>
          <w:p>
            <w:pPr>
              <w:pStyle w:val="Compact"/>
              <w:jc w:val="left"/>
            </w:pPr>
            <w:r>
              <w:t xml:space="preserve">114.2</w:t>
            </w:r>
          </w:p>
        </w:tc>
        <w:tc>
          <w:tcPr/>
          <w:p>
            <w:pPr>
              <w:pStyle w:val="Compact"/>
              <w:jc w:val="left"/>
            </w:pPr>
            <w:r>
              <w:t xml:space="preserve">22.4</w:t>
            </w:r>
          </w:p>
        </w:tc>
        <w:tc>
          <w:tcPr/>
          <w:p>
            <w:pPr>
              <w:pStyle w:val="Compact"/>
              <w:jc w:val="left"/>
            </w:pPr>
            <w:r>
              <w:t xml:space="preserve">10.62</w:t>
            </w:r>
          </w:p>
        </w:tc>
        <w:tc>
          <w:tcPr/>
          <w:p>
            <w:pPr>
              <w:pStyle w:val="Compact"/>
              <w:jc w:val="left"/>
            </w:pPr>
            <w:r>
              <w:t xml:space="preserve">18.58</w:t>
            </w:r>
          </w:p>
        </w:tc>
        <w:tc>
          <w:tcPr/>
          <w:p>
            <w:pPr>
              <w:pStyle w:val="Compact"/>
              <w:jc w:val="left"/>
            </w:pPr>
            <w:r>
              <w:t xml:space="preserve">26.6</w:t>
            </w:r>
          </w:p>
        </w:tc>
        <w:tc>
          <w:tcPr/>
          <w:p>
            <w:pPr>
              <w:pStyle w:val="Compact"/>
              <w:jc w:val="left"/>
            </w:pPr>
            <w:r>
              <w:t xml:space="preserve">6.1</w:t>
            </w:r>
          </w:p>
        </w:tc>
        <w:tc>
          <w:tcPr/>
          <w:p>
            <w:pPr>
              <w:pStyle w:val="Compact"/>
              <w:jc w:val="left"/>
            </w:pPr>
            <w:r>
              <w:t xml:space="preserve">67.3</w:t>
            </w:r>
          </w:p>
        </w:tc>
      </w:tr>
      <w:tr>
        <w:tc>
          <w:tcPr/>
          <w:p>
            <w:pPr>
              <w:pStyle w:val="Compact"/>
              <w:jc w:val="left"/>
            </w:pPr>
            <w:r>
              <w:t xml:space="preserve">GoTo On-demand, 2022-2025</w:t>
            </w:r>
          </w:p>
        </w:tc>
        <w:tc>
          <w:tcPr/>
          <w:p>
            <w:pPr>
              <w:pStyle w:val="Compact"/>
              <w:jc w:val="left"/>
            </w:pPr>
            <w:r>
              <w:t xml:space="preserve">110.7</w:t>
            </w:r>
          </w:p>
        </w:tc>
        <w:tc>
          <w:tcPr/>
          <w:p>
            <w:pPr>
              <w:pStyle w:val="Compact"/>
              <w:jc w:val="left"/>
            </w:pPr>
            <w:r>
              <w:t xml:space="preserve">9.6</w:t>
            </w:r>
          </w:p>
        </w:tc>
        <w:tc>
          <w:tcPr/>
          <w:p>
            <w:pPr>
              <w:pStyle w:val="Compact"/>
              <w:jc w:val="left"/>
            </w:pPr>
            <w:r>
              <w:t xml:space="preserve">9.66</w:t>
            </w:r>
          </w:p>
        </w:tc>
        <w:tc>
          <w:tcPr/>
          <w:p>
            <w:pPr>
              <w:pStyle w:val="Compact"/>
              <w:jc w:val="left"/>
            </w:pPr>
            <w:r>
              <w:t xml:space="preserve">18.58</w:t>
            </w:r>
          </w:p>
        </w:tc>
        <w:tc>
          <w:tcPr/>
          <w:p>
            <w:pPr>
              <w:pStyle w:val="Compact"/>
              <w:jc w:val="left"/>
            </w:pPr>
            <w:r>
              <w:t xml:space="preserve">12.3</w:t>
            </w:r>
          </w:p>
        </w:tc>
        <w:tc>
          <w:tcPr/>
          <w:p>
            <w:pPr>
              <w:pStyle w:val="Compact"/>
              <w:jc w:val="left"/>
            </w:pPr>
            <w:r>
              <w:t xml:space="preserve">36.1</w:t>
            </w:r>
          </w:p>
        </w:tc>
        <w:tc>
          <w:tcPr/>
          <w:p>
            <w:pPr>
              <w:pStyle w:val="Compact"/>
              <w:jc w:val="left"/>
            </w:pPr>
            <w:r>
              <w:t xml:space="preserve">51.7</w:t>
            </w:r>
          </w:p>
        </w:tc>
      </w:tr>
      <w:tr>
        <w:tc>
          <w:tcPr/>
          <w:p>
            <w:pPr>
              <w:pStyle w:val="Compact"/>
              <w:jc w:val="left"/>
            </w:pPr>
            <w:r>
              <w:t xml:space="preserve">Tokopedia E-commerce, 2022-2023</w:t>
            </w:r>
          </w:p>
        </w:tc>
        <w:tc>
          <w:tcPr/>
          <w:p>
            <w:pPr>
              <w:pStyle w:val="Compact"/>
              <w:jc w:val="left"/>
            </w:pPr>
            <w:r>
              <w:t xml:space="preserve">53.2</w:t>
            </w:r>
          </w:p>
        </w:tc>
        <w:tc>
          <w:tcPr/>
          <w:p>
            <w:pPr>
              <w:pStyle w:val="Compact"/>
              <w:jc w:val="left"/>
            </w:pPr>
            <w:r>
              <w:t xml:space="preserve">-8.9</w:t>
            </w:r>
          </w:p>
        </w:tc>
        <w:tc>
          <w:tcPr/>
          <w:p>
            <w:pPr>
              <w:pStyle w:val="Compact"/>
              <w:jc w:val="left"/>
            </w:pPr>
            <w:r>
              <w:t xml:space="preserve">1.48</w:t>
            </w:r>
          </w:p>
        </w:tc>
        <w:tc>
          <w:tcPr/>
          <w:p>
            <w:pPr>
              <w:pStyle w:val="Compact"/>
              <w:jc w:val="left"/>
            </w:pPr>
            <w:r>
              <w:t xml:space="preserve">2.48</w:t>
            </w:r>
          </w:p>
        </w:tc>
        <w:tc>
          <w:tcPr/>
          <w:p>
            <w:pPr>
              <w:pStyle w:val="Compact"/>
              <w:jc w:val="left"/>
            </w:pPr>
            <w:r>
              <w:t xml:space="preserve">-21.9</w:t>
            </w:r>
          </w:p>
        </w:tc>
        <w:tc>
          <w:tcPr/>
          <w:p>
            <w:pPr>
              <w:pStyle w:val="Compact"/>
              <w:jc w:val="left"/>
            </w:pPr>
            <w:r>
              <w:t xml:space="preserve">76.5</w:t>
            </w:r>
          </w:p>
        </w:tc>
        <w:tc>
          <w:tcPr/>
          <w:p>
            <w:pPr>
              <w:pStyle w:val="Compact"/>
              <w:jc w:val="left"/>
            </w:pPr>
            <w:r>
              <w:t xml:space="preserve">45.4</w:t>
            </w:r>
          </w:p>
        </w:tc>
      </w:tr>
      <w:tr>
        <w:tc>
          <w:tcPr/>
          <w:p>
            <w:pPr>
              <w:pStyle w:val="Compact"/>
              <w:jc w:val="left"/>
            </w:pPr>
            <w:r>
              <w:t xml:space="preserve">Blibli 3P Retail, 2022-2025</w:t>
            </w:r>
          </w:p>
        </w:tc>
        <w:tc>
          <w:tcPr/>
          <w:p>
            <w:pPr>
              <w:pStyle w:val="Compact"/>
              <w:jc w:val="left"/>
            </w:pPr>
            <w:r>
              <w:t xml:space="preserve">679.4</w:t>
            </w:r>
          </w:p>
        </w:tc>
        <w:tc>
          <w:tcPr/>
          <w:p>
            <w:pPr>
              <w:pStyle w:val="Compact"/>
              <w:jc w:val="left"/>
            </w:pPr>
            <w:r>
              <w:t xml:space="preserve">43.6</w:t>
            </w:r>
          </w:p>
        </w:tc>
        <w:tc>
          <w:tcPr/>
          <w:p>
            <w:pPr>
              <w:pStyle w:val="Compact"/>
              <w:jc w:val="left"/>
            </w:pPr>
            <w:r>
              <w:t xml:space="preserve">0.54</w:t>
            </w:r>
          </w:p>
        </w:tc>
        <w:tc>
          <w:tcPr/>
          <w:p>
            <w:pPr>
              <w:pStyle w:val="Compact"/>
              <w:jc w:val="left"/>
            </w:pPr>
            <w:r>
              <w:t xml:space="preserve">2.92</w:t>
            </w:r>
          </w:p>
        </w:tc>
        <w:tc>
          <w:tcPr/>
          <w:p>
            <w:pPr>
              <w:pStyle w:val="Compact"/>
              <w:jc w:val="left"/>
            </w:pPr>
            <w:r>
              <w:t xml:space="preserve">17.6</w:t>
            </w:r>
          </w:p>
        </w:tc>
        <w:tc>
          <w:tcPr/>
          <w:p>
            <w:pPr>
              <w:pStyle w:val="Compact"/>
              <w:jc w:val="left"/>
            </w:pPr>
            <w:r>
              <w:t xml:space="preserve">62.6</w:t>
            </w:r>
          </w:p>
        </w:tc>
        <w:tc>
          <w:tcPr/>
          <w:p>
            <w:pPr>
              <w:pStyle w:val="Compact"/>
              <w:jc w:val="left"/>
            </w:pPr>
            <w:r>
              <w:t xml:space="preserve">19.8</w:t>
            </w:r>
          </w:p>
        </w:tc>
      </w:tr>
      <w:tr>
        <w:tc>
          <w:tcPr/>
          <w:p>
            <w:pPr>
              <w:pStyle w:val="Compact"/>
              <w:jc w:val="left"/>
            </w:pPr>
            <w:r>
              <w:t xml:space="preserve">Blibli 3P Retail, 2022-2023</w:t>
            </w:r>
          </w:p>
        </w:tc>
        <w:tc>
          <w:tcPr/>
          <w:p>
            <w:pPr>
              <w:pStyle w:val="Compact"/>
              <w:jc w:val="left"/>
            </w:pPr>
            <w:r>
              <w:t xml:space="preserve">465.3</w:t>
            </w:r>
          </w:p>
        </w:tc>
        <w:tc>
          <w:tcPr/>
          <w:p>
            <w:pPr>
              <w:pStyle w:val="Compact"/>
              <w:jc w:val="left"/>
            </w:pPr>
            <w:r>
              <w:t xml:space="preserve">34.7</w:t>
            </w:r>
          </w:p>
        </w:tc>
        <w:tc>
          <w:tcPr/>
          <w:p>
            <w:pPr>
              <w:pStyle w:val="Compact"/>
              <w:jc w:val="left"/>
            </w:pPr>
            <w:r>
              <w:t xml:space="preserve">0.54</w:t>
            </w:r>
          </w:p>
        </w:tc>
        <w:tc>
          <w:tcPr/>
          <w:p>
            <w:pPr>
              <w:pStyle w:val="Compact"/>
              <w:jc w:val="left"/>
            </w:pPr>
            <w:r>
              <w:t xml:space="preserve">2.25</w:t>
            </w:r>
          </w:p>
        </w:tc>
        <w:tc>
          <w:tcPr/>
          <w:p>
            <w:pPr>
              <w:pStyle w:val="Compact"/>
              <w:jc w:val="left"/>
            </w:pPr>
            <w:r>
              <w:t xml:space="preserve">17.2</w:t>
            </w:r>
          </w:p>
        </w:tc>
        <w:tc>
          <w:tcPr/>
          <w:p>
            <w:pPr>
              <w:pStyle w:val="Compact"/>
              <w:jc w:val="left"/>
            </w:pPr>
            <w:r>
              <w:t xml:space="preserve">20.1</w:t>
            </w:r>
          </w:p>
        </w:tc>
        <w:tc>
          <w:tcPr/>
          <w:p>
            <w:pPr>
              <w:pStyle w:val="Compact"/>
              <w:jc w:val="left"/>
            </w:pPr>
            <w:r>
              <w:t xml:space="preserve">62.7</w:t>
            </w:r>
          </w:p>
        </w:tc>
      </w:tr>
    </w:tbl>
    <w:p>
      <w:pPr>
        <w:pStyle w:val="BodyText"/>
      </w:pPr>
      <w:r>
        <w:t xml:space="preserve">Tokopedia, 2022–23, line by line (Rp million,</w:t>
      </w:r>
      <w:r>
        <w:t xml:space="preserve"> </w:t>
      </w:r>
      <w:r>
        <w:rPr>
          <w:rStyle w:val="VerbatimChar"/>
        </w:rPr>
        <w:t xml:space="preserve">tables/tokopedia_segment.csv</w:t>
      </w:r>
      <w:r>
        <w:t xml:space="preserve">): gross revenue 8,143,239 to 8,988,909; incentives 4,112,320 to 2,813,719; net revenue 4,030,919 to 6,175,190. Net revenue rose by 2,144,271, of which lower incentives account for 60.6 percent and higher gross revenue for 39.4 percent (61 and 39 percent in the text).</w:t>
      </w:r>
    </w:p>
    <w:bookmarkEnd w:id="91"/>
    <w:bookmarkStart w:id="92" w:name="Xb702da1138b9cc3d1e10d1a4085988b12c1d217"/>
    <w:p>
      <w:pPr>
        <w:pStyle w:val="Heading3"/>
      </w:pPr>
      <w:r>
        <w:t xml:space="preserve">A.4 Wedge and ecosystem ratio by platform-year, Indonesian series</w:t>
      </w:r>
    </w:p>
    <w:p>
      <w:pPr>
        <w:pStyle w:val="FirstParagraph"/>
      </w:pPr>
      <w:r>
        <w: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5.2 converts Tokopedia’s 2023 rupiah amounts to US dollars. Take rate and ecosystem ratio carry no currency. Source:</w:t>
      </w:r>
      <w:r>
        <w:t xml:space="preserve"> </w:t>
      </w:r>
      <w:r>
        <w:rPr>
          <w:rStyle w:val="VerbatimChar"/>
        </w:rPr>
        <w:t xml:space="preserve">tables/take_rate_levels.csv</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Series</w:t>
            </w:r>
          </w:p>
        </w:tc>
        <w:tc>
          <w:tcPr/>
          <w:p>
            <w:pPr>
              <w:pStyle w:val="Compact"/>
              <w:jc w:val="left"/>
            </w:pPr>
            <w:r>
              <w:t xml:space="preserve">Year</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Take rate (%)</w:t>
            </w:r>
          </w:p>
        </w:tc>
        <w:tc>
          <w:tcPr/>
          <w:p>
            <w:pPr>
              <w:pStyle w:val="Compact"/>
              <w:jc w:val="left"/>
            </w:pPr>
            <w:r>
              <w:t xml:space="preserve">Ecosystem ratio</w:t>
            </w:r>
          </w:p>
        </w:tc>
        <w:tc>
          <w:tcPr/>
          <w:p>
            <w:pPr>
              <w:pStyle w:val="Compact"/>
              <w:jc w:val="left"/>
            </w:pPr>
            <w:r>
              <w:t xml:space="preserve">Label</w:t>
            </w:r>
          </w:p>
        </w:tc>
      </w:tr>
      <w:tr>
        <w:tc>
          <w:tcPr/>
          <w:p>
            <w:pPr>
              <w:pStyle w:val="Compact"/>
              <w:jc w:val="left"/>
            </w:pPr>
            <w:r>
              <w:t xml:space="preserve">Grab</w:t>
            </w:r>
          </w:p>
        </w:tc>
        <w:tc>
          <w:tcPr/>
          <w:p>
            <w:pPr>
              <w:pStyle w:val="Compact"/>
              <w:jc w:val="left"/>
            </w:pPr>
            <w:r>
              <w:t xml:space="preserve">2021</w:t>
            </w:r>
          </w:p>
        </w:tc>
        <w:tc>
          <w:tcPr/>
          <w:p>
            <w:pPr>
              <w:pStyle w:val="Compact"/>
              <w:jc w:val="left"/>
            </w:pPr>
            <w:r>
              <w:t xml:space="preserve">1.88</w:t>
            </w:r>
          </w:p>
        </w:tc>
        <w:tc>
          <w:tcPr/>
          <w:p>
            <w:pPr>
              <w:pStyle w:val="Compact"/>
              <w:jc w:val="left"/>
            </w:pPr>
            <w:r>
              <w:t xml:space="preserve">0.08</w:t>
            </w:r>
          </w:p>
        </w:tc>
        <w:tc>
          <w:tcPr/>
          <w:p>
            <w:pPr>
              <w:pStyle w:val="Compact"/>
              <w:jc w:val="left"/>
            </w:pPr>
            <w:r>
              <w:t xml:space="preserve">1.80</w:t>
            </w:r>
          </w:p>
        </w:tc>
        <w:tc>
          <w:tcPr/>
          <w:p>
            <w:pPr>
              <w:pStyle w:val="Compact"/>
              <w:jc w:val="left"/>
            </w:pPr>
            <w:r>
              <w:t xml:space="preserve">4.20</w:t>
            </w:r>
          </w:p>
        </w:tc>
        <w:tc>
          <w:tcPr/>
          <w:p>
            <w:pPr>
              <w:pStyle w:val="Compact"/>
              <w:jc w:val="left"/>
            </w:pPr>
            <w:r>
              <w:t xml:space="preserve">22.8</w:t>
            </w:r>
          </w:p>
        </w:tc>
        <w:tc>
          <w:tcPr/>
          <w:p>
            <w:pPr>
              <w:pStyle w:val="Compact"/>
              <w:jc w:val="left"/>
            </w:pPr>
            <w:r>
              <w:t xml:space="preserve">conditional country reconstruction</w:t>
            </w:r>
          </w:p>
        </w:tc>
      </w:tr>
      <w:tr>
        <w:tc>
          <w:tcPr/>
          <w:p>
            <w:pPr>
              <w:pStyle w:val="Compact"/>
              <w:jc w:val="left"/>
            </w:pPr>
            <w:r>
              <w:t xml:space="preserve">Grab</w:t>
            </w:r>
          </w:p>
        </w:tc>
        <w:tc>
          <w:tcPr/>
          <w:p>
            <w:pPr>
              <w:pStyle w:val="Compact"/>
              <w:jc w:val="left"/>
            </w:pPr>
            <w:r>
              <w:t xml:space="preserve">2022</w:t>
            </w:r>
          </w:p>
        </w:tc>
        <w:tc>
          <w:tcPr/>
          <w:p>
            <w:pPr>
              <w:pStyle w:val="Compact"/>
              <w:jc w:val="left"/>
            </w:pPr>
            <w:r>
              <w:t xml:space="preserve">3.83</w:t>
            </w:r>
          </w:p>
        </w:tc>
        <w:tc>
          <w:tcPr/>
          <w:p>
            <w:pPr>
              <w:pStyle w:val="Compact"/>
              <w:jc w:val="left"/>
            </w:pPr>
            <w:r>
              <w:t xml:space="preserve">0.28</w:t>
            </w:r>
          </w:p>
        </w:tc>
        <w:tc>
          <w:tcPr/>
          <w:p>
            <w:pPr>
              <w:pStyle w:val="Compact"/>
              <w:jc w:val="left"/>
            </w:pPr>
            <w:r>
              <w:t xml:space="preserve">3.55</w:t>
            </w:r>
          </w:p>
        </w:tc>
        <w:tc>
          <w:tcPr/>
          <w:p>
            <w:pPr>
              <w:pStyle w:val="Compact"/>
              <w:jc w:val="left"/>
            </w:pPr>
            <w:r>
              <w:t xml:space="preserve">7.19</w:t>
            </w:r>
          </w:p>
        </w:tc>
        <w:tc>
          <w:tcPr/>
          <w:p>
            <w:pPr>
              <w:pStyle w:val="Compact"/>
              <w:jc w:val="left"/>
            </w:pPr>
            <w:r>
              <w:t xml:space="preserve">12.9</w:t>
            </w:r>
          </w:p>
        </w:tc>
        <w:tc>
          <w:tcPr/>
          <w:p>
            <w:pPr>
              <w:pStyle w:val="Compact"/>
              <w:jc w:val="left"/>
            </w:pPr>
            <w:r>
              <w:t xml:space="preserve">conditional country reconstruction</w:t>
            </w:r>
          </w:p>
        </w:tc>
      </w:tr>
      <w:tr>
        <w:tc>
          <w:tcPr/>
          <w:p>
            <w:pPr>
              <w:pStyle w:val="Compact"/>
              <w:jc w:val="left"/>
            </w:pPr>
            <w:r>
              <w:t xml:space="preserve">Grab</w:t>
            </w:r>
          </w:p>
        </w:tc>
        <w:tc>
          <w:tcPr/>
          <w:p>
            <w:pPr>
              <w:pStyle w:val="Compact"/>
              <w:jc w:val="left"/>
            </w:pPr>
            <w:r>
              <w:t xml:space="preserve">2023</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11.24</w:t>
            </w:r>
          </w:p>
        </w:tc>
        <w:tc>
          <w:tcPr/>
          <w:p>
            <w:pPr>
              <w:pStyle w:val="Compact"/>
              <w:jc w:val="left"/>
            </w:pPr>
            <w:r>
              <w:t xml:space="preserve">7.9</w:t>
            </w:r>
          </w:p>
        </w:tc>
        <w:tc>
          <w:tcPr/>
          <w:p>
            <w:pPr>
              <w:pStyle w:val="Compact"/>
              <w:jc w:val="left"/>
            </w:pPr>
            <w:r>
              <w:t xml:space="preserve">conditional country reconstruction</w:t>
            </w:r>
          </w:p>
        </w:tc>
      </w:tr>
      <w:tr>
        <w:tc>
          <w:tcPr/>
          <w:p>
            <w:pPr>
              <w:pStyle w:val="Compact"/>
              <w:jc w:val="left"/>
            </w:pPr>
            <w:r>
              <w:t xml:space="preserve">Shopee</w:t>
            </w:r>
          </w:p>
        </w:tc>
        <w:tc>
          <w:tcPr/>
          <w:p>
            <w:pPr>
              <w:pStyle w:val="Compact"/>
              <w:jc w:val="left"/>
            </w:pPr>
            <w:r>
              <w:t xml:space="preserve">2022</w:t>
            </w:r>
          </w:p>
        </w:tc>
        <w:tc>
          <w:tcPr/>
          <w:p>
            <w:pPr>
              <w:pStyle w:val="Compact"/>
              <w:jc w:val="left"/>
            </w:pPr>
            <w:r>
              <w:t xml:space="preserve">18.68</w:t>
            </w:r>
          </w:p>
        </w:tc>
        <w:tc>
          <w:tcPr/>
          <w:p>
            <w:pPr>
              <w:pStyle w:val="Compact"/>
              <w:jc w:val="left"/>
            </w:pPr>
            <w:r>
              <w:t xml:space="preserve">1.57</w:t>
            </w:r>
          </w:p>
        </w:tc>
        <w:tc>
          <w:tcPr/>
          <w:p>
            <w:pPr>
              <w:pStyle w:val="Compact"/>
              <w:jc w:val="left"/>
            </w:pPr>
            <w:r>
              <w:t xml:space="preserve">17.11</w:t>
            </w:r>
          </w:p>
        </w:tc>
        <w:tc>
          <w:tcPr/>
          <w:p>
            <w:pPr>
              <w:pStyle w:val="Compact"/>
              <w:jc w:val="left"/>
            </w:pPr>
            <w:r>
              <w:t xml:space="preserve">8.40</w:t>
            </w:r>
          </w:p>
        </w:tc>
        <w:tc>
          <w:tcPr/>
          <w:p>
            <w:pPr>
              <w:pStyle w:val="Compact"/>
              <w:jc w:val="left"/>
            </w:pPr>
            <w:r>
              <w:t xml:space="preserve">10.9</w:t>
            </w:r>
          </w:p>
        </w:tc>
        <w:tc>
          <w:tcPr/>
          <w:p>
            <w:pPr>
              <w:pStyle w:val="Compact"/>
              <w:jc w:val="left"/>
            </w:pPr>
            <w:r>
              <w:t xml:space="preserve">conditional country reconstruction</w:t>
            </w:r>
          </w:p>
        </w:tc>
      </w:tr>
      <w:tr>
        <w:tc>
          <w:tcPr/>
          <w:p>
            <w:pPr>
              <w:pStyle w:val="Compact"/>
              <w:jc w:val="left"/>
            </w:pPr>
            <w:r>
              <w:t xml:space="preserve">Shopee</w:t>
            </w:r>
          </w:p>
        </w:tc>
        <w:tc>
          <w:tcPr/>
          <w:p>
            <w:pPr>
              <w:pStyle w:val="Compact"/>
              <w:jc w:val="left"/>
            </w:pPr>
            <w:r>
              <w:t xml:space="preserve">2023</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10.00</w:t>
            </w:r>
          </w:p>
        </w:tc>
        <w:tc>
          <w:tcPr/>
          <w:p>
            <w:pPr>
              <w:pStyle w:val="Compact"/>
              <w:jc w:val="left"/>
            </w:pPr>
            <w:r>
              <w:t xml:space="preserve">9.0</w:t>
            </w:r>
          </w:p>
        </w:tc>
        <w:tc>
          <w:tcPr/>
          <w:p>
            <w:pPr>
              <w:pStyle w:val="Compact"/>
              <w:jc w:val="left"/>
            </w:pPr>
            <w:r>
              <w:t xml:space="preserve">conditional country reconstruction</w:t>
            </w:r>
          </w:p>
        </w:tc>
      </w:tr>
      <w:tr>
        <w:tc>
          <w:tcPr/>
          <w:p>
            <w:pPr>
              <w:pStyle w:val="Compact"/>
              <w:jc w:val="left"/>
            </w:pPr>
            <w:r>
              <w:t xml:space="preserve">Shopee</w:t>
            </w:r>
          </w:p>
        </w:tc>
        <w:tc>
          <w:tcPr/>
          <w:p>
            <w:pPr>
              <w:pStyle w:val="Compact"/>
              <w:jc w:val="left"/>
            </w:pPr>
            <w:r>
              <w:t xml:space="preserve">2024</w:t>
            </w:r>
          </w:p>
        </w:tc>
        <w:tc>
          <w:tcPr/>
          <w:p>
            <w:pPr>
              <w:pStyle w:val="Compact"/>
              <w:jc w:val="left"/>
            </w:pPr>
            <w:r>
              <w:t xml:space="preserve">25.99</w:t>
            </w:r>
          </w:p>
        </w:tc>
        <w:tc>
          <w:tcPr/>
          <w:p>
            <w:pPr>
              <w:pStyle w:val="Compact"/>
              <w:jc w:val="left"/>
            </w:pPr>
            <w:r>
              <w:t xml:space="preserve">2.81</w:t>
            </w:r>
          </w:p>
        </w:tc>
        <w:tc>
          <w:tcPr/>
          <w:p>
            <w:pPr>
              <w:pStyle w:val="Compact"/>
              <w:jc w:val="left"/>
            </w:pPr>
            <w:r>
              <w:t xml:space="preserve">23.18</w:t>
            </w:r>
          </w:p>
        </w:tc>
        <w:tc>
          <w:tcPr/>
          <w:p>
            <w:pPr>
              <w:pStyle w:val="Compact"/>
              <w:jc w:val="left"/>
            </w:pPr>
            <w:r>
              <w:t xml:space="preserve">10.80</w:t>
            </w:r>
          </w:p>
        </w:tc>
        <w:tc>
          <w:tcPr/>
          <w:p>
            <w:pPr>
              <w:pStyle w:val="Compact"/>
              <w:jc w:val="left"/>
            </w:pPr>
            <w:r>
              <w:t xml:space="preserve">8.3</w:t>
            </w:r>
          </w:p>
        </w:tc>
        <w:tc>
          <w:tcPr/>
          <w:p>
            <w:pPr>
              <w:pStyle w:val="Compact"/>
              <w:jc w:val="left"/>
            </w:pPr>
            <w:r>
              <w:t xml:space="preserve">conditional country reconstruction</w:t>
            </w:r>
          </w:p>
        </w:tc>
      </w:tr>
      <w:tr>
        <w:tc>
          <w:tcPr/>
          <w:p>
            <w:pPr>
              <w:pStyle w:val="Compact"/>
              <w:jc w:val="left"/>
            </w:pPr>
            <w:r>
              <w:t xml:space="preserve">Tokopedia e-commerce segment</w:t>
            </w:r>
          </w:p>
        </w:tc>
        <w:tc>
          <w:tcPr/>
          <w:p>
            <w:pPr>
              <w:pStyle w:val="Compact"/>
              <w:jc w:val="left"/>
            </w:pPr>
            <w:r>
              <w:t xml:space="preserve">2022</w:t>
            </w:r>
          </w:p>
        </w:tc>
        <w:tc>
          <w:tcPr/>
          <w:p>
            <w:pPr>
              <w:pStyle w:val="Compact"/>
              <w:jc w:val="left"/>
            </w:pPr>
            <w:r>
              <w:t xml:space="preserve">273,146,166.00</w:t>
            </w:r>
          </w:p>
        </w:tc>
        <w:tc>
          <w:tcPr/>
          <w:p>
            <w:pPr>
              <w:pStyle w:val="Compact"/>
              <w:jc w:val="left"/>
            </w:pPr>
            <w:r>
              <w:t xml:space="preserve">4,030,919.00</w:t>
            </w:r>
          </w:p>
        </w:tc>
        <w:tc>
          <w:tcPr/>
          <w:p>
            <w:pPr>
              <w:pStyle w:val="Compact"/>
              <w:jc w:val="left"/>
            </w:pPr>
            <w:r>
              <w:t xml:space="preserve">269,115,247.00</w:t>
            </w:r>
          </w:p>
        </w:tc>
        <w:tc>
          <w:tcPr/>
          <w:p>
            <w:pPr>
              <w:pStyle w:val="Compact"/>
              <w:jc w:val="left"/>
            </w:pPr>
            <w:r>
              <w:t xml:space="preserve">1.48</w:t>
            </w:r>
          </w:p>
        </w:tc>
        <w:tc>
          <w:tcPr/>
          <w:p>
            <w:pPr>
              <w:pStyle w:val="Compact"/>
              <w:jc w:val="left"/>
            </w:pPr>
            <w:r>
              <w:t xml:space="preserve">66.8</w:t>
            </w:r>
          </w:p>
        </w:tc>
        <w:tc>
          <w:tcPr/>
          <w:p>
            <w:pPr>
              <w:pStyle w:val="Compact"/>
              <w:jc w:val="left"/>
            </w:pPr>
            <w:r>
              <w:t xml:space="preserve">direct indonesia aligned segment</w:t>
            </w:r>
          </w:p>
        </w:tc>
      </w:tr>
      <w:tr>
        <w:tc>
          <w:tcPr/>
          <w:p>
            <w:pPr>
              <w:pStyle w:val="Compact"/>
              <w:jc w:val="left"/>
            </w:pPr>
            <w:r>
              <w:t xml:space="preserve">Tokopedia e-commerce segment</w:t>
            </w:r>
          </w:p>
        </w:tc>
        <w:tc>
          <w:tcPr/>
          <w:p>
            <w:pPr>
              <w:pStyle w:val="Compact"/>
              <w:jc w:val="left"/>
            </w:pPr>
            <w:r>
              <w:t xml:space="preserve">2023</w:t>
            </w:r>
          </w:p>
        </w:tc>
        <w:tc>
          <w:tcPr/>
          <w:p>
            <w:pPr>
              <w:pStyle w:val="Compact"/>
              <w:jc w:val="left"/>
            </w:pPr>
            <w:r>
              <w:t xml:space="preserve">248,836,156.00</w:t>
            </w:r>
          </w:p>
        </w:tc>
        <w:tc>
          <w:tcPr/>
          <w:p>
            <w:pPr>
              <w:pStyle w:val="Compact"/>
              <w:jc w:val="left"/>
            </w:pPr>
            <w:r>
              <w:t xml:space="preserve">6,175,190.00</w:t>
            </w:r>
          </w:p>
        </w:tc>
        <w:tc>
          <w:tcPr/>
          <w:p>
            <w:pPr>
              <w:pStyle w:val="Compact"/>
              <w:jc w:val="left"/>
            </w:pPr>
            <w:r>
              <w:t xml:space="preserve">242,660,966.00</w:t>
            </w:r>
          </w:p>
        </w:tc>
        <w:tc>
          <w:tcPr/>
          <w:p>
            <w:pPr>
              <w:pStyle w:val="Compact"/>
              <w:jc w:val="left"/>
            </w:pPr>
            <w:r>
              <w:t xml:space="preserve">2.48</w:t>
            </w:r>
          </w:p>
        </w:tc>
        <w:tc>
          <w:tcPr/>
          <w:p>
            <w:pPr>
              <w:pStyle w:val="Compact"/>
              <w:jc w:val="left"/>
            </w:pPr>
            <w:r>
              <w:t xml:space="preserve">39.3</w:t>
            </w:r>
          </w:p>
        </w:tc>
        <w:tc>
          <w:tcPr/>
          <w:p>
            <w:pPr>
              <w:pStyle w:val="Compact"/>
              <w:jc w:val="left"/>
            </w:pPr>
            <w:r>
              <w:t xml:space="preserve">direct indonesia aligned segment</w:t>
            </w:r>
          </w:p>
        </w:tc>
      </w:tr>
      <w:tr>
        <w:tc>
          <w:tcPr/>
          <w:p>
            <w:pPr>
              <w:pStyle w:val="Compact"/>
              <w:jc w:val="left"/>
            </w:pPr>
            <w:r>
              <w:t xml:space="preserve">Blibli 3P Retail</w:t>
            </w:r>
          </w:p>
        </w:tc>
        <w:tc>
          <w:tcPr/>
          <w:p>
            <w:pPr>
              <w:pStyle w:val="Compact"/>
              <w:jc w:val="left"/>
            </w:pPr>
            <w:r>
              <w:t xml:space="preserve">2021</w:t>
            </w:r>
          </w:p>
        </w:tc>
        <w:tc>
          <w:tcPr/>
          <w:p>
            <w:pPr>
              <w:pStyle w:val="Compact"/>
              <w:jc w:val="left"/>
            </w:pPr>
            <w:r>
              <w:t xml:space="preserve">15,746.00</w:t>
            </w:r>
          </w:p>
        </w:tc>
        <w:tc>
          <w:tcPr/>
          <w:p>
            <w:pPr>
              <w:pStyle w:val="Compact"/>
              <w:jc w:val="left"/>
            </w:pPr>
            <w:r>
              <w:t xml:space="preserve">122.00</w:t>
            </w:r>
          </w:p>
        </w:tc>
        <w:tc>
          <w:tcPr/>
          <w:p>
            <w:pPr>
              <w:pStyle w:val="Compact"/>
              <w:jc w:val="left"/>
            </w:pPr>
            <w:r>
              <w:t xml:space="preserve">15,624.00</w:t>
            </w:r>
          </w:p>
        </w:tc>
        <w:tc>
          <w:tcPr/>
          <w:p>
            <w:pPr>
              <w:pStyle w:val="Compact"/>
              <w:jc w:val="left"/>
            </w:pPr>
            <w:r>
              <w:t xml:space="preserve">0.77</w:t>
            </w:r>
          </w:p>
        </w:tc>
        <w:tc>
          <w:tcPr/>
          <w:p>
            <w:pPr>
              <w:pStyle w:val="Compact"/>
              <w:jc w:val="left"/>
            </w:pPr>
            <w:r>
              <w:t xml:space="preserve">128.1</w:t>
            </w:r>
          </w:p>
        </w:tc>
        <w:tc>
          <w:tcPr/>
          <w:p>
            <w:pPr>
              <w:pStyle w:val="Compact"/>
              <w:jc w:val="left"/>
            </w:pPr>
            <w:r>
              <w:t xml:space="preserve">direct issuer scope pending</w:t>
            </w:r>
          </w:p>
        </w:tc>
      </w:tr>
      <w:tr>
        <w:tc>
          <w:tcPr/>
          <w:p>
            <w:pPr>
              <w:pStyle w:val="Compact"/>
              <w:jc w:val="left"/>
            </w:pPr>
            <w:r>
              <w:t xml:space="preserve">Blibli 3P Retail</w:t>
            </w:r>
          </w:p>
        </w:tc>
        <w:tc>
          <w:tcPr/>
          <w:p>
            <w:pPr>
              <w:pStyle w:val="Compact"/>
              <w:jc w:val="left"/>
            </w:pPr>
            <w:r>
              <w:t xml:space="preserve">2022</w:t>
            </w:r>
          </w:p>
        </w:tc>
        <w:tc>
          <w:tcPr/>
          <w:p>
            <w:pPr>
              <w:pStyle w:val="Compact"/>
              <w:jc w:val="left"/>
            </w:pPr>
            <w:r>
              <w:t xml:space="preserve">37,050.00</w:t>
            </w:r>
          </w:p>
        </w:tc>
        <w:tc>
          <w:tcPr/>
          <w:p>
            <w:pPr>
              <w:pStyle w:val="Compact"/>
              <w:jc w:val="left"/>
            </w:pPr>
            <w:r>
              <w:t xml:space="preserve">199.00</w:t>
            </w:r>
          </w:p>
        </w:tc>
        <w:tc>
          <w:tcPr/>
          <w:p>
            <w:pPr>
              <w:pStyle w:val="Compact"/>
              <w:jc w:val="left"/>
            </w:pPr>
            <w:r>
              <w:t xml:space="preserve">36,851.00</w:t>
            </w:r>
          </w:p>
        </w:tc>
        <w:tc>
          <w:tcPr/>
          <w:p>
            <w:pPr>
              <w:pStyle w:val="Compact"/>
              <w:jc w:val="left"/>
            </w:pPr>
            <w:r>
              <w:t xml:space="preserve">0.54</w:t>
            </w:r>
          </w:p>
        </w:tc>
        <w:tc>
          <w:tcPr/>
          <w:p>
            <w:pPr>
              <w:pStyle w:val="Compact"/>
              <w:jc w:val="left"/>
            </w:pPr>
            <w:r>
              <w:t xml:space="preserve">185.2</w:t>
            </w:r>
          </w:p>
        </w:tc>
        <w:tc>
          <w:tcPr/>
          <w:p>
            <w:pPr>
              <w:pStyle w:val="Compact"/>
              <w:jc w:val="left"/>
            </w:pPr>
            <w:r>
              <w:t xml:space="preserve">direct issuer scope pending</w:t>
            </w:r>
          </w:p>
        </w:tc>
      </w:tr>
      <w:tr>
        <w:tc>
          <w:tcPr/>
          <w:p>
            <w:pPr>
              <w:pStyle w:val="Compact"/>
              <w:jc w:val="left"/>
            </w:pPr>
            <w:r>
              <w:t xml:space="preserve">Blibli 3P Retail</w:t>
            </w:r>
          </w:p>
        </w:tc>
        <w:tc>
          <w:tcPr/>
          <w:p>
            <w:pPr>
              <w:pStyle w:val="Compact"/>
              <w:jc w:val="left"/>
            </w:pPr>
            <w:r>
              <w:t xml:space="preserve">2023</w:t>
            </w:r>
          </w:p>
        </w:tc>
        <w:tc>
          <w:tcPr/>
          <w:p>
            <w:pPr>
              <w:pStyle w:val="Compact"/>
              <w:jc w:val="left"/>
            </w:pPr>
            <w:r>
              <w:t xml:space="preserve">49,912.00</w:t>
            </w:r>
          </w:p>
        </w:tc>
        <w:tc>
          <w:tcPr/>
          <w:p>
            <w:pPr>
              <w:pStyle w:val="Compact"/>
              <w:jc w:val="left"/>
            </w:pPr>
            <w:r>
              <w:t xml:space="preserve">1,125.00</w:t>
            </w:r>
          </w:p>
        </w:tc>
        <w:tc>
          <w:tcPr/>
          <w:p>
            <w:pPr>
              <w:pStyle w:val="Compact"/>
              <w:jc w:val="left"/>
            </w:pPr>
            <w:r>
              <w:t xml:space="preserve">48,787.00</w:t>
            </w:r>
          </w:p>
        </w:tc>
        <w:tc>
          <w:tcPr/>
          <w:p>
            <w:pPr>
              <w:pStyle w:val="Compact"/>
              <w:jc w:val="left"/>
            </w:pPr>
            <w:r>
              <w:t xml:space="preserve">2.25</w:t>
            </w:r>
          </w:p>
        </w:tc>
        <w:tc>
          <w:tcPr/>
          <w:p>
            <w:pPr>
              <w:pStyle w:val="Compact"/>
              <w:jc w:val="left"/>
            </w:pPr>
            <w:r>
              <w:t xml:space="preserve">43.4</w:t>
            </w:r>
          </w:p>
        </w:tc>
        <w:tc>
          <w:tcPr/>
          <w:p>
            <w:pPr>
              <w:pStyle w:val="Compact"/>
              <w:jc w:val="left"/>
            </w:pPr>
            <w:r>
              <w:t xml:space="preserve">direct issuer scope pending</w:t>
            </w:r>
          </w:p>
        </w:tc>
      </w:tr>
      <w:tr>
        <w:tc>
          <w:tcPr/>
          <w:p>
            <w:pPr>
              <w:pStyle w:val="Compact"/>
              <w:jc w:val="left"/>
            </w:pPr>
            <w:r>
              <w:t xml:space="preserve">Blibli 3P Retail</w:t>
            </w:r>
          </w:p>
        </w:tc>
        <w:tc>
          <w:tcPr/>
          <w:p>
            <w:pPr>
              <w:pStyle w:val="Compact"/>
              <w:jc w:val="left"/>
            </w:pPr>
            <w:r>
              <w:t xml:space="preserve">2024</w:t>
            </w:r>
          </w:p>
        </w:tc>
        <w:tc>
          <w:tcPr/>
          <w:p>
            <w:pPr>
              <w:pStyle w:val="Compact"/>
              <w:jc w:val="left"/>
            </w:pPr>
            <w:r>
              <w:t xml:space="preserve">54,210.00</w:t>
            </w:r>
          </w:p>
        </w:tc>
        <w:tc>
          <w:tcPr/>
          <w:p>
            <w:pPr>
              <w:pStyle w:val="Compact"/>
              <w:jc w:val="left"/>
            </w:pPr>
            <w:r>
              <w:t xml:space="preserve">1,384.00</w:t>
            </w:r>
          </w:p>
        </w:tc>
        <w:tc>
          <w:tcPr/>
          <w:p>
            <w:pPr>
              <w:pStyle w:val="Compact"/>
              <w:jc w:val="left"/>
            </w:pPr>
            <w:r>
              <w:t xml:space="preserve">52,826.00</w:t>
            </w:r>
          </w:p>
        </w:tc>
        <w:tc>
          <w:tcPr/>
          <w:p>
            <w:pPr>
              <w:pStyle w:val="Compact"/>
              <w:jc w:val="left"/>
            </w:pPr>
            <w:r>
              <w:t xml:space="preserve">2.55</w:t>
            </w:r>
          </w:p>
        </w:tc>
        <w:tc>
          <w:tcPr/>
          <w:p>
            <w:pPr>
              <w:pStyle w:val="Compact"/>
              <w:jc w:val="left"/>
            </w:pPr>
            <w:r>
              <w:t xml:space="preserve">38.2</w:t>
            </w:r>
          </w:p>
        </w:tc>
        <w:tc>
          <w:tcPr/>
          <w:p>
            <w:pPr>
              <w:pStyle w:val="Compact"/>
              <w:jc w:val="left"/>
            </w:pPr>
            <w:r>
              <w:t xml:space="preserve">direct issuer scope pending</w:t>
            </w:r>
          </w:p>
        </w:tc>
      </w:tr>
      <w:tr>
        <w:tc>
          <w:tcPr/>
          <w:p>
            <w:pPr>
              <w:pStyle w:val="Compact"/>
              <w:jc w:val="left"/>
            </w:pPr>
            <w:r>
              <w:t xml:space="preserve">Blibli 3P Retail</w:t>
            </w:r>
          </w:p>
        </w:tc>
        <w:tc>
          <w:tcPr/>
          <w:p>
            <w:pPr>
              <w:pStyle w:val="Compact"/>
              <w:jc w:val="left"/>
            </w:pPr>
            <w:r>
              <w:t xml:space="preserve">2025</w:t>
            </w:r>
          </w:p>
        </w:tc>
        <w:tc>
          <w:tcPr/>
          <w:p>
            <w:pPr>
              <w:pStyle w:val="Compact"/>
              <w:jc w:val="left"/>
            </w:pPr>
            <w:r>
              <w:t xml:space="preserve">53,187.00</w:t>
            </w:r>
          </w:p>
        </w:tc>
        <w:tc>
          <w:tcPr/>
          <w:p>
            <w:pPr>
              <w:pStyle w:val="Compact"/>
              <w:jc w:val="left"/>
            </w:pPr>
            <w:r>
              <w:t xml:space="preserve">1,551.00</w:t>
            </w:r>
          </w:p>
        </w:tc>
        <w:tc>
          <w:tcPr/>
          <w:p>
            <w:pPr>
              <w:pStyle w:val="Compact"/>
              <w:jc w:val="left"/>
            </w:pPr>
            <w:r>
              <w:t xml:space="preserve">51,636.00</w:t>
            </w:r>
          </w:p>
        </w:tc>
        <w:tc>
          <w:tcPr/>
          <w:p>
            <w:pPr>
              <w:pStyle w:val="Compact"/>
              <w:jc w:val="left"/>
            </w:pPr>
            <w:r>
              <w:t xml:space="preserve">2.92</w:t>
            </w:r>
          </w:p>
        </w:tc>
        <w:tc>
          <w:tcPr/>
          <w:p>
            <w:pPr>
              <w:pStyle w:val="Compact"/>
              <w:jc w:val="left"/>
            </w:pPr>
            <w:r>
              <w:t xml:space="preserve">33.3</w:t>
            </w:r>
          </w:p>
        </w:tc>
        <w:tc>
          <w:tcPr/>
          <w:p>
            <w:pPr>
              <w:pStyle w:val="Compact"/>
              <w:jc w:val="left"/>
            </w:pPr>
            <w:r>
              <w:t xml:space="preserve">direct issuer scope pending</w:t>
            </w:r>
          </w:p>
        </w:tc>
      </w:tr>
      <w:tr>
        <w:tc>
          <w:tcPr/>
          <w:p>
            <w:pPr>
              <w:pStyle w:val="Compact"/>
              <w:jc w:val="left"/>
            </w:pPr>
            <w:r>
              <w:t xml:space="preserve">Bukalapak Group</w:t>
            </w:r>
          </w:p>
        </w:tc>
        <w:tc>
          <w:tcPr/>
          <w:p>
            <w:pPr>
              <w:pStyle w:val="Compact"/>
              <w:jc w:val="left"/>
            </w:pPr>
            <w:r>
              <w:t xml:space="preserve">2020</w:t>
            </w:r>
          </w:p>
        </w:tc>
        <w:tc>
          <w:tcPr/>
          <w:p>
            <w:pPr>
              <w:pStyle w:val="Compact"/>
              <w:jc w:val="left"/>
            </w:pPr>
            <w:r>
              <w:t xml:space="preserve">85,081,843.00</w:t>
            </w:r>
          </w:p>
        </w:tc>
        <w:tc>
          <w:tcPr/>
          <w:p>
            <w:pPr>
              <w:pStyle w:val="Compact"/>
              <w:jc w:val="left"/>
            </w:pPr>
            <w:r>
              <w:t xml:space="preserve">1,351,664.00</w:t>
            </w:r>
          </w:p>
        </w:tc>
        <w:tc>
          <w:tcPr/>
          <w:p>
            <w:pPr>
              <w:pStyle w:val="Compact"/>
              <w:jc w:val="left"/>
            </w:pPr>
            <w:r>
              <w:t xml:space="preserve">83,730,179.00</w:t>
            </w:r>
          </w:p>
        </w:tc>
        <w:tc>
          <w:tcPr/>
          <w:p>
            <w:pPr>
              <w:pStyle w:val="Compact"/>
              <w:jc w:val="left"/>
            </w:pPr>
            <w:r>
              <w:t xml:space="preserve">1.59</w:t>
            </w:r>
          </w:p>
        </w:tc>
        <w:tc>
          <w:tcPr/>
          <w:p>
            <w:pPr>
              <w:pStyle w:val="Compact"/>
              <w:jc w:val="left"/>
            </w:pPr>
            <w:r>
              <w:t xml:space="preserve">61.9</w:t>
            </w:r>
          </w:p>
        </w:tc>
        <w:tc>
          <w:tcPr/>
          <w:p>
            <w:pPr>
              <w:pStyle w:val="Compact"/>
              <w:jc w:val="left"/>
            </w:pPr>
            <w:r>
              <w:t xml:space="preserve">direct issuer scope pending</w:t>
            </w:r>
          </w:p>
        </w:tc>
      </w:tr>
      <w:tr>
        <w:tc>
          <w:tcPr/>
          <w:p>
            <w:pPr>
              <w:pStyle w:val="Compact"/>
              <w:jc w:val="left"/>
            </w:pPr>
            <w:r>
              <w:t xml:space="preserve">Bukalapak Group</w:t>
            </w:r>
          </w:p>
        </w:tc>
        <w:tc>
          <w:tcPr/>
          <w:p>
            <w:pPr>
              <w:pStyle w:val="Compact"/>
              <w:jc w:val="left"/>
            </w:pPr>
            <w:r>
              <w:t xml:space="preserve">2021</w:t>
            </w:r>
          </w:p>
        </w:tc>
        <w:tc>
          <w:tcPr/>
          <w:p>
            <w:pPr>
              <w:pStyle w:val="Compact"/>
              <w:jc w:val="left"/>
            </w:pPr>
            <w:r>
              <w:t xml:space="preserve">122,618,794.00</w:t>
            </w:r>
          </w:p>
        </w:tc>
        <w:tc>
          <w:tcPr/>
          <w:p>
            <w:pPr>
              <w:pStyle w:val="Compact"/>
              <w:jc w:val="left"/>
            </w:pPr>
            <w:r>
              <w:t xml:space="preserve">1,869,122.00</w:t>
            </w:r>
          </w:p>
        </w:tc>
        <w:tc>
          <w:tcPr/>
          <w:p>
            <w:pPr>
              <w:pStyle w:val="Compact"/>
              <w:jc w:val="left"/>
            </w:pPr>
            <w:r>
              <w:t xml:space="preserve">120,749,672.00</w:t>
            </w:r>
          </w:p>
        </w:tc>
        <w:tc>
          <w:tcPr/>
          <w:p>
            <w:pPr>
              <w:pStyle w:val="Compact"/>
              <w:jc w:val="left"/>
            </w:pPr>
            <w:r>
              <w:t xml:space="preserve">1.52</w:t>
            </w:r>
          </w:p>
        </w:tc>
        <w:tc>
          <w:tcPr/>
          <w:p>
            <w:pPr>
              <w:pStyle w:val="Compact"/>
              <w:jc w:val="left"/>
            </w:pPr>
            <w:r>
              <w:t xml:space="preserve">64.6</w:t>
            </w:r>
          </w:p>
        </w:tc>
        <w:tc>
          <w:tcPr/>
          <w:p>
            <w:pPr>
              <w:pStyle w:val="Compact"/>
              <w:jc w:val="left"/>
            </w:pPr>
            <w:r>
              <w:t xml:space="preserve">direct issuer scope pending</w:t>
            </w:r>
          </w:p>
        </w:tc>
      </w:tr>
      <w:tr>
        <w:tc>
          <w:tcPr/>
          <w:p>
            <w:pPr>
              <w:pStyle w:val="Compact"/>
              <w:jc w:val="left"/>
            </w:pPr>
            <w:r>
              <w:t xml:space="preserve">Bukalapak Group</w:t>
            </w:r>
          </w:p>
        </w:tc>
        <w:tc>
          <w:tcPr/>
          <w:p>
            <w:pPr>
              <w:pStyle w:val="Compact"/>
              <w:jc w:val="left"/>
            </w:pPr>
            <w:r>
              <w:t xml:space="preserve">2022</w:t>
            </w:r>
          </w:p>
        </w:tc>
        <w:tc>
          <w:tcPr/>
          <w:p>
            <w:pPr>
              <w:pStyle w:val="Compact"/>
              <w:jc w:val="left"/>
            </w:pPr>
            <w:r>
              <w:t xml:space="preserve">153,738,958.00</w:t>
            </w:r>
          </w:p>
        </w:tc>
        <w:tc>
          <w:tcPr/>
          <w:p>
            <w:pPr>
              <w:pStyle w:val="Compact"/>
              <w:jc w:val="left"/>
            </w:pPr>
            <w:r>
              <w:t xml:space="preserve">3,618,366.00</w:t>
            </w:r>
          </w:p>
        </w:tc>
        <w:tc>
          <w:tcPr/>
          <w:p>
            <w:pPr>
              <w:pStyle w:val="Compact"/>
              <w:jc w:val="left"/>
            </w:pPr>
            <w:r>
              <w:t xml:space="preserve">150,120,592.00</w:t>
            </w:r>
          </w:p>
        </w:tc>
        <w:tc>
          <w:tcPr/>
          <w:p>
            <w:pPr>
              <w:pStyle w:val="Compact"/>
              <w:jc w:val="left"/>
            </w:pPr>
            <w:r>
              <w:t xml:space="preserve">2.35</w:t>
            </w:r>
          </w:p>
        </w:tc>
        <w:tc>
          <w:tcPr/>
          <w:p>
            <w:pPr>
              <w:pStyle w:val="Compact"/>
              <w:jc w:val="left"/>
            </w:pPr>
            <w:r>
              <w:t xml:space="preserve">41.5</w:t>
            </w:r>
          </w:p>
        </w:tc>
        <w:tc>
          <w:tcPr/>
          <w:p>
            <w:pPr>
              <w:pStyle w:val="Compact"/>
              <w:jc w:val="left"/>
            </w:pPr>
            <w:r>
              <w:t xml:space="preserve">direct issuer scope pending</w:t>
            </w:r>
          </w:p>
        </w:tc>
      </w:tr>
      <w:tr>
        <w:tc>
          <w:tcPr/>
          <w:p>
            <w:pPr>
              <w:pStyle w:val="Compact"/>
              <w:jc w:val="left"/>
            </w:pPr>
            <w:r>
              <w:t xml:space="preserve">Bukalapak Group</w:t>
            </w:r>
          </w:p>
        </w:tc>
        <w:tc>
          <w:tcPr/>
          <w:p>
            <w:pPr>
              <w:pStyle w:val="Compact"/>
              <w:jc w:val="left"/>
            </w:pPr>
            <w:r>
              <w:t xml:space="preserve">2023</w:t>
            </w:r>
          </w:p>
        </w:tc>
        <w:tc>
          <w:tcPr/>
          <w:p>
            <w:pPr>
              <w:pStyle w:val="Compact"/>
              <w:jc w:val="left"/>
            </w:pPr>
            <w:r>
              <w:t xml:space="preserve">164,380,065.00</w:t>
            </w:r>
          </w:p>
        </w:tc>
        <w:tc>
          <w:tcPr/>
          <w:p>
            <w:pPr>
              <w:pStyle w:val="Compact"/>
              <w:jc w:val="left"/>
            </w:pPr>
            <w:r>
              <w:t xml:space="preserve">4,438,269.00</w:t>
            </w:r>
          </w:p>
        </w:tc>
        <w:tc>
          <w:tcPr/>
          <w:p>
            <w:pPr>
              <w:pStyle w:val="Compact"/>
              <w:jc w:val="left"/>
            </w:pPr>
            <w:r>
              <w:t xml:space="preserve">159,941,796.00</w:t>
            </w:r>
          </w:p>
        </w:tc>
        <w:tc>
          <w:tcPr/>
          <w:p>
            <w:pPr>
              <w:pStyle w:val="Compact"/>
              <w:jc w:val="left"/>
            </w:pPr>
            <w:r>
              <w:t xml:space="preserve">2.70</w:t>
            </w:r>
          </w:p>
        </w:tc>
        <w:tc>
          <w:tcPr/>
          <w:p>
            <w:pPr>
              <w:pStyle w:val="Compact"/>
              <w:jc w:val="left"/>
            </w:pPr>
            <w:r>
              <w:t xml:space="preserve">36.0</w:t>
            </w:r>
          </w:p>
        </w:tc>
        <w:tc>
          <w:tcPr/>
          <w:p>
            <w:pPr>
              <w:pStyle w:val="Compact"/>
              <w:jc w:val="left"/>
            </w:pPr>
            <w:r>
              <w:t xml:space="preserve">direct issuer scope pending</w:t>
            </w:r>
          </w:p>
        </w:tc>
      </w:tr>
    </w:tbl>
    <w:bookmarkEnd w:id="92"/>
    <w:bookmarkEnd w:id="93"/>
    <w:bookmarkStart w:id="96" w:name="appendix-b.-the-checks-on-the-test-of-h1"/>
    <w:p>
      <w:pPr>
        <w:pStyle w:val="Heading2"/>
      </w:pPr>
      <w:r>
        <w:t xml:space="preserve">Appendix B. The checks on the test of H1</w:t>
      </w:r>
    </w:p>
    <w:bookmarkStart w:id="94" w:name="b.1-the-checks"/>
    <w:p>
      <w:pPr>
        <w:pStyle w:val="Heading3"/>
      </w:pPr>
      <w:r>
        <w:t xml:space="preserve">B.1 The checks</w:t>
      </w:r>
    </w:p>
    <w:p>
      <w:pPr>
        <w:pStyle w:val="FirstParagraph"/>
      </w:pPr>
      <w:r>
        <w:t xml:space="preserve">The main test is in Table 5.3. This appendix lists each check with both p-values where both exist. Sources:</w:t>
      </w:r>
      <w:r>
        <w:t xml:space="preserve"> </w:t>
      </w:r>
      <w:r>
        <w:rPr>
          <w:rStyle w:val="VerbatimChar"/>
        </w:rPr>
        <w:t xml:space="preserve">h1_extended.py</w:t>
      </w:r>
      <w:r>
        <w:t xml:space="preserve"> </w:t>
      </w:r>
      <w:r>
        <w:t xml:space="preserve">(</w:t>
      </w:r>
      <w:r>
        <w:rPr>
          <w:rStyle w:val="VerbatimChar"/>
        </w:rPr>
        <w:t xml:space="preserve">tables/h1_extended_results.json</w:t>
      </w:r>
      <w:r>
        <w:t xml:space="preserve">),</w:t>
      </w:r>
      <w:r>
        <w:t xml:space="preserve"> </w:t>
      </w:r>
      <w:r>
        <w:rPr>
          <w:rStyle w:val="VerbatimChar"/>
        </w:rPr>
        <w:t xml:space="preserve">tables/test_battery.csv</w:t>
      </w:r>
      <w:r>
        <w:t xml:space="preserve">,</w:t>
      </w:r>
      <w:r>
        <w:t xml:space="preserve"> </w:t>
      </w:r>
      <w:r>
        <w:rPr>
          <w:rStyle w:val="VerbatimChar"/>
        </w:rPr>
        <w:t xml:space="preserve">tables/h1_quarterly_results.json</w:t>
      </w:r>
      <w:r>
        <w:t xml:space="preserve">,</w:t>
      </w:r>
      <w:r>
        <w:t xml:space="preserve"> </w:t>
      </w:r>
      <w:r>
        <w:rPr>
          <w:rStyle w:val="VerbatimChar"/>
        </w:rPr>
        <w:t xml:space="preserve">tables/h1_points_vs_log.json</w:t>
      </w:r>
      <w:r>
        <w:t xml:space="preserve">,</w:t>
      </w:r>
      <w:r>
        <w:t xml:space="preserve"> </w:t>
      </w:r>
      <w:r>
        <w:rPr>
          <w:rStyle w:val="VerbatimChar"/>
        </w:rPr>
        <w:t xml:space="preserve">tables/h1_thesis_drops.json</w:t>
      </w:r>
      <w:r>
        <w:t xml:space="preserve">. The two rows on how platforms book shopper discounts come from</w:t>
      </w:r>
      <w:r>
        <w:t xml:space="preserve"> </w:t>
      </w:r>
      <w:r>
        <w:rPr>
          <w:rStyle w:val="VerbatimChar"/>
        </w:rPr>
        <w:t xml:space="preserve">research/option_space_2026-10-01/materials_2026-10-15/incentive_accounting_check.py</w:t>
      </w:r>
      <w:r>
        <w:t xml:space="preserve"> </w:t>
      </w:r>
      <w:r>
        <w:t xml:space="preserve">(classification and filing quotes in</w:t>
      </w:r>
      <w:r>
        <w:t xml:space="preserve"> </w:t>
      </w:r>
      <w:r>
        <w:rPr>
          <w:rStyle w:val="VerbatimChar"/>
        </w:rPr>
        <w:t xml:space="preserve">INCENTIVE_ACCOUNTING.md</w:t>
      </w:r>
      <w:r>
        <w:t xml:space="preserve">); their shuffle uses a different seed.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Indonesian and regional (median)</w:t>
            </w:r>
          </w:p>
        </w:tc>
        <w:tc>
          <w:tcPr/>
          <w:p>
            <w:pPr>
              <w:pStyle w:val="Compact"/>
              <w:jc w:val="left"/>
            </w:pPr>
            <w:r>
              <w:t xml:space="preserve">Foreign (median)</w:t>
            </w:r>
          </w:p>
        </w:tc>
        <w:tc>
          <w:tcPr/>
          <w:p>
            <w:pPr>
              <w:pStyle w:val="Compact"/>
              <w:jc w:val="left"/>
            </w:pPr>
            <w:r>
              <w:t xml:space="preserve">Mann–Whitney p</w:t>
            </w:r>
          </w:p>
        </w:tc>
        <w:tc>
          <w:tcPr/>
          <w:p>
            <w:pPr>
              <w:pStyle w:val="Compact"/>
              <w:jc w:val="left"/>
            </w:pPr>
            <w:r>
              <w:t xml:space="preserve">Shuffle p</w:t>
            </w:r>
          </w:p>
        </w:tc>
      </w:tr>
      <w:tr>
        <w:tc>
          <w:tcPr/>
          <w:p>
            <w:pPr>
              <w:pStyle w:val="Compact"/>
              <w:jc w:val="left"/>
            </w:pPr>
            <w:r>
              <w:t xml:space="preserve">Main test, 5 against 27</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0.0221</w:t>
            </w:r>
          </w:p>
        </w:tc>
      </w:tr>
      <w:tr>
        <w:tc>
          <w:tcPr/>
          <w:p>
            <w:pPr>
              <w:pStyle w:val="Compact"/>
              <w:jc w:val="left"/>
            </w:pPr>
            <w:r>
              <w:t xml:space="preserve">5 against the 8 chosen first</w:t>
            </w:r>
          </w:p>
        </w:tc>
        <w:tc>
          <w:tcPr/>
          <w:p>
            <w:pPr>
              <w:pStyle w:val="Compact"/>
              <w:jc w:val="left"/>
            </w:pPr>
            <w:r>
              <w:t xml:space="preserve">0.201</w:t>
            </w:r>
          </w:p>
        </w:tc>
        <w:tc>
          <w:tcPr/>
          <w:p>
            <w:pPr>
              <w:pStyle w:val="Compact"/>
              <w:jc w:val="left"/>
            </w:pPr>
            <w:r>
              <w:t xml:space="preserve">0.055</w:t>
            </w:r>
          </w:p>
        </w:tc>
        <w:tc>
          <w:tcPr/>
          <w:p>
            <w:pPr>
              <w:pStyle w:val="Compact"/>
              <w:jc w:val="left"/>
            </w:pPr>
            <w:r>
              <w:t xml:space="preserve">0.0225</w:t>
            </w:r>
          </w:p>
        </w:tc>
        <w:tc>
          <w:tcPr/>
          <w:p>
            <w:pPr>
              <w:pStyle w:val="Compact"/>
              <w:jc w:val="left"/>
            </w:pPr>
            <w:r>
              <w:t xml:space="preserve">0.0497</w:t>
            </w:r>
          </w:p>
        </w:tc>
      </w:tr>
      <w:tr>
        <w:tc>
          <w:tcPr/>
          <w:p>
            <w:pPr>
              <w:pStyle w:val="Compact"/>
              <w:jc w:val="left"/>
            </w:pPr>
            <w:r>
              <w:t xml:space="preserve">5 against the 19 added</w:t>
            </w:r>
          </w:p>
        </w:tc>
        <w:tc>
          <w:tcPr/>
          <w:p>
            <w:pPr>
              <w:pStyle w:val="Compact"/>
              <w:jc w:val="left"/>
            </w:pPr>
            <w:r>
              <w:t xml:space="preserve">0.201</w:t>
            </w:r>
          </w:p>
        </w:tc>
        <w:tc>
          <w:tcPr/>
          <w:p>
            <w:pPr>
              <w:pStyle w:val="Compact"/>
              <w:jc w:val="left"/>
            </w:pPr>
            <w:r>
              <w:t xml:space="preserve">0.070</w:t>
            </w:r>
          </w:p>
        </w:tc>
        <w:tc>
          <w:tcPr/>
          <w:p>
            <w:pPr>
              <w:pStyle w:val="Compact"/>
              <w:jc w:val="left"/>
            </w:pPr>
            <w:r>
              <w:t xml:space="preserve">0.0046</w:t>
            </w:r>
          </w:p>
        </w:tc>
        <w:tc>
          <w:tcPr/>
          <w:p>
            <w:pPr>
              <w:pStyle w:val="Compact"/>
              <w:jc w:val="left"/>
            </w:pPr>
            <w:r>
              <w:t xml:space="preserve">0.0175</w:t>
            </w:r>
          </w:p>
        </w:tc>
      </w:tr>
      <w:tr>
        <w:tc>
          <w:tcPr/>
          <w:p>
            <w:pPr>
              <w:pStyle w:val="Compact"/>
              <w:jc w:val="left"/>
            </w:pPr>
            <w:r>
              <w:t xml:space="preserve">Without the 8 foreign platforms that book shopper discounts as marketing costs (exploratory, 15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0.0035</w:t>
            </w:r>
          </w:p>
        </w:tc>
        <w:tc>
          <w:tcPr/>
          <w:p>
            <w:pPr>
              <w:pStyle w:val="Compact"/>
              <w:jc w:val="left"/>
            </w:pPr>
            <w:r>
              <w:t xml:space="preserve">0.0066</w:t>
            </w:r>
          </w:p>
        </w:tc>
      </w:tr>
      <w:tr>
        <w:tc>
          <w:tcPr/>
          <w:p>
            <w:pPr>
              <w:pStyle w:val="Compact"/>
              <w:jc w:val="left"/>
            </w:pPr>
            <w:r>
              <w:t xml:space="preserve">Only the 11 foreign platforms that deduct shopper discounts from revenue (exploratory, 15 Oct 2026)</w:t>
            </w:r>
          </w:p>
        </w:tc>
        <w:tc>
          <w:tcPr/>
          <w:p>
            <w:pPr>
              <w:pStyle w:val="Compact"/>
              <w:jc w:val="left"/>
            </w:pPr>
            <w:r>
              <w:t xml:space="preserve">0.201</w:t>
            </w:r>
          </w:p>
        </w:tc>
        <w:tc>
          <w:tcPr/>
          <w:p>
            <w:pPr>
              <w:pStyle w:val="Compact"/>
              <w:jc w:val="left"/>
            </w:pPr>
            <w:r>
              <w:t xml:space="preserve">0.075</w:t>
            </w:r>
          </w:p>
        </w:tc>
        <w:tc>
          <w:tcPr/>
          <w:p>
            <w:pPr>
              <w:pStyle w:val="Compact"/>
              <w:jc w:val="left"/>
            </w:pPr>
            <w:r>
              <w:t xml:space="preserve">0.0043</w:t>
            </w:r>
          </w:p>
        </w:tc>
        <w:tc>
          <w:tcPr/>
          <w:p>
            <w:pPr>
              <w:pStyle w:val="Compact"/>
              <w:jc w:val="left"/>
            </w:pPr>
            <w:r>
              <w:t xml:space="preserve">0.0052</w:t>
            </w:r>
          </w:p>
        </w:tc>
      </w:tr>
      <w:tr>
        <w:tc>
          <w:tcPr/>
          <w:p>
            <w:pPr>
              <w:pStyle w:val="Compact"/>
              <w:jc w:val="left"/>
            </w:pPr>
            <w:r>
              <w:t xml:space="preserve">Growth divergence in points, 5 against 26</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0.0055</w:t>
            </w:r>
          </w:p>
        </w:tc>
        <w:tc>
          <w:tcPr/>
          <w:p>
            <w:pPr>
              <w:pStyle w:val="Compact"/>
            </w:pPr>
          </w:p>
        </w:tc>
      </w:tr>
      <w:tr>
        <w:tc>
          <w:tcPr/>
          <w:p>
            <w:pPr>
              <w:pStyle w:val="Compact"/>
              <w:jc w:val="left"/>
            </w:pPr>
            <w:r>
              <w:t xml:space="preserve">Without Ozon, 26 foreign platforms</w:t>
            </w:r>
          </w:p>
        </w:tc>
        <w:tc>
          <w:tcPr/>
          <w:p>
            <w:pPr>
              <w:pStyle w:val="Compact"/>
              <w:jc w:val="left"/>
            </w:pPr>
            <w:r>
              <w:t xml:space="preserve">0.201</w:t>
            </w:r>
          </w:p>
        </w:tc>
        <w:tc>
          <w:tcPr/>
          <w:p>
            <w:pPr>
              <w:pStyle w:val="Compact"/>
              <w:jc w:val="left"/>
            </w:pPr>
            <w:r>
              <w:t xml:space="preserve">0.060</w:t>
            </w:r>
          </w:p>
        </w:tc>
        <w:tc>
          <w:tcPr/>
          <w:p>
            <w:pPr>
              <w:pStyle w:val="Compact"/>
              <w:jc w:val="left"/>
            </w:pPr>
            <w:r>
              <w:t xml:space="preserve">0.0030</w:t>
            </w:r>
          </w:p>
        </w:tc>
        <w:tc>
          <w:tcPr/>
          <w:p>
            <w:pPr>
              <w:pStyle w:val="Compact"/>
              <w:jc w:val="left"/>
            </w:pPr>
            <w:r>
              <w:t xml:space="preserve">0.0215</w:t>
            </w:r>
          </w:p>
        </w:tc>
      </w:tr>
      <w:tr>
        <w:tc>
          <w:tcPr/>
          <w:p>
            <w:pPr>
              <w:pStyle w:val="Compact"/>
              <w:jc w:val="left"/>
            </w:pPr>
            <w:r>
              <w:t xml:space="preserve">Without Zalando, 26 foreign platforms</w:t>
            </w:r>
          </w:p>
        </w:tc>
        <w:tc>
          <w:tcPr/>
          <w:p>
            <w:pPr>
              <w:pStyle w:val="Compact"/>
              <w:jc w:val="left"/>
            </w:pPr>
            <w:r>
              <w:t xml:space="preserve">0.201</w:t>
            </w:r>
          </w:p>
        </w:tc>
        <w:tc>
          <w:tcPr/>
          <w:p>
            <w:pPr>
              <w:pStyle w:val="Compact"/>
              <w:jc w:val="left"/>
            </w:pPr>
            <w:r>
              <w:t xml:space="preserve">0.064</w:t>
            </w:r>
          </w:p>
        </w:tc>
        <w:tc>
          <w:tcPr/>
          <w:p>
            <w:pPr>
              <w:pStyle w:val="Compact"/>
              <w:jc w:val="left"/>
            </w:pPr>
            <w:r>
              <w:t xml:space="preserve">0.0045</w:t>
            </w:r>
          </w:p>
        </w:tc>
        <w:tc>
          <w:tcPr/>
          <w:p>
            <w:pPr>
              <w:pStyle w:val="Compact"/>
              <w:jc w:val="left"/>
            </w:pPr>
            <w:r>
              <w:t xml:space="preserve">0.0238</w:t>
            </w:r>
          </w:p>
        </w:tc>
      </w:tr>
      <w:tr>
        <w:tc>
          <w:tcPr/>
          <w:p>
            <w:pPr>
              <w:pStyle w:val="Compact"/>
              <w:jc w:val="left"/>
            </w:pPr>
            <w:r>
              <w:t xml:space="preserve">Without Ozon and Zalando, 25 foreign platforms</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0.0036</w:t>
            </w:r>
          </w:p>
        </w:tc>
        <w:tc>
          <w:tcPr/>
          <w:p>
            <w:pPr>
              <w:pStyle w:val="Compact"/>
              <w:jc w:val="left"/>
            </w:pPr>
            <w:r>
              <w:t xml:space="preserve">0.0230</w:t>
            </w:r>
          </w:p>
        </w:tc>
      </w:tr>
      <w:tr>
        <w:tc>
          <w:tcPr/>
          <w:p>
            <w:pPr>
              <w:pStyle w:val="Compact"/>
              <w:jc w:val="left"/>
            </w:pPr>
            <w:r>
              <w:t xml:space="preserve">Without Blibli 3P Retail</w:t>
            </w:r>
          </w:p>
        </w:tc>
        <w:tc>
          <w:tcPr/>
          <w:p>
            <w:pPr>
              <w:pStyle w:val="Compact"/>
              <w:jc w:val="left"/>
            </w:pPr>
            <w:r>
              <w:t xml:space="preserve">0.169</w:t>
            </w:r>
          </w:p>
        </w:tc>
        <w:tc>
          <w:tcPr/>
          <w:p>
            <w:pPr>
              <w:pStyle w:val="Compact"/>
            </w:pPr>
          </w:p>
        </w:tc>
        <w:tc>
          <w:tcPr/>
          <w:p>
            <w:pPr>
              <w:pStyle w:val="Compact"/>
              <w:jc w:val="left"/>
            </w:pPr>
            <w:r>
              <w:t xml:space="preserve">0.0137</w:t>
            </w:r>
          </w:p>
        </w:tc>
        <w:tc>
          <w:tcPr/>
          <w:p>
            <w:pPr>
              <w:pStyle w:val="Compact"/>
              <w:jc w:val="left"/>
            </w:pPr>
            <w:r>
              <w:t xml:space="preserve">0.0364</w:t>
            </w:r>
          </w:p>
        </w:tc>
      </w:tr>
      <w:tr>
        <w:tc>
          <w:tcPr/>
          <w:p>
            <w:pPr>
              <w:pStyle w:val="Compact"/>
              <w:jc w:val="left"/>
            </w:pPr>
            <w:r>
              <w:t xml:space="preserve">Without Bukalapak Group</w:t>
            </w:r>
          </w:p>
        </w:tc>
        <w:tc>
          <w:tcPr/>
          <w:p>
            <w:pPr>
              <w:pStyle w:val="Compact"/>
              <w:jc w:val="left"/>
            </w:pPr>
            <w:r>
              <w:t xml:space="preserve">0.225</w:t>
            </w:r>
          </w:p>
        </w:tc>
        <w:tc>
          <w:tcPr/>
          <w:p>
            <w:pPr>
              <w:pStyle w:val="Compact"/>
            </w:pPr>
          </w:p>
        </w:tc>
        <w:tc>
          <w:tcPr/>
          <w:p>
            <w:pPr>
              <w:pStyle w:val="Compact"/>
              <w:jc w:val="left"/>
            </w:pPr>
            <w:r>
              <w:t xml:space="preserve">0.0049</w:t>
            </w:r>
          </w:p>
        </w:tc>
        <w:tc>
          <w:tcPr/>
          <w:p>
            <w:pPr>
              <w:pStyle w:val="Compact"/>
              <w:jc w:val="left"/>
            </w:pPr>
            <w:r>
              <w:t xml:space="preserve">0.0070</w:t>
            </w:r>
          </w:p>
        </w:tc>
      </w:tr>
      <w:tr>
        <w:tc>
          <w:tcPr/>
          <w:p>
            <w:pPr>
              <w:pStyle w:val="Compact"/>
              <w:jc w:val="left"/>
            </w:pPr>
            <w:r>
              <w:t xml:space="preserve">Without GoTo on-demand</w:t>
            </w:r>
          </w:p>
        </w:tc>
        <w:tc>
          <w:tcPr/>
          <w:p>
            <w:pPr>
              <w:pStyle w:val="Compact"/>
              <w:jc w:val="left"/>
            </w:pPr>
            <w:r>
              <w:t xml:space="preserve">0.225</w:t>
            </w:r>
          </w:p>
        </w:tc>
        <w:tc>
          <w:tcPr/>
          <w:p>
            <w:pPr>
              <w:pStyle w:val="Compact"/>
            </w:pPr>
          </w:p>
        </w:tc>
        <w:tc>
          <w:tcPr/>
          <w:p>
            <w:pPr>
              <w:pStyle w:val="Compact"/>
              <w:jc w:val="left"/>
            </w:pPr>
            <w:r>
              <w:t xml:space="preserve">0.0030</w:t>
            </w:r>
          </w:p>
        </w:tc>
        <w:tc>
          <w:tcPr/>
          <w:p>
            <w:pPr>
              <w:pStyle w:val="Compact"/>
              <w:jc w:val="left"/>
            </w:pPr>
            <w:r>
              <w:t xml:space="preserve">0.0071</w:t>
            </w:r>
          </w:p>
        </w:tc>
      </w:tr>
      <w:tr>
        <w:tc>
          <w:tcPr/>
          <w:p>
            <w:pPr>
              <w:pStyle w:val="Compact"/>
              <w:jc w:val="left"/>
            </w:pPr>
            <w:r>
              <w:t xml:space="preserve">Without Grab on-demand</w:t>
            </w:r>
          </w:p>
        </w:tc>
        <w:tc>
          <w:tcPr/>
          <w:p>
            <w:pPr>
              <w:pStyle w:val="Compact"/>
              <w:jc w:val="left"/>
            </w:pPr>
            <w:r>
              <w:t xml:space="preserve">0.194</w:t>
            </w:r>
          </w:p>
        </w:tc>
        <w:tc>
          <w:tcPr/>
          <w:p>
            <w:pPr>
              <w:pStyle w:val="Compact"/>
            </w:pPr>
          </w:p>
        </w:tc>
        <w:tc>
          <w:tcPr/>
          <w:p>
            <w:pPr>
              <w:pStyle w:val="Compact"/>
              <w:jc w:val="left"/>
            </w:pPr>
            <w:r>
              <w:t xml:space="preserve">0.0094</w:t>
            </w:r>
          </w:p>
        </w:tc>
        <w:tc>
          <w:tcPr/>
          <w:p>
            <w:pPr>
              <w:pStyle w:val="Compact"/>
              <w:jc w:val="left"/>
            </w:pPr>
            <w:r>
              <w:t xml:space="preserve">0.0166</w:t>
            </w:r>
          </w:p>
        </w:tc>
      </w:tr>
      <w:tr>
        <w:tc>
          <w:tcPr/>
          <w:p>
            <w:pPr>
              <w:pStyle w:val="Compact"/>
              <w:jc w:val="left"/>
            </w:pPr>
            <w:r>
              <w:t xml:space="preserve">Without Tokopedia e-commerce segment</w:t>
            </w:r>
          </w:p>
        </w:tc>
        <w:tc>
          <w:tcPr/>
          <w:p>
            <w:pPr>
              <w:pStyle w:val="Compact"/>
              <w:jc w:val="left"/>
            </w:pPr>
            <w:r>
              <w:t xml:space="preserve">0.169</w:t>
            </w:r>
          </w:p>
        </w:tc>
        <w:tc>
          <w:tcPr/>
          <w:p>
            <w:pPr>
              <w:pStyle w:val="Compact"/>
            </w:pPr>
          </w:p>
        </w:tc>
        <w:tc>
          <w:tcPr/>
          <w:p>
            <w:pPr>
              <w:pStyle w:val="Compact"/>
              <w:jc w:val="left"/>
            </w:pPr>
            <w:r>
              <w:t xml:space="preserve">0.0164</w:t>
            </w:r>
          </w:p>
        </w:tc>
        <w:tc>
          <w:tcPr/>
          <w:p>
            <w:pPr>
              <w:pStyle w:val="Compact"/>
              <w:jc w:val="left"/>
            </w:pPr>
            <w:r>
              <w:t xml:space="preserve">0.0409</w:t>
            </w:r>
          </w:p>
        </w:tc>
      </w:tr>
      <w:tr>
        <w:tc>
          <w:tcPr/>
          <w:p>
            <w:pPr>
              <w:pStyle w:val="Compact"/>
              <w:jc w:val="left"/>
            </w:pPr>
            <w:r>
              <w:t xml:space="preserve">Three marketplaces against the 8 chosen first, comparing pairs of years, absolute growth divergence in points</w:t>
            </w:r>
          </w:p>
        </w:tc>
        <w:tc>
          <w:tcPr/>
          <w:p>
            <w:pPr>
              <w:pStyle w:val="Compact"/>
              <w:jc w:val="left"/>
            </w:pPr>
            <w:r>
              <w:t xml:space="preserve">38.917</w:t>
            </w:r>
          </w:p>
        </w:tc>
        <w:tc>
          <w:tcPr/>
          <w:p>
            <w:pPr>
              <w:pStyle w:val="Compact"/>
              <w:jc w:val="left"/>
            </w:pPr>
            <w:r>
              <w:t xml:space="preserve">7.105</w:t>
            </w:r>
          </w:p>
        </w:tc>
        <w:tc>
          <w:tcPr/>
          <w:p>
            <w:pPr>
              <w:pStyle w:val="Compact"/>
              <w:jc w:val="left"/>
            </w:pPr>
            <w:r>
              <w:t xml:space="preserve">0.0022</w:t>
            </w:r>
          </w:p>
        </w:tc>
        <w:tc>
          <w:tcPr/>
          <w:p>
            <w:pPr>
              <w:pStyle w:val="Compact"/>
              <w:jc w:val="left"/>
            </w:pPr>
            <w:r>
              <w:t xml:space="preserve">0.0606</w:t>
            </w:r>
          </w:p>
        </w:tc>
      </w:tr>
      <w:tr>
        <w:tc>
          <w:tcPr/>
          <w:p>
            <w:pPr>
              <w:pStyle w:val="Compact"/>
              <w:jc w:val="left"/>
            </w:pPr>
            <w:r>
              <w:t xml:space="preserve">Three marketplaces against the 8 chosen first, one median per platform, absolute growth divergence in points (claims ledger C47,</w:t>
            </w:r>
            <w:r>
              <w:t xml:space="preserve"> </w:t>
            </w:r>
            <w:r>
              <w:rPr>
                <w:rStyle w:val="VerbatimChar"/>
              </w:rPr>
              <w:t xml:space="preserve">build_numbers.py</w:t>
            </w:r>
            <w:r>
              <w:t xml:space="preserve">)</w:t>
            </w:r>
          </w:p>
        </w:tc>
        <w:tc>
          <w:tcPr/>
          <w:p>
            <w:pPr>
              <w:pStyle w:val="Compact"/>
            </w:pPr>
          </w:p>
        </w:tc>
        <w:tc>
          <w:tcPr/>
          <w:p>
            <w:pPr>
              <w:pStyle w:val="Compact"/>
            </w:pPr>
          </w:p>
        </w:tc>
        <w:tc>
          <w:tcPr/>
          <w:p>
            <w:pPr>
              <w:pStyle w:val="Compact"/>
              <w:jc w:val="left"/>
            </w:pPr>
            <w:r>
              <w:t xml:space="preserve">0.0242</w:t>
            </w:r>
          </w:p>
        </w:tc>
        <w:tc>
          <w:tcPr/>
          <w:p>
            <w:pPr>
              <w:pStyle w:val="Compact"/>
            </w:pPr>
          </w:p>
        </w:tc>
      </w:tr>
      <w:tr>
        <w:tc>
          <w:tcPr/>
          <w:p>
            <w:pPr>
              <w:pStyle w:val="Compact"/>
              <w:jc w:val="left"/>
            </w:pPr>
            <w:r>
              <w:t xml:space="preserve">Three marketplaces against the 8 chosen first, comparing pairs of years, absolute growth divergence in points (without Sea)</w:t>
            </w:r>
          </w:p>
        </w:tc>
        <w:tc>
          <w:tcPr/>
          <w:p>
            <w:pPr>
              <w:pStyle w:val="Compact"/>
              <w:jc w:val="left"/>
            </w:pPr>
            <w:r>
              <w:t xml:space="preserve">38.917</w:t>
            </w:r>
          </w:p>
        </w:tc>
        <w:tc>
          <w:tcPr/>
          <w:p>
            <w:pPr>
              <w:pStyle w:val="Compact"/>
              <w:jc w:val="left"/>
            </w:pPr>
            <w:r>
              <w:t xml:space="preserve">4.192</w:t>
            </w:r>
          </w:p>
        </w:tc>
        <w:tc>
          <w:tcPr/>
          <w:p>
            <w:pPr>
              <w:pStyle w:val="Compact"/>
              <w:jc w:val="left"/>
            </w:pPr>
            <w:r>
              <w:t xml:space="preserve">&lt;0.0001</w:t>
            </w:r>
          </w:p>
        </w:tc>
        <w:tc>
          <w:tcPr/>
          <w:p>
            <w:pPr>
              <w:pStyle w:val="Compact"/>
              <w:jc w:val="left"/>
            </w:pPr>
            <w:r>
              <w:t xml:space="preserve">0.0083</w:t>
            </w:r>
          </w:p>
        </w:tc>
      </w:tr>
      <w:tr>
        <w:tc>
          <w:tcPr/>
          <w:p>
            <w:pPr>
              <w:pStyle w:val="Compact"/>
              <w:jc w:val="left"/>
            </w:pPr>
            <w:r>
              <w:t xml:space="preserve">Three marketplaces against the 8 chosen first, comparing pairs of years, absolute change in log take rate</w:t>
            </w:r>
          </w:p>
        </w:tc>
        <w:tc>
          <w:tcPr/>
          <w:p>
            <w:pPr>
              <w:pStyle w:val="Compact"/>
              <w:jc w:val="left"/>
            </w:pPr>
            <w:r>
              <w:t xml:space="preserve">0.252</w:t>
            </w:r>
          </w:p>
        </w:tc>
        <w:tc>
          <w:tcPr/>
          <w:p>
            <w:pPr>
              <w:pStyle w:val="Compact"/>
              <w:jc w:val="left"/>
            </w:pPr>
            <w:r>
              <w:t xml:space="preserve">0.055</w:t>
            </w:r>
          </w:p>
        </w:tc>
        <w:tc>
          <w:tcPr/>
          <w:p>
            <w:pPr>
              <w:pStyle w:val="Compact"/>
              <w:jc w:val="left"/>
            </w:pPr>
            <w:r>
              <w:t xml:space="preserve">0.0037</w:t>
            </w:r>
          </w:p>
        </w:tc>
        <w:tc>
          <w:tcPr/>
          <w:p>
            <w:pPr>
              <w:pStyle w:val="Compact"/>
              <w:jc w:val="left"/>
            </w:pPr>
            <w:r>
              <w:t xml:space="preserve">0.0303</w:t>
            </w:r>
          </w:p>
        </w:tc>
      </w:tr>
      <w:tr>
        <w:tc>
          <w:tcPr/>
          <w:p>
            <w:pPr>
              <w:pStyle w:val="Compact"/>
              <w:jc w:val="left"/>
            </w:pPr>
            <w:r>
              <w:t xml:space="preserve">Three marketplaces against the 8 chosen first, comparing pairs of years, absolute change in log take rate (without Sea)</w:t>
            </w:r>
          </w:p>
        </w:tc>
        <w:tc>
          <w:tcPr/>
          <w:p>
            <w:pPr>
              <w:pStyle w:val="Compact"/>
              <w:jc w:val="left"/>
            </w:pPr>
            <w:r>
              <w:t xml:space="preserve">0.252</w:t>
            </w:r>
          </w:p>
        </w:tc>
        <w:tc>
          <w:tcPr/>
          <w:p>
            <w:pPr>
              <w:pStyle w:val="Compact"/>
              <w:jc w:val="left"/>
            </w:pPr>
            <w:r>
              <w:t xml:space="preserve">0.033</w:t>
            </w:r>
          </w:p>
        </w:tc>
        <w:tc>
          <w:tcPr/>
          <w:p>
            <w:pPr>
              <w:pStyle w:val="Compact"/>
              <w:jc w:val="left"/>
            </w:pPr>
            <w:r>
              <w:t xml:space="preserve">0.0001</w:t>
            </w:r>
          </w:p>
        </w:tc>
        <w:tc>
          <w:tcPr/>
          <w:p>
            <w:pPr>
              <w:pStyle w:val="Compact"/>
              <w:jc w:val="left"/>
            </w:pPr>
            <w:r>
              <w:t xml:space="preserve">0.0167</w:t>
            </w:r>
          </w:p>
        </w:tc>
      </w:tr>
      <w:tr>
        <w:tc>
          <w:tcPr/>
          <w:p>
            <w:pPr>
              <w:pStyle w:val="Compact"/>
              <w:jc w:val="left"/>
            </w:pPr>
            <w:r>
              <w:t xml:space="preserve">Three marketplaces, dropping Tokopedia’s 2022–23 comparison (5 pairs), absolute growth divergence in points</w:t>
            </w:r>
          </w:p>
        </w:tc>
        <w:tc>
          <w:tcPr/>
          <w:p>
            <w:pPr>
              <w:pStyle w:val="Compact"/>
              <w:jc w:val="left"/>
            </w:pPr>
            <w:r>
              <w:t xml:space="preserve">14.411</w:t>
            </w:r>
          </w:p>
        </w:tc>
        <w:tc>
          <w:tcPr/>
          <w:p>
            <w:pPr>
              <w:pStyle w:val="Compact"/>
              <w:jc w:val="left"/>
            </w:pPr>
            <w:r>
              <w:t xml:space="preserve">7.105</w:t>
            </w:r>
          </w:p>
        </w:tc>
        <w:tc>
          <w:tcPr/>
          <w:p>
            <w:pPr>
              <w:pStyle w:val="Compact"/>
              <w:jc w:val="left"/>
            </w:pPr>
            <w:r>
              <w:t xml:space="preserve">0.0248</w:t>
            </w:r>
          </w:p>
        </w:tc>
        <w:tc>
          <w:tcPr/>
          <w:p>
            <w:pPr>
              <w:pStyle w:val="Compact"/>
              <w:jc w:val="left"/>
            </w:pPr>
            <w:r>
              <w:t xml:space="preserve">0.2222</w:t>
            </w:r>
          </w:p>
        </w:tc>
      </w:tr>
      <w:tr>
        <w:tc>
          <w:tcPr/>
          <w:p>
            <w:pPr>
              <w:pStyle w:val="Compact"/>
              <w:jc w:val="left"/>
            </w:pPr>
            <w:r>
              <w:t xml:space="preserve">Three marketplaces, dropping the largest comparison (7 pairs), absolute growth divergence in points</w:t>
            </w:r>
          </w:p>
        </w:tc>
        <w:tc>
          <w:tcPr/>
          <w:p>
            <w:pPr>
              <w:pStyle w:val="Compact"/>
              <w:jc w:val="left"/>
            </w:pPr>
            <w:r>
              <w:t xml:space="preserve">15.738</w:t>
            </w:r>
          </w:p>
        </w:tc>
        <w:tc>
          <w:tcPr/>
          <w:p>
            <w:pPr>
              <w:pStyle w:val="Compact"/>
              <w:jc w:val="left"/>
            </w:pPr>
            <w:r>
              <w:t xml:space="preserve">7.105</w:t>
            </w:r>
          </w:p>
        </w:tc>
        <w:tc>
          <w:tcPr/>
          <w:p>
            <w:pPr>
              <w:pStyle w:val="Compact"/>
              <w:jc w:val="left"/>
            </w:pPr>
            <w:r>
              <w:t xml:space="preserve">0.0061</w:t>
            </w:r>
          </w:p>
        </w:tc>
        <w:tc>
          <w:tcPr/>
          <w:p>
            <w:pPr>
              <w:pStyle w:val="Compact"/>
              <w:jc w:val="left"/>
            </w:pPr>
            <w:r>
              <w:t xml:space="preserve">0.0606</w:t>
            </w:r>
          </w:p>
        </w:tc>
      </w:tr>
      <w:tr>
        <w:tc>
          <w:tcPr/>
          <w:p>
            <w:pPr>
              <w:pStyle w:val="Compact"/>
              <w:jc w:val="left"/>
            </w:pPr>
            <w:r>
              <w:t xml:space="preserve">Three marketplaces against all 40 foreign pairs, absolute growth divergence in points</w:t>
            </w:r>
          </w:p>
        </w:tc>
        <w:tc>
          <w:tcPr/>
          <w:p>
            <w:pPr>
              <w:pStyle w:val="Compact"/>
              <w:jc w:val="left"/>
            </w:pPr>
            <w:r>
              <w:t xml:space="preserve">38.917</w:t>
            </w:r>
          </w:p>
        </w:tc>
        <w:tc>
          <w:tcPr/>
          <w:p>
            <w:pPr>
              <w:pStyle w:val="Compact"/>
              <w:jc w:val="left"/>
            </w:pPr>
            <w:r>
              <w:t xml:space="preserve">7.373</w:t>
            </w:r>
          </w:p>
        </w:tc>
        <w:tc>
          <w:tcPr/>
          <w:p>
            <w:pPr>
              <w:pStyle w:val="Compact"/>
              <w:jc w:val="left"/>
            </w:pPr>
            <w:r>
              <w:t xml:space="preserve">0.0014</w:t>
            </w:r>
          </w:p>
        </w:tc>
        <w:tc>
          <w:tcPr/>
          <w:p>
            <w:pPr>
              <w:pStyle w:val="Compact"/>
              <w:jc w:val="left"/>
            </w:pPr>
            <w:r>
              <w:t xml:space="preserve">0.0121</w:t>
            </w:r>
          </w:p>
        </w:tc>
      </w:tr>
      <w:tr>
        <w:tc>
          <w:tcPr/>
          <w:p>
            <w:pPr>
              <w:pStyle w:val="Compact"/>
              <w:jc w:val="left"/>
            </w:pPr>
            <w:r>
              <w:t xml:space="preserve">Five Indonesian and regional series including constructed Grab and Shopee (12 pairs) against the 8 chosen first, absolute growth divergence in points</w:t>
            </w:r>
          </w:p>
        </w:tc>
        <w:tc>
          <w:tcPr/>
          <w:p>
            <w:pPr>
              <w:pStyle w:val="Compact"/>
              <w:jc w:val="left"/>
            </w:pPr>
            <w:r>
              <w:t xml:space="preserve">42.017</w:t>
            </w:r>
          </w:p>
        </w:tc>
        <w:tc>
          <w:tcPr/>
          <w:p>
            <w:pPr>
              <w:pStyle w:val="Compact"/>
              <w:jc w:val="left"/>
            </w:pPr>
            <w:r>
              <w:t xml:space="preserve">7.105</w:t>
            </w:r>
          </w:p>
        </w:tc>
        <w:tc>
          <w:tcPr/>
          <w:p>
            <w:pPr>
              <w:pStyle w:val="Compact"/>
              <w:jc w:val="left"/>
            </w:pPr>
            <w:r>
              <w:t xml:space="preserve">0.0006</w:t>
            </w:r>
          </w:p>
        </w:tc>
        <w:tc>
          <w:tcPr/>
          <w:p>
            <w:pPr>
              <w:pStyle w:val="Compact"/>
              <w:jc w:val="left"/>
            </w:pPr>
            <w:r>
              <w:t xml:space="preserve">0.0225</w:t>
            </w:r>
          </w:p>
        </w:tc>
      </w:tr>
      <w:tr>
        <w:tc>
          <w:tcPr/>
          <w:p>
            <w:pPr>
              <w:pStyle w:val="Compact"/>
              <w:jc w:val="left"/>
            </w:pPr>
            <w:r>
              <w:t xml:space="preserve">Tokopedia and GoTo on-demand as one company, 4 against 27</w:t>
            </w:r>
          </w:p>
        </w:tc>
        <w:tc>
          <w:tcPr/>
          <w:p>
            <w:pPr>
              <w:pStyle w:val="Compact"/>
            </w:pPr>
          </w:p>
        </w:tc>
        <w:tc>
          <w:tcPr/>
          <w:p>
            <w:pPr>
              <w:pStyle w:val="Compact"/>
            </w:pPr>
          </w:p>
        </w:tc>
        <w:tc>
          <w:tcPr/>
          <w:p>
            <w:pPr>
              <w:pStyle w:val="Compact"/>
              <w:jc w:val="left"/>
            </w:pPr>
            <w:r>
              <w:t xml:space="preserve">0.003</w:t>
            </w:r>
          </w:p>
        </w:tc>
        <w:tc>
          <w:tcPr/>
          <w:p>
            <w:pPr>
              <w:pStyle w:val="Compact"/>
              <w:jc w:val="left"/>
            </w:pPr>
            <w:r>
              <w:t xml:space="preserve">0.007</w:t>
            </w:r>
          </w:p>
        </w:tc>
      </w:tr>
      <w:tr>
        <w:tc>
          <w:tcPr/>
          <w:p>
            <w:pPr>
              <w:pStyle w:val="Compact"/>
              <w:jc w:val="left"/>
            </w:pPr>
            <w:r>
              <w:t xml:space="preserve">Quarterly pairs, 3 against 8 (same quarter a year earlier)</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c>
          <w:tcPr/>
          <w:p>
            <w:pPr>
              <w:pStyle w:val="Compact"/>
              <w:jc w:val="left"/>
            </w:pPr>
            <w:r>
              <w:t xml:space="preserve">0.33</w:t>
            </w:r>
          </w:p>
        </w:tc>
      </w:tr>
    </w:tbl>
    <w:p>
      <w:pPr>
        <w:pStyle w:val="BodyText"/>
      </w:pPr>
      <w:r>
        <w:t xml:space="preserve">Growth in revenue and growth in transaction value had a correlation of 0.10 in the Indonesian main sample and 0.98 in the foreign sample excluding Sea (</w:t>
      </w:r>
      <w:r>
        <w:rPr>
          <w:rStyle w:val="VerbatimChar"/>
        </w:rPr>
        <w:t xml:space="preserve">tables/claims_ledger.csv</w:t>
      </w:r>
      <w:r>
        <w:t xml:space="preserve">, C48 and C49).</w:t>
      </w:r>
    </w:p>
    <w:p>
      <w:pPr>
        <w:pStyle w:val="BodyText"/>
      </w:pPr>
      <w:r>
        <w:t xml:space="preserve">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t>
      </w:r>
    </w:p>
    <w:p>
      <w:pPr>
        <w:pStyle w:val="BodyText"/>
      </w:pPr>
      <w:r>
        <w:t xml:space="preserve">Details moved from Chapter 5. 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t>
      </w:r>
    </w:p>
    <w:p>
      <w:pPr>
        <w:pStyle w:val="BodyText"/>
      </w:pPr>
      <w:r>
        <w:t xml:space="preserve">The comparison in points of the take rate (exploratory,</w:t>
      </w:r>
      <w:r>
        <w:t xml:space="preserve"> </w:t>
      </w:r>
      <w:r>
        <w:rPr>
          <w:rStyle w:val="VerbatimChar"/>
        </w:rPr>
        <w:t xml:space="preserve">h1_points_vs_log.py</w:t>
      </w:r>
      <w:r>
        <w:t xml:space="preserve">): median yearly change 1.01 points in the Indonesian and regional group and 0.98 points in the foreign group (26 platforms), Mann–Whitney p = 0.65; median share kept 1.59 percent against 16.93 percent.</w:t>
      </w:r>
    </w:p>
    <w:bookmarkEnd w:id="94"/>
    <w:bookmarkStart w:id="95" w:name="X37cde8a079398bfdfe609378b26a4d5794a5319"/>
    <w:p>
      <w:pPr>
        <w:pStyle w:val="Heading3"/>
      </w:pPr>
      <w:r>
        <w:t xml:space="preserve">B.2 Where the 2023 break sits (exploratory)</w:t>
      </w:r>
    </w:p>
    <w:p>
      <w:pPr>
        <w:pStyle w:val="FirstParagraph"/>
      </w:pPr>
      <w:r>
        <w:t xml:space="preserve">At the top of the size distribution, sellers with revenue above Rp50 billion a year (about US$3.4 million at the 2022 rate) were 0.5 percent of BPS’s marketplace sellers in 2022 and held between 18 and 39 percent of the marketplace slice’s value, resting on 19 sample rows (</w:t>
      </w:r>
      <w:r>
        <w:rPr>
          <w:rStyle w:val="VerbatimChar"/>
        </w:rPr>
        <w:t xml:space="preserve">tables/part5_checks.json</w:t>
      </w:r>
      <w:r>
        <w:t xml:space="preserve">).</w:t>
      </w:r>
    </w:p>
    <w:p>
      <w:pPr>
        <w:pStyle w:val="BodyText"/>
      </w:pPr>
      <w:r>
        <w:t xml:space="preserve">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t>
      </w:r>
      <w:r>
        <w:rPr>
          <w:rStyle w:val="VerbatimChar"/>
        </w:rPr>
        <w:t xml:space="preserve">tables/bps_frame_check.json</w:t>
      </w:r>
      <w:r>
        <w:t xml:space="preserve">,</w:t>
      </w:r>
      <w:r>
        <w:t xml:space="preserve"> </w:t>
      </w:r>
      <w:r>
        <w:rPr>
          <w:rStyle w:val="VerbatimChar"/>
        </w:rPr>
        <w:t xml:space="preserve">tables/rq_closing_checks.json</w:t>
      </w:r>
      <w:r>
        <w:t xml:space="preserve">).</w:t>
      </w:r>
    </w:p>
    <w:bookmarkEnd w:id="95"/>
    <w:bookmarkEnd w:id="96"/>
    <w:bookmarkStart w:id="97" w:name="X67e1483049b7627842872d160395e7f1a5f4538"/>
    <w:p>
      <w:pPr>
        <w:pStyle w:val="Heading2"/>
      </w:pPr>
      <w:r>
        <w:t xml:space="preserve">Appendix C. Registered tests and their outcomes</w:t>
      </w:r>
    </w:p>
    <w:p>
      <w:pPr>
        <w:pStyle w:val="FirstParagraph"/>
      </w:pPr>
      <w:r>
        <w:t xml:space="preserve">A registered test was written down, dated and stored in the repository before the data it concerns were opened. The dates are those of the commits in</w:t>
      </w:r>
      <w:r>
        <w:t xml:space="preserve"> </w:t>
      </w:r>
      <w:r>
        <w:rPr>
          <w:rStyle w:val="VerbatimChar"/>
        </w:rPr>
        <w:t xml:space="preserve">research/option_space_2026-10-01/PREREGISTRATION.md</w:t>
      </w:r>
      <w:r>
        <w:t xml:space="preserve">. Exact wording and thresholds are in that file.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predicted</w:t>
            </w:r>
          </w:p>
        </w:tc>
        <w:tc>
          <w:tcPr/>
          <w:p>
            <w:pPr>
              <w:pStyle w:val="Compact"/>
              <w:jc w:val="left"/>
            </w:pPr>
            <w:r>
              <w:t xml:space="preserve">Registered</w:t>
            </w:r>
          </w:p>
        </w:tc>
        <w:tc>
          <w:tcPr/>
          <w:p>
            <w:pPr>
              <w:pStyle w:val="Compact"/>
              <w:jc w:val="left"/>
            </w:pPr>
            <w:r>
              <w:t xml:space="preserve">Outcome</w:t>
            </w:r>
          </w:p>
        </w:tc>
      </w:tr>
      <w:tr>
        <w:tc>
          <w:tcPr/>
          <w:p>
            <w:pPr>
              <w:pStyle w:val="Compact"/>
              <w:jc w:val="left"/>
            </w:pPr>
            <w:r>
              <w:t xml:space="preserve">E1</w:t>
            </w:r>
          </w:p>
        </w:tc>
        <w:tc>
          <w:tcPr/>
          <w:p>
            <w:pPr>
              <w:pStyle w:val="Compact"/>
              <w:jc w:val="left"/>
            </w:pPr>
            <w:r>
              <w:t xml:space="preserve">Sellers without financial statements hold a smaller share of online value than of the count</w:t>
            </w:r>
          </w:p>
        </w:tc>
        <w:tc>
          <w:tcPr/>
          <w:p>
            <w:pPr>
              <w:pStyle w:val="Compact"/>
              <w:jc w:val="left"/>
            </w:pPr>
            <w:r>
              <w:t xml:space="preserve">2 Oct 2026</w:t>
            </w:r>
          </w:p>
        </w:tc>
        <w:tc>
          <w:tcPr/>
          <w:p>
            <w:pPr>
              <w:pStyle w:val="Compact"/>
              <w:jc w:val="left"/>
            </w:pPr>
            <w:r>
              <w:t xml:space="preserve">Holds, as a range (25.7 to 40.4 percent of value against 79.3 percent of the count)</w:t>
            </w:r>
          </w:p>
        </w:tc>
      </w:tr>
      <w:tr>
        <w:tc>
          <w:tcPr/>
          <w:p>
            <w:pPr>
              <w:pStyle w:val="Compact"/>
              <w:jc w:val="left"/>
            </w:pPr>
            <w:r>
              <w:t xml:space="preserve">E2</w:t>
            </w:r>
          </w:p>
        </w:tc>
        <w:tc>
          <w:tcPr/>
          <w:p>
            <w:pPr>
              <w:pStyle w:val="Compact"/>
              <w:jc w:val="left"/>
            </w:pPr>
            <w:r>
              <w:t xml:space="preserve">The marketplace share of online value in 2022 is above the published 2023 figure</w:t>
            </w:r>
          </w:p>
        </w:tc>
        <w:tc>
          <w:tcPr/>
          <w:p>
            <w:pPr>
              <w:pStyle w:val="Compact"/>
              <w:jc w:val="left"/>
            </w:pPr>
            <w:r>
              <w:t xml:space="preserve">2 Oct 2026</w:t>
            </w:r>
          </w:p>
        </w:tc>
        <w:tc>
          <w:tcPr/>
          <w:p>
            <w:pPr>
              <w:pStyle w:val="Compact"/>
              <w:jc w:val="left"/>
            </w:pPr>
            <w:r>
              <w:t xml:space="preserve">Holds, as a range (22.6 to 25.6 percent)</w:t>
            </w:r>
          </w:p>
        </w:tc>
      </w:tr>
      <w:tr>
        <w:tc>
          <w:tcPr/>
          <w:p>
            <w:pPr>
              <w:pStyle w:val="Compact"/>
              <w:jc w:val="left"/>
            </w:pPr>
            <w:r>
              <w:t xml:space="preserve">E2b, E2c</w:t>
            </w:r>
          </w:p>
        </w:tc>
        <w:tc>
          <w:tcPr/>
          <w:p>
            <w:pPr>
              <w:pStyle w:val="Compact"/>
              <w:jc w:val="left"/>
            </w:pPr>
            <w:r>
              <w:t xml:space="preserve">Marketplace use did not rise between 2020 and 2024</w:t>
            </w:r>
          </w:p>
        </w:tc>
        <w:tc>
          <w:tcPr/>
          <w:p>
            <w:pPr>
              <w:pStyle w:val="Compact"/>
              <w:jc w:val="left"/>
            </w:pPr>
            <w:r>
              <w:t xml:space="preserve">2 Oct and 3 Oct 2026</w:t>
            </w:r>
          </w:p>
        </w:tc>
        <w:tc>
          <w:tcPr/>
          <w:p>
            <w:pPr>
              <w:pStyle w:val="Compact"/>
              <w:jc w:val="left"/>
            </w:pPr>
            <w:r>
              <w:t xml:space="preserve">Hold (21.6, 19.8, 17.8 and 17.2 percent)</w:t>
            </w:r>
          </w:p>
        </w:tc>
      </w:tr>
      <w:tr>
        <w:tc>
          <w:tcPr/>
          <w:p>
            <w:pPr>
              <w:pStyle w:val="Compact"/>
              <w:jc w:val="left"/>
            </w:pPr>
            <w:r>
              <w:t xml:space="preserve">E3</w:t>
            </w:r>
          </w:p>
        </w:tc>
        <w:tc>
          <w:tcPr/>
          <w:p>
            <w:pPr>
              <w:pStyle w:val="Compact"/>
              <w:jc w:val="left"/>
            </w:pPr>
            <w:r>
              <w:t xml:space="preserve">Shopee reaches at least as many sellers as Tokopedia</w:t>
            </w:r>
          </w:p>
        </w:tc>
        <w:tc>
          <w:tcPr/>
          <w:p>
            <w:pPr>
              <w:pStyle w:val="Compact"/>
              <w:jc w:val="left"/>
            </w:pPr>
            <w:r>
              <w:t xml:space="preserve">2 Oct 2026</w:t>
            </w:r>
          </w:p>
        </w:tc>
        <w:tc>
          <w:tcPr/>
          <w:p>
            <w:pPr>
              <w:pStyle w:val="Compact"/>
              <w:jc w:val="left"/>
            </w:pPr>
            <w:r>
              <w:t xml:space="preserve">Holds (7.5 against 2.2 percent of all sellers)</w:t>
            </w:r>
          </w:p>
        </w:tc>
      </w:tr>
      <w:tr>
        <w:tc>
          <w:tcPr/>
          <w:p>
            <w:pPr>
              <w:pStyle w:val="Compact"/>
              <w:jc w:val="left"/>
            </w:pPr>
            <w:r>
              <w:t xml:space="preserve">E4</w:t>
            </w:r>
          </w:p>
        </w:tc>
        <w:tc>
          <w:tcPr/>
          <w:p>
            <w:pPr>
              <w:pStyle w:val="Compact"/>
              <w:jc w:val="left"/>
            </w:pPr>
            <w:r>
              <w:t xml:space="preserve">Entrants use chat or social media at least as often as earlier sellers</w:t>
            </w:r>
          </w:p>
        </w:tc>
        <w:tc>
          <w:tcPr/>
          <w:p>
            <w:pPr>
              <w:pStyle w:val="Compact"/>
              <w:jc w:val="left"/>
            </w:pPr>
            <w:r>
              <w:t xml:space="preserve">2 Oct 2026</w:t>
            </w:r>
          </w:p>
        </w:tc>
        <w:tc>
          <w:tcPr/>
          <w:p>
            <w:pPr>
              <w:pStyle w:val="Compact"/>
              <w:jc w:val="left"/>
            </w:pPr>
            <w:r>
              <w:t xml:space="preserve">Holds, with no power (nearly everyone uses them)</w:t>
            </w:r>
          </w:p>
        </w:tc>
      </w:tr>
      <w:tr>
        <w:tc>
          <w:tcPr/>
          <w:p>
            <w:pPr>
              <w:pStyle w:val="Compact"/>
              <w:jc w:val="left"/>
            </w:pPr>
            <w:r>
              <w:t xml:space="preserve">E5</w:t>
            </w:r>
          </w:p>
        </w:tc>
        <w:tc>
          <w:tcPr/>
          <w:p>
            <w:pPr>
              <w:pStyle w:val="Compact"/>
              <w:jc w:val="left"/>
            </w:pPr>
            <w:r>
              <w:t xml:space="preserve">At least 21.5 percent of 2023 sellers began in 2023 (the entry test)</w:t>
            </w:r>
          </w:p>
        </w:tc>
        <w:tc>
          <w:tcPr/>
          <w:p>
            <w:pPr>
              <w:pStyle w:val="Compact"/>
              <w:jc w:val="left"/>
            </w:pPr>
            <w:r>
              <w:t xml:space="preserve">2 Oct 2026</w:t>
            </w:r>
          </w:p>
        </w:tc>
        <w:tc>
          <w:tcPr/>
          <w:p>
            <w:pPr>
              <w:pStyle w:val="Compact"/>
              <w:jc w:val="left"/>
            </w:pPr>
            <w:r>
              <w:t xml:space="preserve">Falsified (13.45 percent)</w:t>
            </w:r>
          </w:p>
        </w:tc>
      </w:tr>
      <w:tr>
        <w:tc>
          <w:tcPr/>
          <w:p>
            <w:pPr>
              <w:pStyle w:val="Compact"/>
              <w:jc w:val="left"/>
            </w:pPr>
            <w:r>
              <w:t xml:space="preserve">E6</w:t>
            </w:r>
          </w:p>
        </w:tc>
        <w:tc>
          <w:tcPr/>
          <w:p>
            <w:pPr>
              <w:pStyle w:val="Compact"/>
              <w:jc w:val="left"/>
            </w:pPr>
            <w:r>
              <w:t xml:space="preserve">The median change in sales of sellers already online is at most 10.36 percent</w:t>
            </w:r>
          </w:p>
        </w:tc>
        <w:tc>
          <w:tcPr/>
          <w:p>
            <w:pPr>
              <w:pStyle w:val="Compact"/>
              <w:jc w:val="left"/>
            </w:pPr>
            <w:r>
              <w:t xml:space="preserve">2 Oct 2026</w:t>
            </w:r>
          </w:p>
        </w:tc>
        <w:tc>
          <w:tcPr/>
          <w:p>
            <w:pPr>
              <w:pStyle w:val="Compact"/>
              <w:jc w:val="left"/>
            </w:pPr>
            <w:r>
              <w:t xml:space="preserve">Holds (median 0 percent)</w:t>
            </w:r>
          </w:p>
        </w:tc>
      </w:tr>
      <w:tr>
        <w:tc>
          <w:tcPr/>
          <w:p>
            <w:pPr>
              <w:pStyle w:val="Compact"/>
              <w:jc w:val="left"/>
            </w:pPr>
            <w:r>
              <w:t xml:space="preserve">E7</w:t>
            </w:r>
          </w:p>
        </w:tc>
        <w:tc>
          <w:tcPr/>
          <w:p>
            <w:pPr>
              <w:pStyle w:val="Compact"/>
              <w:jc w:val="left"/>
            </w:pPr>
            <w:r>
              <w:t xml:space="preserve">The share of value held by sellers without statements fell by at most 5 points from 2020 to 2022</w:t>
            </w:r>
          </w:p>
        </w:tc>
        <w:tc>
          <w:tcPr/>
          <w:p>
            <w:pPr>
              <w:pStyle w:val="Compact"/>
              <w:jc w:val="left"/>
            </w:pPr>
            <w:r>
              <w:t xml:space="preserve">3 Oct 2026</w:t>
            </w:r>
          </w:p>
        </w:tc>
        <w:tc>
          <w:tcPr/>
          <w:p>
            <w:pPr>
              <w:pStyle w:val="Compact"/>
              <w:jc w:val="left"/>
            </w:pPr>
            <w:r>
              <w:t xml:space="preserve">Falsified, narrowly (5.8 points; 3.3 on the second version)</w:t>
            </w:r>
          </w:p>
        </w:tc>
      </w:tr>
      <w:tr>
        <w:tc>
          <w:tcPr/>
          <w:p>
            <w:pPr>
              <w:pStyle w:val="Compact"/>
              <w:jc w:val="left"/>
            </w:pPr>
            <w:r>
              <w:t xml:space="preserve">E8</w:t>
            </w:r>
          </w:p>
        </w:tc>
        <w:tc>
          <w:tcPr/>
          <w:p>
            <w:pPr>
              <w:pStyle w:val="Compact"/>
              <w:jc w:val="left"/>
            </w:pPr>
            <w:r>
              <w:t xml:space="preserve">Sellers with revenue of Rp300 million a year or more hold over half of marketplace value</w:t>
            </w:r>
          </w:p>
        </w:tc>
        <w:tc>
          <w:tcPr/>
          <w:p>
            <w:pPr>
              <w:pStyle w:val="Compact"/>
              <w:jc w:val="left"/>
            </w:pPr>
            <w:r>
              <w:t xml:space="preserve">3 Oct 2026</w:t>
            </w:r>
          </w:p>
        </w:tc>
        <w:tc>
          <w:tcPr/>
          <w:p>
            <w:pPr>
              <w:pStyle w:val="Compact"/>
              <w:jc w:val="left"/>
            </w:pPr>
            <w:r>
              <w:t xml:space="preserve">Holds (92.2 percent, middle scenario, an upper bound)</w:t>
            </w:r>
          </w:p>
        </w:tc>
      </w:tr>
      <w:tr>
        <w:tc>
          <w:tcPr/>
          <w:p>
            <w:pPr>
              <w:pStyle w:val="Compact"/>
              <w:jc w:val="left"/>
            </w:pPr>
            <w:r>
              <w:t xml:space="preserve">RBI</w:t>
            </w:r>
          </w:p>
        </w:tc>
        <w:tc>
          <w:tcPr/>
          <w:p>
            <w:pPr>
              <w:pStyle w:val="Compact"/>
              <w:jc w:val="left"/>
            </w:pPr>
            <w:r>
              <w:t xml:space="preserve">The marketplace part sold to final consumers is below Bank Indonesia’s 2022 figure</w:t>
            </w:r>
          </w:p>
        </w:tc>
        <w:tc>
          <w:tcPr/>
          <w:p>
            <w:pPr>
              <w:pStyle w:val="Compact"/>
              <w:jc w:val="left"/>
            </w:pPr>
            <w:r>
              <w:t xml:space="preserve">3 Oct 2026</w:t>
            </w:r>
          </w:p>
        </w:tc>
        <w:tc>
          <w:tcPr/>
          <w:p>
            <w:pPr>
              <w:pStyle w:val="Compact"/>
              <w:jc w:val="left"/>
            </w:pPr>
            <w:r>
              <w:t xml:space="preserve">Holds in the low (0.16) and middle (0.68) scenarios; fails in the high one (1.62)</w:t>
            </w:r>
          </w:p>
        </w:tc>
      </w:tr>
      <w:tr>
        <w:tc>
          <w:tcPr/>
          <w:p>
            <w:pPr>
              <w:pStyle w:val="Compact"/>
              <w:jc w:val="left"/>
            </w:pPr>
            <w:r>
              <w:t xml:space="preserve">W1, W2</w:t>
            </w:r>
          </w:p>
        </w:tc>
        <w:tc>
          <w:tcPr/>
          <w:p>
            <w:pPr>
              <w:pStyle w:val="Compact"/>
              <w:jc w:val="left"/>
            </w:pPr>
            <w:r>
              <w:t xml:space="preserve">Unregistered firms using social media keep written records and take digital payments more often</w:t>
            </w:r>
          </w:p>
        </w:tc>
        <w:tc>
          <w:tcPr/>
          <w:p>
            <w:pPr>
              <w:pStyle w:val="Compact"/>
              <w:jc w:val="left"/>
            </w:pPr>
            <w:r>
              <w:t xml:space="preserve">3 Oct 2026</w:t>
            </w:r>
          </w:p>
        </w:tc>
        <w:tc>
          <w:tcPr/>
          <w:p>
            <w:pPr>
              <w:pStyle w:val="Compact"/>
              <w:jc w:val="left"/>
            </w:pPr>
            <w:r>
              <w:t xml:space="preserve">Hold (29.9 against 12.3 percent; 11.5 against 2.7 percent)</w:t>
            </w:r>
          </w:p>
        </w:tc>
      </w:tr>
      <w:tr>
        <w:tc>
          <w:tcPr/>
          <w:p>
            <w:pPr>
              <w:pStyle w:val="Compact"/>
              <w:jc w:val="left"/>
            </w:pPr>
            <w:r>
              <w:t xml:space="preserve">W3</w:t>
            </w:r>
          </w:p>
        </w:tc>
        <w:tc>
          <w:tcPr/>
          <w:p>
            <w:pPr>
              <w:pStyle w:val="Compact"/>
              <w:jc w:val="left"/>
            </w:pPr>
            <w:r>
              <w:t xml:space="preserve">Their mean annual sales are below Rp100 million (about US$6,600)</w:t>
            </w:r>
          </w:p>
        </w:tc>
        <w:tc>
          <w:tcPr/>
          <w:p>
            <w:pPr>
              <w:pStyle w:val="Compact"/>
              <w:jc w:val="left"/>
            </w:pPr>
            <w:r>
              <w:t xml:space="preserve">3 Oct 2026</w:t>
            </w:r>
          </w:p>
        </w:tc>
        <w:tc>
          <w:tcPr/>
          <w:p>
            <w:pPr>
              <w:pStyle w:val="Compact"/>
              <w:jc w:val="left"/>
            </w:pPr>
            <w:r>
              <w:t xml:space="preserve">Falsified (mean Rp111 million; median Rp60 million)</w:t>
            </w:r>
          </w:p>
        </w:tc>
      </w:tr>
      <w:tr>
        <w:tc>
          <w:tcPr/>
          <w:p>
            <w:pPr>
              <w:pStyle w:val="Compact"/>
              <w:jc w:val="left"/>
            </w:pPr>
            <w:r>
              <w:t xml:space="preserve">F1, F2</w:t>
            </w:r>
          </w:p>
        </w:tc>
        <w:tc>
          <w:tcPr/>
          <w:p>
            <w:pPr>
              <w:pStyle w:val="Compact"/>
              <w:jc w:val="left"/>
            </w:pPr>
            <w:r>
              <w:t xml:space="preserve">Formal firms with a website take more e-payments and file taxes online more often</w:t>
            </w:r>
          </w:p>
        </w:tc>
        <w:tc>
          <w:tcPr/>
          <w:p>
            <w:pPr>
              <w:pStyle w:val="Compact"/>
              <w:jc w:val="left"/>
            </w:pPr>
            <w:r>
              <w:t xml:space="preserve">3 Oct 2026</w:t>
            </w:r>
          </w:p>
        </w:tc>
        <w:tc>
          <w:tcPr/>
          <w:p>
            <w:pPr>
              <w:pStyle w:val="Compact"/>
              <w:jc w:val="left"/>
            </w:pPr>
            <w:r>
              <w:t xml:space="preserve">Hold</w:t>
            </w:r>
          </w:p>
        </w:tc>
      </w:tr>
      <w:tr>
        <w:tc>
          <w:tcPr/>
          <w:p>
            <w:pPr>
              <w:pStyle w:val="Compact"/>
              <w:jc w:val="left"/>
            </w:pPr>
            <w:r>
              <w:t xml:space="preserve">F3, X3</w:t>
            </w:r>
          </w:p>
        </w:tc>
        <w:tc>
          <w:tcPr/>
          <w:p>
            <w:pPr>
              <w:pStyle w:val="Compact"/>
              <w:jc w:val="left"/>
            </w:pPr>
            <w:r>
              <w:t xml:space="preserve">More than one third of formal firms have neither a website nor online tax filing, and Indonesia’s share is the highest of the countries compared</w:t>
            </w:r>
          </w:p>
        </w:tc>
        <w:tc>
          <w:tcPr/>
          <w:p>
            <w:pPr>
              <w:pStyle w:val="Compact"/>
              <w:jc w:val="left"/>
            </w:pPr>
            <w:r>
              <w:t xml:space="preserve">3 Oct 2026</w:t>
            </w:r>
          </w:p>
        </w:tc>
        <w:tc>
          <w:tcPr/>
          <w:p>
            <w:pPr>
              <w:pStyle w:val="Compact"/>
              <w:jc w:val="left"/>
            </w:pPr>
            <w:r>
              <w:t xml:space="preserve">Hold (39.9 percent; Malaysia 9.1, Thailand 8.7)</w:t>
            </w:r>
          </w:p>
        </w:tc>
      </w:tr>
      <w:tr>
        <w:tc>
          <w:tcPr/>
          <w:p>
            <w:pPr>
              <w:pStyle w:val="Compact"/>
              <w:jc w:val="left"/>
            </w:pPr>
            <w:r>
              <w:t xml:space="preserve">X2</w:t>
            </w:r>
          </w:p>
        </w:tc>
        <w:tc>
          <w:tcPr/>
          <w:p>
            <w:pPr>
              <w:pStyle w:val="Compact"/>
              <w:jc w:val="left"/>
            </w:pPr>
            <w:r>
              <w:t xml:space="preserve">Firms with a website file taxes online more often, in at least 3 of 4 countries</w:t>
            </w:r>
          </w:p>
        </w:tc>
        <w:tc>
          <w:tcPr/>
          <w:p>
            <w:pPr>
              <w:pStyle w:val="Compact"/>
              <w:jc w:val="left"/>
            </w:pPr>
            <w:r>
              <w:t xml:space="preserve">3 Oct 2026</w:t>
            </w:r>
          </w:p>
        </w:tc>
        <w:tc>
          <w:tcPr/>
          <w:p>
            <w:pPr>
              <w:pStyle w:val="Compact"/>
              <w:jc w:val="left"/>
            </w:pPr>
            <w:r>
              <w:t xml:space="preserve">Holds in 4 of 4</w:t>
            </w:r>
          </w:p>
        </w:tc>
      </w:tr>
      <w:tr>
        <w:tc>
          <w:tcPr/>
          <w:p>
            <w:pPr>
              <w:pStyle w:val="Compact"/>
              <w:jc w:val="left"/>
            </w:pPr>
            <w:r>
              <w:t xml:space="preserve">Q1</w:t>
            </w:r>
          </w:p>
        </w:tc>
        <w:tc>
          <w:tcPr/>
          <w:p>
            <w:pPr>
              <w:pStyle w:val="Compact"/>
              <w:jc w:val="left"/>
            </w:pPr>
            <w:r>
              <w:t xml:space="preserve">The test of H1 with quarterly pairs rejects H1</w:t>
            </w:r>
          </w:p>
        </w:tc>
        <w:tc>
          <w:tcPr/>
          <w:p>
            <w:pPr>
              <w:pStyle w:val="Compact"/>
              <w:jc w:val="left"/>
            </w:pPr>
            <w:r>
              <w:t xml:space="preserve">7 Oct 2026, before it was run, but after the quarterly series had been built and the annual result was known, so it is a robustness check</w:t>
            </w:r>
          </w:p>
        </w:tc>
        <w:tc>
          <w:tcPr/>
          <w:p>
            <w:pPr>
              <w:pStyle w:val="Compact"/>
              <w:jc w:val="left"/>
            </w:pPr>
            <w:r>
              <w:t xml:space="preserve">Falsified (p = 0.19)</w:t>
            </w:r>
          </w:p>
        </w:tc>
      </w:tr>
      <w:tr>
        <w:tc>
          <w:tcPr/>
          <w:p>
            <w:pPr>
              <w:pStyle w:val="Compact"/>
              <w:jc w:val="left"/>
            </w:pPr>
            <w:r>
              <w:t xml:space="preserve">M1</w:t>
            </w:r>
          </w:p>
        </w:tc>
        <w:tc>
          <w:tcPr/>
          <w:p>
            <w:pPr>
              <w:pStyle w:val="Compact"/>
              <w:jc w:val="left"/>
            </w:pPr>
            <w:r>
              <w:t xml:space="preserve">Markets value growth from more transactions more than growth from a higher take rate</w:t>
            </w:r>
          </w:p>
        </w:tc>
        <w:tc>
          <w:tcPr/>
          <w:p>
            <w:pPr>
              <w:pStyle w:val="Compact"/>
              <w:jc w:val="left"/>
            </w:pPr>
            <w:r>
              <w:t xml:space="preserve">8 Oct 2026, before the market values were pulled</w:t>
            </w:r>
          </w:p>
        </w:tc>
        <w:tc>
          <w:tcPr/>
          <w:p>
            <w:pPr>
              <w:pStyle w:val="Compact"/>
              <w:jc w:val="left"/>
            </w:pPr>
            <w:r>
              <w:t xml:space="preserve">Falsified in the main sample (p = 0.20) and when trimmed (p = 0.16); holds in the second run of 34 platforms (p = 0.004), which mixes segment figures with whole-company values</w:t>
            </w:r>
          </w:p>
        </w:tc>
      </w:tr>
      <w:tr>
        <w:tc>
          <w:tcPr/>
          <w:p>
            <w:pPr>
              <w:pStyle w:val="Compact"/>
              <w:jc w:val="left"/>
            </w:pPr>
            <w:r>
              <w:t xml:space="preserve">M2</w:t>
            </w:r>
          </w:p>
        </w:tc>
        <w:tc>
          <w:tcPr/>
          <w:p>
            <w:pPr>
              <w:pStyle w:val="Compact"/>
              <w:jc w:val="left"/>
            </w:pPr>
            <w:r>
              <w:t xml:space="preserve">Market value moves with transaction value</w:t>
            </w:r>
          </w:p>
        </w:tc>
        <w:tc>
          <w:tcPr/>
          <w:p>
            <w:pPr>
              <w:pStyle w:val="Compact"/>
              <w:jc w:val="left"/>
            </w:pPr>
            <w:r>
              <w:t xml:space="preserve">8 Oct 2026</w:t>
            </w:r>
          </w:p>
        </w:tc>
        <w:tc>
          <w:tcPr/>
          <w:p>
            <w:pPr>
              <w:pStyle w:val="Compact"/>
              <w:jc w:val="left"/>
            </w:pPr>
            <w:r>
              <w:t xml:space="preserve">Holds (p = 0.002)</w:t>
            </w:r>
          </w:p>
        </w:tc>
      </w:tr>
      <w:tr>
        <w:tc>
          <w:tcPr/>
          <w:p>
            <w:pPr>
              <w:pStyle w:val="Compact"/>
              <w:jc w:val="left"/>
            </w:pPr>
            <w:r>
              <w:t xml:space="preserve">P1 to P5, R1 to R3</w:t>
            </w:r>
          </w:p>
        </w:tc>
        <w:tc>
          <w:tcPr/>
          <w:p>
            <w:pPr>
              <w:pStyle w:val="Compact"/>
              <w:jc w:val="left"/>
            </w:pPr>
            <w:r>
              <w:t xml:space="preserve">Predictions on the third-quarter 2026 results of GoTo, Grab and Sea</w:t>
            </w:r>
          </w:p>
        </w:tc>
        <w:tc>
          <w:tcPr/>
          <w:p>
            <w:pPr>
              <w:pStyle w:val="Compact"/>
              <w:jc w:val="left"/>
            </w:pPr>
            <w:r>
              <w:t xml:space="preserve">2 and 3 Oct 2026</w:t>
            </w:r>
          </w:p>
        </w:tc>
        <w:tc>
          <w:tcPr/>
          <w:p>
            <w:pPr>
              <w:pStyle w:val="Compact"/>
              <w:jc w:val="left"/>
            </w:pPr>
            <w:r>
              <w:t xml:space="preserve">Not yet scored; first results are due on 27 Oct 2026</w:t>
            </w:r>
          </w:p>
        </w:tc>
      </w:tr>
      <w:tr>
        <w:tc>
          <w:tcPr/>
          <w:p>
            <w:pPr>
              <w:pStyle w:val="Compact"/>
              <w:jc w:val="left"/>
            </w:pPr>
            <w:r>
              <w:t xml:space="preserve">Marketplace tax start</w:t>
            </w:r>
          </w:p>
        </w:tc>
        <w:tc>
          <w:tcPr/>
          <w:p>
            <w:pPr>
              <w:pStyle w:val="Compact"/>
              <w:jc w:val="left"/>
            </w:pPr>
            <w:r>
              <w:t xml:space="preserve">The tax start slips again</w:t>
            </w:r>
          </w:p>
        </w:tc>
        <w:tc>
          <w:tcPr/>
          <w:p>
            <w:pPr>
              <w:pStyle w:val="Compact"/>
              <w:jc w:val="left"/>
            </w:pPr>
            <w:r>
              <w:t xml:space="preserve">2 Oct 2026</w:t>
            </w:r>
          </w:p>
        </w:tc>
        <w:tc>
          <w:tcPr/>
          <w:p>
            <w:pPr>
              <w:pStyle w:val="Compact"/>
              <w:jc w:val="left"/>
            </w:pPr>
            <w:r>
              <w:t xml:space="preserve">Withdrawn: collection began on 1 Oct 2026, before the prediction was registered (addendum of 15 Oct 2026)</w:t>
            </w:r>
          </w:p>
        </w:tc>
      </w:tr>
      <w:tr>
        <w:tc>
          <w:tcPr/>
          <w:p>
            <w:pPr>
              <w:pStyle w:val="Compact"/>
              <w:jc w:val="left"/>
            </w:pPr>
            <w:r>
              <w:t xml:space="preserve">BPS marketplace share</w:t>
            </w:r>
          </w:p>
        </w:tc>
        <w:tc>
          <w:tcPr/>
          <w:p>
            <w:pPr>
              <w:pStyle w:val="Compact"/>
              <w:jc w:val="left"/>
            </w:pPr>
            <w:r>
              <w:t xml:space="preserve">The next published marketplace share is at most 15.79 percent</w:t>
            </w:r>
          </w:p>
        </w:tc>
        <w:tc>
          <w:tcPr/>
          <w:p>
            <w:pPr>
              <w:pStyle w:val="Compact"/>
              <w:jc w:val="left"/>
            </w:pPr>
            <w:r>
              <w:t xml:space="preserve">2 Oct 2026</w:t>
            </w:r>
          </w:p>
        </w:tc>
        <w:tc>
          <w:tcPr/>
          <w:p>
            <w:pPr>
              <w:pStyle w:val="Compact"/>
              <w:jc w:val="left"/>
            </w:pPr>
            <w:r>
              <w:t xml:space="preserve">Not yet scored</w:t>
            </w:r>
          </w:p>
        </w:tc>
      </w:tr>
    </w:tbl>
    <w:bookmarkEnd w:id="97"/>
    <w:bookmarkStart w:id="98" w:name="X56fa97cf87489981fe5725fdfbc87abe7437ddf"/>
    <w:p>
      <w:pPr>
        <w:pStyle w:val="Heading2"/>
      </w:pPr>
      <w:r>
        <w:t xml:space="preserve">Appendix D. The values behind Figures 5.3 to 5.5</w:t>
      </w:r>
    </w:p>
    <w:p>
      <w:pPr>
        <w:pStyle w:val="FirstParagraph"/>
      </w:pPr>
      <w:r>
        <w:rPr>
          <w:bCs/>
          <w:b/>
        </w:rPr>
        <w:t xml:space="preserve">Growth in 2023, percent (Figure 5.3).</w:t>
      </w:r>
      <w:r>
        <w:t xml:space="preserve"> </w:t>
      </w:r>
      <w:r>
        <w:t xml:space="preserve">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w:t>
      </w:r>
      <w:r>
        <w:t xml:space="preserve"> </w:t>
      </w:r>
      <w:r>
        <w:rPr>
          <w:rStyle w:val="VerbatimChar"/>
        </w:rPr>
        <w:t xml:space="preserve">tables/consistency_grid_growth.csv</w:t>
      </w:r>
      <w:r>
        <w:t xml:space="preserve">,</w:t>
      </w:r>
      <w:r>
        <w:t xml:space="preserve"> </w:t>
      </w:r>
      <w:r>
        <w:rPr>
          <w:rStyle w:val="VerbatimChar"/>
        </w:rPr>
        <w:t xml:space="preserve">tables/yardsticks_bi_bps.csv</w:t>
      </w:r>
      <w:r>
        <w:t xml:space="preserve">,</w:t>
      </w:r>
      <w:r>
        <w:t xml:space="preserve"> </w:t>
      </w:r>
      <w:r>
        <w:rPr>
          <w:rStyle w:val="VerbatimChar"/>
        </w:rPr>
        <w:t xml:space="preserve">tables/wedge_over_time.csv</w:t>
      </w:r>
      <w:r>
        <w:t xml:space="preserve">,</w:t>
      </w:r>
      <w:r>
        <w:t xml:space="preserve"> </w:t>
      </w:r>
      <w:r>
        <w:rPr>
          <w:rStyle w:val="VerbatimChar"/>
        </w:rPr>
        <w:t xml:space="preserve">tables/h1_groundwork.json</w:t>
      </w:r>
      <w:r>
        <w:t xml:space="preserve">, company filings.</w:t>
      </w:r>
    </w:p>
    <w:p>
      <w:pPr>
        <w:pStyle w:val="BodyText"/>
      </w:pPr>
      <w:r>
        <w:rPr>
          <w:bCs/>
          <w:b/>
        </w:rPr>
        <w:t xml:space="preserve">Who the extra sellers were, percent (Figure 5.4).</w:t>
      </w:r>
      <w:r>
        <w:t xml:space="preserve"> </w:t>
      </w:r>
      <w:r>
        <w:t xml:space="preserve">Share of the 2022 count and share of the extra count: business opened before 2010, 18.3 and 40.5; owner aged 50 or over, 28.9 and 41.2; outside Java, 23.6 and 36.3; food and lodging or making goods, 38.5 and 53.0. Source:</w:t>
      </w:r>
      <w:r>
        <w:t xml:space="preserve"> </w:t>
      </w:r>
      <w:r>
        <w:rPr>
          <w:rStyle w:val="VerbatimChar"/>
        </w:rPr>
        <w:t xml:space="preserve">tables/bps_newly_counted_profile.json</w:t>
      </w:r>
      <w:r>
        <w:t xml:space="preserve">.</w:t>
      </w:r>
    </w:p>
    <w:p>
      <w:pPr>
        <w:pStyle w:val="BodyText"/>
      </w:pPr>
      <w:r>
        <w:rPr>
          <w:bCs/>
          <w:b/>
        </w:rPr>
        <w:t xml:space="preserve">Marketplace use and financial statements, percent of sellers (Figure 5.5).</w:t>
      </w:r>
      <w:r>
        <w:t xml:space="preserve"> </w:t>
      </w:r>
      <w:r>
        <w:t xml:space="preserve">Marketplace use: 21.6 (2020), 19.8 (2022), 17.8 (2023), 17.2 (2024, published). Complete financial statements: 23.5 (2020), 20.7 (2022), 15.2 (2023). Source:</w:t>
      </w:r>
      <w:r>
        <w:t xml:space="preserve"> </w:t>
      </w:r>
      <w:r>
        <w:rPr>
          <w:rStyle w:val="VerbatimChar"/>
        </w:rPr>
        <w:t xml:space="preserve">tables/bps_descriptives.json</w:t>
      </w:r>
      <w:r>
        <w:t xml:space="preserve">.</w:t>
      </w:r>
    </w:p>
    <w:p>
      <w:pPr>
        <w:pStyle w:val="BodyText"/>
      </w:pPr>
      <w:r>
        <w:t xml:space="preserve">The figures are drawn by</w:t>
      </w:r>
      <w:r>
        <w:t xml:space="preserve"> </w:t>
      </w:r>
      <w:r>
        <w:rPr>
          <w:rStyle w:val="VerbatimChar"/>
        </w:rPr>
        <w:t xml:space="preserve">papers/thesis_2026-10/figures/make_figures.py</w:t>
      </w:r>
      <w:r>
        <w:t xml:space="preserve"> </w:t>
      </w:r>
      <w:r>
        <w:t xml:space="preserve">from committed tables only. The palette is the reference categorical palette (blue and orange). Colour carries the same meaning in each figure only where a legend or label says so.</w:t>
      </w:r>
    </w:p>
    <w:bookmarkEnd w:id="98"/>
    <w:bookmarkEnd w:id="99"/>
    <w:bookmarkStart w:id="100" w:name="references"/>
    <w:p>
      <w:pPr>
        <w:pStyle w:val="Heading1"/>
      </w:pPr>
      <w:r>
        <w:t xml:space="preserve">References</w:t>
      </w:r>
    </w:p>
    <w:p>
      <w:pPr>
        <w:pStyle w:val="FirstParagraph"/>
      </w:pPr>
      <w:r>
        <w:t xml:space="preserve">Working reference list for the thesis, built 15 Oct 2026 from the verified list in</w:t>
      </w:r>
      <w:r>
        <w:t xml:space="preserve"> </w:t>
      </w:r>
      <w:r>
        <w:rPr>
          <w:rStyle w:val="VerbatimChar"/>
        </w:rPr>
        <w:t xml:space="preserve">research/option_space_2026-10-01/materials_2026-10-15/REFERENCE_CHECK.md</w:t>
      </w:r>
      <w:r>
        <w:t xml:space="preserve"> </w:t>
      </w:r>
      <w:r>
        <w:t xml:space="preserve">plus the Chapter 6 and finance sources (</w:t>
      </w:r>
      <w:r>
        <w:rPr>
          <w:rStyle w:val="VerbatimChar"/>
        </w:rPr>
        <w:t xml:space="preserve">CH6_SOURCES.md</w:t>
      </w:r>
      <w:r>
        <w:t xml:space="preserve">,</w:t>
      </w:r>
      <w:r>
        <w:t xml:space="preserve"> </w:t>
      </w:r>
      <w:r>
        <w:rPr>
          <w:rStyle w:val="VerbatimChar"/>
        </w:rPr>
        <w:t xml:space="preserve">FINANCE_FRAMING.md</w:t>
      </w:r>
      <w:r>
        <w:t xml:space="preserve">). APA 7 for now; YZU’s default is numbered citations, so the style may change at assembly. Entries marked [UNVERIFIED] still need one detail checked. Every in-text citation in Chapters 1 to 7 and the appendices has an entry here (checked by script on 15 Oct). Still to add: data citations for the World Bank Enterprise Surveys, LSEG market values and BPS national accounts.</w:t>
      </w:r>
    </w:p>
    <w:p>
      <w:pPr>
        <w:pStyle w:val="BodyText"/>
      </w:pPr>
      <w:r>
        <w:t xml:space="preserve">(APA 7, alphabetical, cited works only)</w:t>
      </w:r>
    </w:p>
    <w:p>
      <w:pPr>
        <w:pStyle w:val="BodyText"/>
      </w:pPr>
      <w:r>
        <w:t xml:space="preserve">Agence France-Presse. (2023, September 25).</w:t>
      </w:r>
      <w:r>
        <w:t xml:space="preserve"> </w:t>
      </w:r>
      <w:r>
        <w:t xml:space="preserve">‘</w:t>
      </w:r>
      <w:r>
        <w:t xml:space="preserve">Regulate them</w:t>
      </w:r>
      <w:r>
        <w:t xml:space="preserve">’</w:t>
      </w:r>
      <w:r>
        <w:t xml:space="preserve">: Hard-up Indonesia traders urge TikTok sales ban.</w:t>
      </w:r>
      <w:r>
        <w:t xml:space="preserve"> </w:t>
      </w:r>
      <w:r>
        <w:rPr>
          <w:iCs/>
          <w:i/>
        </w:rPr>
        <w:t xml:space="preserve">Daily Tribune</w:t>
      </w:r>
      <w:r>
        <w:t xml:space="preserve">. https://tribune.net.ph/2023/09/25/regulate-them-hard-up-indonesia-traders-urge-tiktok-sales-ban</w:t>
      </w:r>
    </w:p>
    <w:p>
      <w:pPr>
        <w:pStyle w:val="BodyText"/>
      </w:pPr>
      <w:r>
        <w:t xml:space="preserve">Ahmad, N., &amp; Schreyer, P. (2016).</w:t>
      </w:r>
      <w:r>
        <w:t xml:space="preserve"> </w:t>
      </w:r>
      <w:r>
        <w:rPr>
          <w:iCs/>
          <w:i/>
        </w:rPr>
        <w:t xml:space="preserve">Measuring GDP in a digitalised economy</w:t>
      </w:r>
      <w:r>
        <w:t xml:space="preserve"> </w:t>
      </w:r>
      <w:r>
        <w:t xml:space="preserve">(OECD Statistics Working Papers No. 2016/07). OECD Publishing. https://doi.org/10.1787/5jlwqd81d09r-en</w:t>
      </w:r>
    </w:p>
    <w:p>
      <w:pPr>
        <w:pStyle w:val="BodyText"/>
      </w:pPr>
      <w:r>
        <w:t xml:space="preserve">Armstrong, M. (2006). Competition in two-sided markets.</w:t>
      </w:r>
      <w:r>
        <w:t xml:space="preserve"> </w:t>
      </w:r>
      <w:r>
        <w:rPr>
          <w:iCs/>
          <w:i/>
        </w:rPr>
        <w:t xml:space="preserve">The RAND Journal of Economics, 37</w:t>
      </w:r>
      <w:r>
        <w:t xml:space="preserve">(3), 668–691. https://doi.org/10.1111/j.1756-2171.2006.tb00037.x</w:t>
      </w:r>
    </w:p>
    <w:p>
      <w:pPr>
        <w:pStyle w:val="BodyText"/>
      </w:pPr>
      <w:r>
        <w:t xml:space="preserve">Ayudiana, S. (2026, July 8). Diskon biaya layanan marketplace ditargetkan berlaku Agustus 2026 [Marketplace service-fee discount targeted for August 2026].</w:t>
      </w:r>
      <w:r>
        <w:t xml:space="preserve"> </w:t>
      </w:r>
      <w:r>
        <w:rPr>
          <w:iCs/>
          <w:i/>
        </w:rPr>
        <w:t xml:space="preserve">ANTARA</w:t>
      </w:r>
      <w:r>
        <w:t xml:space="preserve">. https://www.antaranews.com/berita/5641444/diskon-biaya-layanan-marketplace-ditargetkan-berlaku-agustus-2026</w:t>
      </w:r>
    </w:p>
    <w:p>
      <w:pPr>
        <w:pStyle w:val="BodyText"/>
      </w:pPr>
      <w:r>
        <w:t xml:space="preserve">Bank Indonesia. (2023).</w:t>
      </w:r>
      <w:r>
        <w:t xml:space="preserve"> </w:t>
      </w:r>
      <w:r>
        <w:rPr>
          <w:iCs/>
          <w:i/>
        </w:rPr>
        <w:t xml:space="preserve">Laporan perekonomian Indonesia 2022</w:t>
      </w:r>
      <w:r>
        <w:t xml:space="preserve"> </w:t>
      </w:r>
      <w:r>
        <w:t xml:space="preserve">[Economic report on Indonesia 2022]. https://www.bi.go.id/id/publikasi/laporan/Documents/LPI_2022.pdf [UNVERIFIED: release date]</w:t>
      </w:r>
    </w:p>
    <w:p>
      <w:pPr>
        <w:pStyle w:val="BodyText"/>
      </w:pPr>
      <w:r>
        <w:t xml:space="preserve">Bank Indonesia. (2025).</w:t>
      </w:r>
      <w:r>
        <w:t xml:space="preserve"> </w:t>
      </w:r>
      <w:r>
        <w:rPr>
          <w:iCs/>
          <w:i/>
        </w:rPr>
        <w:t xml:space="preserve">Sinergi jadi energi saat UMKM naik kelas lewat digitalisasi</w:t>
      </w:r>
      <w:r>
        <w:t xml:space="preserve"> </w:t>
      </w:r>
      <w:r>
        <w:t xml:space="preserve">[Cerita BI]. https://www.bi.go.id/id/publikasi/ruang-media/cerita-bi/Pages/Sinergi-Jadi-Energi-Saat-UMKM-Naik-Kelas-Lewat-Digitalisasi.aspx [UNVERIFIED: exact date; repo notes say 30 Oct 2025]</w:t>
      </w:r>
    </w:p>
    <w:p>
      <w:pPr>
        <w:pStyle w:val="BodyText"/>
      </w:pPr>
      <w:r>
        <w:t xml:space="preserve">Berg, T., Burg, V., Gombović, A., &amp; Puri, M. (2020). On the rise of FinTechs: Credit scoring using digital footprints.</w:t>
      </w:r>
      <w:r>
        <w:t xml:space="preserve"> </w:t>
      </w:r>
      <w:r>
        <w:rPr>
          <w:iCs/>
          <w:i/>
        </w:rPr>
        <w:t xml:space="preserve">The Review of Financial Studies, 33</w:t>
      </w:r>
      <w:r>
        <w:t xml:space="preserve">(7), 2845–2897. https://doi.org/10.1093/rfs/hhz099</w:t>
      </w:r>
    </w:p>
    <w:p>
      <w:pPr>
        <w:pStyle w:val="BodyText"/>
      </w:pPr>
      <w:r>
        <w:t xml:space="preserve">Bowen, R. M., Davis, A. K., &amp; Rajgopal, S. (2002). Determinants of revenue-reporting practices for Internet firms.</w:t>
      </w:r>
      <w:r>
        <w:t xml:space="preserve"> </w:t>
      </w:r>
      <w:r>
        <w:rPr>
          <w:iCs/>
          <w:i/>
        </w:rPr>
        <w:t xml:space="preserve">Contemporary Accounting Research, 19</w:t>
      </w:r>
      <w:r>
        <w:t xml:space="preserve">(4), 523–562. https://doi.org/10.1506/9728-4YG8-GC3L-FPFA</w:t>
      </w:r>
    </w:p>
    <w:p>
      <w:pPr>
        <w:pStyle w:val="BodyText"/>
      </w:pPr>
      <w:r>
        <w:t xml:space="preserve">BPS-Statistics Indonesia. (2023).</w:t>
      </w:r>
      <w:r>
        <w:t xml:space="preserve"> </w:t>
      </w:r>
      <w:r>
        <w:rPr>
          <w:iCs/>
          <w:i/>
        </w:rPr>
        <w:t xml:space="preserve">Peraturan Badan Pusat Statistik Nomor 4 Tahun 2023 tentang penyampaian dan pengelolaan data dan/atau informasi perdagangan melalui sistem elektronik</w:t>
      </w:r>
      <w:r>
        <w:t xml:space="preserve"> </w:t>
      </w:r>
      <w:r>
        <w:t xml:space="preserve">[BPS Regulation No. 4 of 2023 on the submission and management of e-commerce data and/or information]. https://jdih.bps.go.id [UNVERIFIED: document-level URL]</w:t>
      </w:r>
    </w:p>
    <w:p>
      <w:pPr>
        <w:pStyle w:val="BodyText"/>
      </w:pPr>
      <w:r>
        <w:t xml:space="preserve">BPS-Statistics Indonesia. (2025a).</w:t>
      </w:r>
      <w:r>
        <w:t xml:space="preserve"> </w:t>
      </w:r>
      <w:r>
        <w:rPr>
          <w:iCs/>
          <w:i/>
        </w:rPr>
        <w:t xml:space="preserve">Statistik e-commerce 2023</w:t>
      </w:r>
      <w:r>
        <w:t xml:space="preserve"> </w:t>
      </w:r>
      <w:r>
        <w:t xml:space="preserve">[E-commerce statistics 2023]. https://www.bps.go.id/id/publication/2025/01/30/d52af11843aee401403ecfa6/statistik-e-commerce-2023.html</w:t>
      </w:r>
    </w:p>
    <w:p>
      <w:pPr>
        <w:pStyle w:val="BodyText"/>
      </w:pPr>
      <w:r>
        <w:t xml:space="preserve">BPS-Statistics Indonesia. (2025b).</w:t>
      </w:r>
      <w:r>
        <w:t xml:space="preserve"> </w:t>
      </w:r>
      <w:r>
        <w:rPr>
          <w:iCs/>
          <w:i/>
        </w:rPr>
        <w:t xml:space="preserve">Statistik e-commerce 2024</w:t>
      </w:r>
      <w:r>
        <w:t xml:space="preserve"> </w:t>
      </w:r>
      <w:r>
        <w:t xml:space="preserve">[E-commerce statistics 2024]. https://www.bps.go.id/id/publication/2025/11/28/647323224ecc656c2933571b/statistik-e-commerce-2024.html</w:t>
      </w:r>
    </w:p>
    <w:p>
      <w:pPr>
        <w:pStyle w:val="BodyText"/>
      </w:pPr>
      <w:r>
        <w:t xml:space="preserve">van den Brakel, J., Smith, P. A., &amp; Compton, S. (2008). Quality procedures for survey transitions: Experiments, time series and discontinuities.</w:t>
      </w:r>
      <w:r>
        <w:t xml:space="preserve"> </w:t>
      </w:r>
      <w:r>
        <w:rPr>
          <w:iCs/>
          <w:i/>
        </w:rPr>
        <w:t xml:space="preserve">Survey Research Methods, 2</w:t>
      </w:r>
      <w:r>
        <w:t xml:space="preserve">(3), 123–141. https://doi.org/10.18148/srm/2008.v2i3.68</w:t>
      </w:r>
    </w:p>
    <w:p>
      <w:pPr>
        <w:pStyle w:val="BodyText"/>
      </w:pPr>
      <w:r>
        <w:t xml:space="preserve">van den Brakel, J., Zhang, X., &amp; Tam, S.-M. (2020). Measuring discontinuities in time series obtained with repeated sample surveys.</w:t>
      </w:r>
      <w:r>
        <w:t xml:space="preserve"> </w:t>
      </w:r>
      <w:r>
        <w:rPr>
          <w:iCs/>
          <w:i/>
        </w:rPr>
        <w:t xml:space="preserve">International Statistical Review, 88</w:t>
      </w:r>
      <w:r>
        <w:t xml:space="preserve">(1), 155–175. https://doi.org/10.1111/insr.12347</w:t>
      </w:r>
    </w:p>
    <w:p>
      <w:pPr>
        <w:pStyle w:val="BodyText"/>
      </w:pPr>
      <w:r>
        <w:t xml:space="preserve">Bureau of Internal Revenue. (2023).</w:t>
      </w:r>
      <w:r>
        <w:t xml:space="preserve"> </w:t>
      </w:r>
      <w:r>
        <w:rPr>
          <w:iCs/>
          <w:i/>
        </w:rPr>
        <w:t xml:space="preserve">Revenue Regulations No. 16-2023</w:t>
      </w:r>
      <w:r>
        <w:t xml:space="preserve"> </w:t>
      </w:r>
      <w:r>
        <w:t xml:space="preserve">[Issued December 21, 2023]. Republic of the Philippines. [UNVERIFIED: primary text not retrieved (403); details from GMA News, December 29, 2023, https://www.gmanetwork.com/news/money/economy/892606/bir-subjects-online-sellers-to-1-withholding-tax/story/]</w:t>
      </w:r>
    </w:p>
    <w:p>
      <w:pPr>
        <w:pStyle w:val="BodyText"/>
      </w:pPr>
      <w:r>
        <w:t xml:space="preserve">Caillaud, B., &amp; Jullien, B. (2003). Chicken &amp; egg: Competition among intermediation service providers.</w:t>
      </w:r>
      <w:r>
        <w:t xml:space="preserve"> </w:t>
      </w:r>
      <w:r>
        <w:rPr>
          <w:iCs/>
          <w:i/>
        </w:rPr>
        <w:t xml:space="preserve">The RAND Journal of Economics, 34</w:t>
      </w:r>
      <w:r>
        <w:t xml:space="preserve">(2), 309–328. https://doi.org/10.2307/1593720</w:t>
      </w:r>
    </w:p>
    <w:p>
      <w:pPr>
        <w:pStyle w:val="BodyText"/>
      </w:pPr>
      <w:r>
        <w:t xml:space="preserve">CNN Indonesia. (2026, May 8).</w:t>
      </w:r>
      <w:r>
        <w:t xml:space="preserve"> </w:t>
      </w:r>
      <w:r>
        <w:rPr>
          <w:iCs/>
          <w:i/>
        </w:rPr>
        <w:t xml:space="preserve">Pemerintah ogah atur tarif admin Shopee-TikTok Shop usai seller ngeluh</w:t>
      </w:r>
      <w:r>
        <w:t xml:space="preserve"> </w:t>
      </w:r>
      <w:r>
        <w:t xml:space="preserve">[Government declines to regulate Shopee and TikTok Shop admin fees after sellers complain]. https://www.cnnindonesia.com/ekonomi/20260507165414-92-1356232/pemerintah-ogah-atur-tarif-admin-shopee-cs-meski-dikeluhkan-seller</w:t>
      </w:r>
    </w:p>
    <w:p>
      <w:pPr>
        <w:pStyle w:val="BodyText"/>
      </w:pPr>
      <w:r>
        <w:t xml:space="preserve">Davis, A. K. (2002). The value relevance of revenue for Internet firms: Does reporting grossed-up or barter revenue make a difference?</w:t>
      </w:r>
      <w:r>
        <w:t xml:space="preserve"> </w:t>
      </w:r>
      <w:r>
        <w:rPr>
          <w:iCs/>
          <w:i/>
        </w:rPr>
        <w:t xml:space="preserve">Journal of Accounting Research, 40</w:t>
      </w:r>
      <w:r>
        <w:t xml:space="preserve">(2), 445–477. https://doi.org/10.1111/1475-679X.00056</w:t>
      </w:r>
    </w:p>
    <w:p>
      <w:pPr>
        <w:pStyle w:val="BodyText"/>
      </w:pPr>
      <w:r>
        <w:t xml:space="preserve">Directorate General of Taxes. (2026, October 1).</w:t>
      </w:r>
      <w:r>
        <w:t xml:space="preserve"> </w:t>
      </w:r>
      <w:r>
        <w:rPr>
          <w:iCs/>
          <w:i/>
        </w:rPr>
        <w:t xml:space="preserve">Pemungutan PPh Pasal 22 melalui marketplace mulai dilaksanakan 1 Oktober 2026</w:t>
      </w:r>
      <w:r>
        <w:t xml:space="preserve"> </w:t>
      </w:r>
      <w:r>
        <w:t xml:space="preserve">[Marketplace collection of income tax begins 1 October 2026] [Press release]. Ministry of Finance of the Republic of Indonesia. https://pajak.go.id/en/node/120661</w:t>
      </w:r>
    </w:p>
    <w:p>
      <w:pPr>
        <w:pStyle w:val="BodyText"/>
      </w:pPr>
      <w:r>
        <w:t xml:space="preserve">Directorate General of Taxes. (n.d.).</w:t>
      </w:r>
      <w:r>
        <w:t xml:space="preserve"> </w:t>
      </w:r>
      <w:r>
        <w:rPr>
          <w:iCs/>
          <w:i/>
        </w:rPr>
        <w:t xml:space="preserve">Pajak atas usaha ekonomi digital terkini Rp32,32 triliun</w:t>
      </w:r>
      <w:r>
        <w:t xml:space="preserve"> </w:t>
      </w:r>
      <w:r>
        <w:t xml:space="preserve">[Press release]. Ministry of Finance of the Republic of Indonesia. https://pajak.go.id/id/siaran-pers/pajak-atas-usaha-ekonomi-digital-terkini-3232-triliun [UNVERIFIED: date and title wording; title inferred from URL]</w:t>
      </w:r>
    </w:p>
    <w:p>
      <w:pPr>
        <w:pStyle w:val="BodyText"/>
      </w:pPr>
      <w:r>
        <w:t xml:space="preserve">European Union. (2021). Council Directive (EU) 2021/514 of 22 March 2021 amending Directive 2011/16/EU on administrative cooperation in the field of taxation.</w:t>
      </w:r>
      <w:r>
        <w:t xml:space="preserve"> </w:t>
      </w:r>
      <w:r>
        <w:rPr>
          <w:iCs/>
          <w:i/>
        </w:rPr>
        <w:t xml:space="preserve">Official Journal of the European Union, L 104</w:t>
      </w:r>
      <w:r>
        <w:t xml:space="preserve">, 25 March 2021. https://eur-lex.europa.eu/eli/dir/2021/514/oj</w:t>
      </w:r>
    </w:p>
    <w:p>
      <w:pPr>
        <w:pStyle w:val="BodyText"/>
      </w:pPr>
      <w:r>
        <w:t xml:space="preserve">Evans, D. S., &amp; Schmalensee, R. (2016).</w:t>
      </w:r>
      <w:r>
        <w:t xml:space="preserve"> </w:t>
      </w:r>
      <w:r>
        <w:rPr>
          <w:iCs/>
          <w:i/>
        </w:rPr>
        <w:t xml:space="preserve">Matchmakers: The new economics of multisided platforms</w:t>
      </w:r>
      <w:r>
        <w:t xml:space="preserve">. Harvard Business Review Press.</w:t>
      </w:r>
    </w:p>
    <w:p>
      <w:pPr>
        <w:pStyle w:val="BodyText"/>
      </w:pPr>
      <w:r>
        <w:t xml:space="preserve">Givoly, D., Li, Y., Lourie, B., &amp; Nekrasov, A. (2019). Key performance indicators as supplements to earnings: Incremental informativeness, demand factors, measurement issues, and properties of their forecasts.</w:t>
      </w:r>
      <w:r>
        <w:t xml:space="preserve"> </w:t>
      </w:r>
      <w:r>
        <w:rPr>
          <w:iCs/>
          <w:i/>
        </w:rPr>
        <w:t xml:space="preserve">Review of Accounting Studies, 24</w:t>
      </w:r>
      <w:r>
        <w:t xml:space="preserve">(4), 1147–1183. https://doi.org/10.1007/s11142-019-09514-y</w:t>
      </w:r>
    </w:p>
    <w:p>
      <w:pPr>
        <w:pStyle w:val="BodyText"/>
      </w:pPr>
      <w:r>
        <w:t xml:space="preserve">Google, Temasek, &amp; Bain &amp; Company. (2024).</w:t>
      </w:r>
      <w:r>
        <w:t xml:space="preserve"> </w:t>
      </w:r>
      <w:r>
        <w:rPr>
          <w:iCs/>
          <w:i/>
        </w:rPr>
        <w:t xml:space="preserve">e-Conomy SEA 2024: Profits on the rise, harnessing SEA’s advantage</w:t>
      </w:r>
      <w:r>
        <w:t xml:space="preserve">. https://services.google.com/fh/files/misc/e_conomy_sea_2024_report.pdf</w:t>
      </w:r>
    </w:p>
    <w:p>
      <w:pPr>
        <w:pStyle w:val="BodyText"/>
      </w:pPr>
      <w:r>
        <w:t xml:space="preserve">GoTo Gojek Tokopedia. (2024a, March 19).</w:t>
      </w:r>
      <w:r>
        <w:t xml:space="preserve"> </w:t>
      </w:r>
      <w:r>
        <w:rPr>
          <w:iCs/>
          <w:i/>
        </w:rPr>
        <w:t xml:space="preserve">GoTo Group turns adjusted EBITDA positive, surpassing full year guidance as company reports 2023 fourth quarter and full year results</w:t>
      </w:r>
      <w:r>
        <w:t xml:space="preserve"> </w:t>
      </w:r>
      <w:r>
        <w:t xml:space="preserve">[Press release]. https://content.goinfra.co.id/asts/GoTo%20FY2023%204Q2023%20Press%20Release.pdf</w:t>
      </w:r>
    </w:p>
    <w:p>
      <w:pPr>
        <w:pStyle w:val="BodyText"/>
      </w:pPr>
      <w:r>
        <w:t xml:space="preserve">GoTo Gojek Tokopedia. (2024b).</w:t>
      </w:r>
      <w:r>
        <w:t xml:space="preserve"> </w:t>
      </w:r>
      <w:r>
        <w:rPr>
          <w:iCs/>
          <w:i/>
        </w:rPr>
        <w:t xml:space="preserve">2023 annual report: Transformation for progress</w:t>
      </w:r>
      <w:r>
        <w:t xml:space="preserve">. PT GoTo Gojek Tokopedia Tbk. [UNVERIFIED: public URL; local copy</w:t>
      </w:r>
      <w:r>
        <w:t xml:space="preserve"> </w:t>
      </w:r>
      <w:r>
        <w:rPr>
          <w:rStyle w:val="VerbatimChar"/>
        </w:rPr>
        <w:t xml:space="preserve">sources/core_public_documents/goto_annual_report_2023.pdf</w:t>
      </w:r>
      <w:r>
        <w:t xml:space="preserve">]</w:t>
      </w:r>
    </w:p>
    <w:p>
      <w:pPr>
        <w:pStyle w:val="BodyText"/>
      </w:pPr>
      <w:r>
        <w:t xml:space="preserve">GoTo Gojek Tokopedia. (2026).</w:t>
      </w:r>
      <w:r>
        <w:t xml:space="preserve"> </w:t>
      </w:r>
      <w:r>
        <w:rPr>
          <w:iCs/>
          <w:i/>
        </w:rPr>
        <w:t xml:space="preserve">Second quarter 2026 earnings call transcript</w:t>
      </w:r>
      <w:r>
        <w:t xml:space="preserve"> </w:t>
      </w:r>
      <w:r>
        <w:t xml:space="preserve">[Transcript]. https://www.gotocompany.com/investor-relations/en/quarterly-results?year=2026&amp;item=Q2 [UNVERIFIED: exact title and date of the call]</w:t>
      </w:r>
    </w:p>
    <w:p>
      <w:pPr>
        <w:pStyle w:val="BodyText"/>
      </w:pPr>
      <w:r>
        <w:t xml:space="preserve">Government of the Republic of Indonesia. (2026).</w:t>
      </w:r>
      <w:r>
        <w:t xml:space="preserve"> </w:t>
      </w:r>
      <w:r>
        <w:rPr>
          <w:iCs/>
          <w:i/>
        </w:rPr>
        <w:t xml:space="preserve">Peraturan Pemerintah Nomor 20 Tahun 2026 tentang perubahan atas Peraturan Pemerintah Nomor 55 Tahun 2022</w:t>
      </w:r>
      <w:r>
        <w:t xml:space="preserve"> </w:t>
      </w:r>
      <w:r>
        <w:t xml:space="preserve">[Government Regulation No. 20 of 2026 amending Government Regulation No. 55 of 2022]. https://jdih.setneg.go.id [UNVERIFIED: document-level URL]</w:t>
      </w:r>
    </w:p>
    <w:p>
      <w:pPr>
        <w:pStyle w:val="BodyText"/>
      </w:pPr>
      <w:r>
        <w:t xml:space="preserve">Government of Viet Nam. (2025).</w:t>
      </w:r>
      <w:r>
        <w:t xml:space="preserve"> </w:t>
      </w:r>
      <w:r>
        <w:rPr>
          <w:iCs/>
          <w:i/>
        </w:rPr>
        <w:t xml:space="preserve">Decree No. 117/2025/ND-CP on tax administration for business activities on e-commerce and digital platforms of households and individuals</w:t>
      </w:r>
      <w:r>
        <w:t xml:space="preserve"> </w:t>
      </w:r>
      <w:r>
        <w:t xml:space="preserve">[Issued June 9, 2025; effective July 1, 2025]. [UNVERIFIED: primary text not retrieved; English title and details from EY Tax Alert, June 24, 2025, https://taxnews.ey.com/news/2025-1337-vietnam-promulgates-decree-on-tax-administration-for-business-activities-on-e-commerce-and-digital-platforms-of-households-and-individuals]</w:t>
      </w:r>
    </w:p>
    <w:p>
      <w:pPr>
        <w:pStyle w:val="BodyText"/>
      </w:pPr>
      <w:r>
        <w:t xml:space="preserve">Grab Holdings Limited. (2026, August 3).</w:t>
      </w:r>
      <w:r>
        <w:t xml:space="preserve"> </w:t>
      </w:r>
      <w:r>
        <w:rPr>
          <w:iCs/>
          <w:i/>
        </w:rPr>
        <w:t xml:space="preserve">Grab (GRAB) Q2 2026 earnings call transcript</w:t>
      </w:r>
      <w:r>
        <w:t xml:space="preserve"> </w:t>
      </w:r>
      <w:r>
        <w:t xml:space="preserve">[Transcript]. The Motley Fool via AOL. https://www.aol.com/articles/grab-grab-q2-2026-earnings-141515000.html [Third-party transcript; check against Grab’s own webcast before submission]</w:t>
      </w:r>
    </w:p>
    <w:p>
      <w:pPr>
        <w:pStyle w:val="BodyText"/>
      </w:pPr>
      <w:r>
        <w:t xml:space="preserve">Hagiu, A., &amp; Wright, J. (2015). Multi-sided platforms.</w:t>
      </w:r>
      <w:r>
        <w:t xml:space="preserve"> </w:t>
      </w:r>
      <w:r>
        <w:rPr>
          <w:iCs/>
          <w:i/>
        </w:rPr>
        <w:t xml:space="preserve">International Journal of Industrial Organization, 43</w:t>
      </w:r>
      <w:r>
        <w:t xml:space="preserve">, 162–174. https://doi.org/10.1016/j.ijindorg.2015.03.003</w:t>
      </w:r>
    </w:p>
    <w:p>
      <w:pPr>
        <w:pStyle w:val="BodyText"/>
      </w:pPr>
      <w:r>
        <w:t xml:space="preserve">Henderson, J. V., Storeygard, A., &amp; Weil, D. N. (2012). Measuring economic growth from outer space.</w:t>
      </w:r>
      <w:r>
        <w:t xml:space="preserve"> </w:t>
      </w:r>
      <w:r>
        <w:rPr>
          <w:iCs/>
          <w:i/>
        </w:rPr>
        <w:t xml:space="preserve">American Economic Review, 102</w:t>
      </w:r>
      <w:r>
        <w:t xml:space="preserve">(2), 994–1028. https://doi.org/10.1257/aer.102.2.994</w:t>
      </w:r>
    </w:p>
    <w:p>
      <w:pPr>
        <w:pStyle w:val="BodyText"/>
      </w:pPr>
      <w:r>
        <w:t xml:space="preserve">Hummels, D., &amp; Klenow, P. J. (2005). The variety and quality of a nation’s exports.</w:t>
      </w:r>
      <w:r>
        <w:t xml:space="preserve"> </w:t>
      </w:r>
      <w:r>
        <w:rPr>
          <w:iCs/>
          <w:i/>
        </w:rPr>
        <w:t xml:space="preserve">American Economic Review, 95</w:t>
      </w:r>
      <w:r>
        <w:t xml:space="preserve">(3), 704–723. https://doi.org/10.1257/0002828054201396</w:t>
      </w:r>
    </w:p>
    <w:p>
      <w:pPr>
        <w:pStyle w:val="BodyText"/>
      </w:pPr>
      <w:r>
        <w:t xml:space="preserve">International Accounting Standards Board. (2014).</w:t>
      </w:r>
      <w:r>
        <w:t xml:space="preserve"> </w:t>
      </w:r>
      <w:r>
        <w:rPr>
          <w:iCs/>
          <w:i/>
        </w:rPr>
        <w:t xml:space="preserve">IFRS 15 Revenue from contracts with customers</w:t>
      </w:r>
      <w:r>
        <w:t xml:space="preserve">. IFRS Foundation. https://www.ifrs.org/issued-standards/list-of-standards/ifrs-15-revenue-from-contracts-with-customers/</w:t>
      </w:r>
    </w:p>
    <w:p>
      <w:pPr>
        <w:pStyle w:val="BodyText"/>
      </w:pPr>
      <w:r>
        <w:t xml:space="preserve">International Monetary Fund. (2018).</w:t>
      </w:r>
      <w:r>
        <w:t xml:space="preserve"> </w:t>
      </w:r>
      <w:r>
        <w:rPr>
          <w:iCs/>
          <w:i/>
        </w:rPr>
        <w:t xml:space="preserve">Measuring the digital economy</w:t>
      </w:r>
      <w:r>
        <w:t xml:space="preserve"> </w:t>
      </w:r>
      <w:r>
        <w:t xml:space="preserve">(IMF Policy Paper). https://doi.org/10.5089/9781498307369.007</w:t>
      </w:r>
    </w:p>
    <w:p>
      <w:pPr>
        <w:pStyle w:val="BodyText"/>
      </w:pPr>
      <w:r>
        <w:t xml:space="preserve">Islamiati, S. R. (2025, August 6). Celios ungkap dampak biaya pemrosesan e-commerce bagi seller dan konsumen [Celios on the effect of e-commerce processing fees on sellers and consumers].</w:t>
      </w:r>
      <w:r>
        <w:t xml:space="preserve"> </w:t>
      </w:r>
      <w:r>
        <w:rPr>
          <w:iCs/>
          <w:i/>
        </w:rPr>
        <w:t xml:space="preserve">Kontan</w:t>
      </w:r>
      <w:r>
        <w:t xml:space="preserve">. https://industri.kontan.co.id/news/celios-ungkap-dampak-biaya-pemrosesan-e-commerce-bagi-seller-dan-konsumen</w:t>
      </w:r>
    </w:p>
    <w:p>
      <w:pPr>
        <w:pStyle w:val="BodyText"/>
      </w:pPr>
      <w:r>
        <w:t xml:space="preserve">KabarBursa. (2024, January 18).</w:t>
      </w:r>
      <w:r>
        <w:t xml:space="preserve"> </w:t>
      </w:r>
      <w:r>
        <w:rPr>
          <w:iCs/>
          <w:i/>
        </w:rPr>
        <w:t xml:space="preserve">Sepanjang 2023 transaksi eCommerce tembus Rp453,75 triliun</w:t>
      </w:r>
      <w:r>
        <w:t xml:space="preserve"> </w:t>
      </w:r>
      <w:r>
        <w:t xml:space="preserve">[E-commerce transactions reached Rp453.75 trillion in 2023]. https://www.kabarbursa.com/market-hari-ini/sepanjang-2023-transaksi-ecommerce-tembus-rp45375-triliun</w:t>
      </w:r>
    </w:p>
    <w:p>
      <w:pPr>
        <w:pStyle w:val="BodyText"/>
      </w:pPr>
      <w:r>
        <w:t xml:space="preserve">Kleven, H. J., Knudsen, M. B., Kreiner, C. T., Pedersen, S., &amp; Saez, E. (2011). Unwilling or unable to cheat? Evidence from a tax audit experiment in Denmark.</w:t>
      </w:r>
      <w:r>
        <w:t xml:space="preserve"> </w:t>
      </w:r>
      <w:r>
        <w:rPr>
          <w:iCs/>
          <w:i/>
        </w:rPr>
        <w:t xml:space="preserve">Econometrica, 79</w:t>
      </w:r>
      <w:r>
        <w:t xml:space="preserve">(3), 651–692. https://doi.org/10.3982/ECTA9113</w:t>
      </w:r>
    </w:p>
    <w:p>
      <w:pPr>
        <w:pStyle w:val="BodyText"/>
      </w:pPr>
      <w:r>
        <w:t xml:space="preserve">Li, Z., &amp; Wang, G. (2025). Regulating powerful platforms: Evidence from commission fee caps.</w:t>
      </w:r>
      <w:r>
        <w:t xml:space="preserve"> </w:t>
      </w:r>
      <w:r>
        <w:rPr>
          <w:iCs/>
          <w:i/>
        </w:rPr>
        <w:t xml:space="preserve">Information Systems Research, 36</w:t>
      </w:r>
      <w:r>
        <w:t xml:space="preserve">(1), 126–140. https://doi.org/10.1287/isre.2022.0191</w:t>
      </w:r>
    </w:p>
    <w:p>
      <w:pPr>
        <w:pStyle w:val="BodyText"/>
      </w:pPr>
      <w:r>
        <w:t xml:space="preserve">Mandagie, S. (2023, October 6). Reg 31/2023: The regulation behind TikTok Shop’s closure in Indonesia.</w:t>
      </w:r>
      <w:r>
        <w:t xml:space="preserve"> </w:t>
      </w:r>
      <w:r>
        <w:rPr>
          <w:iCs/>
          <w:i/>
        </w:rPr>
        <w:t xml:space="preserve">KrASIA</w:t>
      </w:r>
      <w:r>
        <w:t xml:space="preserve">. https://kr-asia.com/reg-31-2023-the-regulation-behind-tiktok-shops-closure-in-indonesia</w:t>
      </w:r>
    </w:p>
    <w:p>
      <w:pPr>
        <w:pStyle w:val="BodyText"/>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BodyText"/>
      </w:pPr>
      <w:r>
        <w:t xml:space="preserve">McKenzie, D., &amp; Paffhausen, A. L. (2019). Small firm death in developing countries.</w:t>
      </w:r>
      <w:r>
        <w:t xml:space="preserve"> </w:t>
      </w:r>
      <w:r>
        <w:rPr>
          <w:iCs/>
          <w:i/>
        </w:rPr>
        <w:t xml:space="preserve">The Review of Economics and Statistics, 101</w:t>
      </w:r>
      <w:r>
        <w:t xml:space="preserve">(4), 645–657. https://doi.org/10.1162/rest_a_00798</w:t>
      </w:r>
    </w:p>
    <w:p>
      <w:pPr>
        <w:pStyle w:val="BodyText"/>
      </w:pPr>
      <w:r>
        <w:t xml:space="preserve">Ministry of Finance of the Republic of Indonesia. (2025).</w:t>
      </w:r>
      <w:r>
        <w:t xml:space="preserve"> </w:t>
      </w:r>
      <w:r>
        <w:rPr>
          <w:iCs/>
          <w:i/>
        </w:rPr>
        <w:t xml:space="preserve">Peraturan Menteri Keuangan Nomor 37 Tahun 2025 tentang penunjukan pihak lain sebagai pemungut pajak penghasilan serta tata cara pemungutan, penyetoran, dan pelaporan pajak penghasilan yang dipungut oleh pihak lain atas penghasilan yang diterima atau diperoleh pedagang dalam negeri dengan mekanisme perdagangan melalui sistem elektronik</w:t>
      </w:r>
      <w:r>
        <w:t xml:space="preserve"> </w:t>
      </w:r>
      <w:r>
        <w:t xml:space="preserve">[Finance Minister Regulation No. 37 of 2025]. https://jdih.kemenkeu.go.id/dok/pmk-37-tahun-2025</w:t>
      </w:r>
    </w:p>
    <w:p>
      <w:pPr>
        <w:pStyle w:val="BodyText"/>
      </w:pPr>
      <w:r>
        <w:t xml:space="preserve">Ministry of Trade of the Republic of Indonesia. (2023).</w:t>
      </w:r>
      <w:r>
        <w:t xml:space="preserve"> </w:t>
      </w:r>
      <w:r>
        <w:rPr>
          <w:iCs/>
          <w:i/>
        </w:rPr>
        <w:t xml:space="preserve">Peraturan Menteri Perdagangan Nomor 31 Tahun 2023 tentang perizinan berusaha, periklanan, pembinaan, dan pengawasan pelaku usaha dalam perdagangan melalui sistem elektronik</w:t>
      </w:r>
      <w:r>
        <w:t xml:space="preserve"> </w:t>
      </w:r>
      <w:r>
        <w:t xml:space="preserve">[Trade Minister Regulation No. 31 of 2023]. https://jdih.kemendag.go.id [UNVERIFIED: document-level URL]</w:t>
      </w:r>
    </w:p>
    <w:p>
      <w:pPr>
        <w:pStyle w:val="BodyText"/>
      </w:pPr>
      <w:r>
        <w:t xml:space="preserve">Ministry of Trade of the Republic of Indonesia. (2026).</w:t>
      </w:r>
      <w:r>
        <w:t xml:space="preserve"> </w:t>
      </w:r>
      <w:r>
        <w:rPr>
          <w:iCs/>
          <w:i/>
        </w:rPr>
        <w:t xml:space="preserve">Peraturan Menteri Perdagangan Nomor 19 Tahun 2026 tentang penyelenggaraan usaha perdagangan melalui sistem elektronik</w:t>
      </w:r>
      <w:r>
        <w:t xml:space="preserve"> </w:t>
      </w:r>
      <w:r>
        <w:t xml:space="preserve">[Trade Minister Regulation No. 19 of 2026]. https://jdih.kemendag.go.id [UNVERIFIED: document-level URL]</w:t>
      </w:r>
    </w:p>
    <w:p>
      <w:pPr>
        <w:pStyle w:val="BodyText"/>
      </w:pPr>
      <w:r>
        <w:t xml:space="preserve">Momentum Works. (2024).</w:t>
      </w:r>
      <w:r>
        <w:t xml:space="preserve"> </w:t>
      </w:r>
      <w:r>
        <w:rPr>
          <w:iCs/>
          <w:i/>
        </w:rPr>
        <w:t xml:space="preserve">Ecommerce in Southeast Asia 2024</w:t>
      </w:r>
      <w:r>
        <w:t xml:space="preserve">. [UNVERIFIED: primary report not seen; the figure used is quoted by Katadata, July 15, 2024]</w:t>
      </w:r>
    </w:p>
    <w:p>
      <w:pPr>
        <w:pStyle w:val="BodyText"/>
      </w:pPr>
      <w:r>
        <w:t xml:space="preserve">Naritomi, J. (2019). Consumers as tax auditors.</w:t>
      </w:r>
      <w:r>
        <w:t xml:space="preserve"> </w:t>
      </w:r>
      <w:r>
        <w:rPr>
          <w:iCs/>
          <w:i/>
        </w:rPr>
        <w:t xml:space="preserve">American Economic Review, 109</w:t>
      </w:r>
      <w:r>
        <w:t xml:space="preserve">(9), 3031–3072. https://doi.org/10.1257/aer.20160658</w:t>
      </w:r>
    </w:p>
    <w:p>
      <w:pPr>
        <w:pStyle w:val="BodyText"/>
      </w:pPr>
      <w:r>
        <w:t xml:space="preserve">Neter, J., &amp; Waksberg, J. (1964). A study of response errors in expenditures data from household interviews.</w:t>
      </w:r>
      <w:r>
        <w:t xml:space="preserve"> </w:t>
      </w:r>
      <w:r>
        <w:rPr>
          <w:iCs/>
          <w:i/>
        </w:rPr>
        <w:t xml:space="preserve">Journal of the American Statistical Association, 59</w:t>
      </w:r>
      <w:r>
        <w:t xml:space="preserve">(305), 18–55. https://doi.org/10.1080/01621459.1964.10480699</w:t>
      </w:r>
    </w:p>
    <w:p>
      <w:pPr>
        <w:pStyle w:val="BodyText"/>
      </w:pPr>
      <w:r>
        <w:t xml:space="preserve">Organisation for Economic Co-operation and Development. (2020).</w:t>
      </w:r>
      <w:r>
        <w:t xml:space="preserve"> </w:t>
      </w:r>
      <w:r>
        <w:rPr>
          <w:iCs/>
          <w:i/>
        </w:rPr>
        <w:t xml:space="preserve">Model rules for reporting by platform operators with respect to sellers in the sharing and gig economy</w:t>
      </w:r>
      <w:r>
        <w:t xml:space="preserve">. OECD. https://doi.org/10.1787/d7973047-en</w:t>
      </w:r>
    </w:p>
    <w:p>
      <w:pPr>
        <w:pStyle w:val="BodyText"/>
      </w:pPr>
      <w:r>
        <w:t xml:space="preserve">Organisation for Economic Co-operation and Development. (2021).</w:t>
      </w:r>
      <w:r>
        <w:t xml:space="preserve"> </w:t>
      </w:r>
      <w:r>
        <w:rPr>
          <w:iCs/>
          <w:i/>
        </w:rPr>
        <w:t xml:space="preserve">Model reporting rules for digital platforms: International exchange framework and optional module for sale of goods</w:t>
      </w:r>
      <w:r>
        <w:t xml:space="preserve">. OECD. https://www.oecd.org/tax/exchange-of-tax-information/model-reporting-rules-for-digital-platforms-international-exchange-framework-and-optional-module-for-sale-of-goods.pdf</w:t>
      </w:r>
    </w:p>
    <w:p>
      <w:pPr>
        <w:pStyle w:val="BodyText"/>
      </w:pPr>
      <w:r>
        <w:t xml:space="preserve">Organisation for Economic Co-operation and Development. (2023).</w:t>
      </w:r>
      <w:r>
        <w:t xml:space="preserve"> </w:t>
      </w:r>
      <w:r>
        <w:rPr>
          <w:iCs/>
          <w:i/>
        </w:rPr>
        <w:t xml:space="preserve">OECD handbook on compiling digital supply and use tables</w:t>
      </w:r>
      <w:r>
        <w:t xml:space="preserve">. OECD Publishing. https://doi.org/10.1787/11a0db02-en</w:t>
      </w:r>
    </w:p>
    <w:p>
      <w:pPr>
        <w:pStyle w:val="BodyText"/>
      </w:pPr>
      <w:r>
        <w:t xml:space="preserve">Pomeranz, D. (2015). No taxation without information: Deterrence and self-enforcement in the value added tax.</w:t>
      </w:r>
      <w:r>
        <w:t xml:space="preserve"> </w:t>
      </w:r>
      <w:r>
        <w:rPr>
          <w:iCs/>
          <w:i/>
        </w:rPr>
        <w:t xml:space="preserve">American Economic Review, 105</w:t>
      </w:r>
      <w:r>
        <w:t xml:space="preserve">(8), 2539–2569. https://doi.org/10.1257/aer.20130393</w:t>
      </w:r>
    </w:p>
    <w:p>
      <w:pPr>
        <w:pStyle w:val="BodyText"/>
      </w:pPr>
      <w:r>
        <w:t xml:space="preserve">Rajgopal, S., Venkatachalam, M., &amp; Kotha, S. (2003). The value relevance of network advantages: The case of e-commerce firms.</w:t>
      </w:r>
      <w:r>
        <w:t xml:space="preserve"> </w:t>
      </w:r>
      <w:r>
        <w:rPr>
          <w:iCs/>
          <w:i/>
        </w:rPr>
        <w:t xml:space="preserve">Journal of Accounting Research, 41</w:t>
      </w:r>
      <w:r>
        <w:t xml:space="preserve">(1), 135–162. https://doi.org/10.1111/1475-679X.00099</w:t>
      </w:r>
    </w:p>
    <w:p>
      <w:pPr>
        <w:pStyle w:val="BodyText"/>
      </w:pPr>
      <w:r>
        <w:t xml:space="preserve">Risalah, D. F. (2024, December 10).</w:t>
      </w:r>
      <w:r>
        <w:t xml:space="preserve"> </w:t>
      </w:r>
      <w:r>
        <w:rPr>
          <w:iCs/>
          <w:i/>
        </w:rPr>
        <w:t xml:space="preserve">BPS ungkap pengumpulan data dari pelaku e-commerce masih bermasalah, ini penyebabnya</w:t>
      </w:r>
      <w:r>
        <w:t xml:space="preserve"> </w:t>
      </w:r>
      <w:r>
        <w:t xml:space="preserve">[BPS says data collection from e-commerce operators is still problematic]. Republika. https://ekonomi.republika.co.id/berita/so9pr3490/bps-ungkap-pengumpulan-data-dari-pelaku-ecommerce-masih-bermasalah-ini-penyebabnya</w:t>
      </w:r>
    </w:p>
    <w:p>
      <w:pPr>
        <w:pStyle w:val="BodyText"/>
      </w:pPr>
      <w:r>
        <w:t xml:space="preserve">Rochet, J.-C., &amp; Tirole, J. (2003). Platform competition in two-sided markets.</w:t>
      </w:r>
      <w:r>
        <w:t xml:space="preserve"> </w:t>
      </w:r>
      <w:r>
        <w:rPr>
          <w:iCs/>
          <w:i/>
        </w:rPr>
        <w:t xml:space="preserve">Journal of the European Economic Association, 1</w:t>
      </w:r>
      <w:r>
        <w:t xml:space="preserve">(4), 990–1029. https://doi.org/10.1162/154247603322493212</w:t>
      </w:r>
    </w:p>
    <w:p>
      <w:pPr>
        <w:pStyle w:val="BodyText"/>
      </w:pPr>
      <w:r>
        <w:t xml:space="preserve">Ronal. (2025, May 21). Kemenhub siap bahas tuntutan driver ojol soal potongan tarif aplikasi [Transport ministry ready to discuss ojol drivers’ demands on the app commission].</w:t>
      </w:r>
      <w:r>
        <w:t xml:space="preserve"> </w:t>
      </w:r>
      <w:r>
        <w:rPr>
          <w:iCs/>
          <w:i/>
        </w:rPr>
        <w:t xml:space="preserve">Pasardana</w:t>
      </w:r>
      <w:r>
        <w:t xml:space="preserve">. https://pasardana.id/news/2025/5/21/kemenhub-siap-bahas-tuntutan-driver-ojol-soal-potongan-tarif-aplikasi/</w:t>
      </w:r>
    </w:p>
    <w:p>
      <w:pPr>
        <w:pStyle w:val="BodyText"/>
      </w:pPr>
      <w:r>
        <w:t xml:space="preserve">Setyowati, D. (2026, May 18). TikTok Shop Tokopedia sesuaikan biaya admin seller per 18 Mei: Ada yang naik [TikTok Shop Tokopedia adjusts seller admin fees from 18 May: some rise].</w:t>
      </w:r>
      <w:r>
        <w:t xml:space="preserve"> </w:t>
      </w:r>
      <w:r>
        <w:rPr>
          <w:iCs/>
          <w:i/>
        </w:rPr>
        <w:t xml:space="preserve">Katadata</w:t>
      </w:r>
      <w:r>
        <w:t xml:space="preserve">. https://katadata.co.id/digital/e-commerce/6a0a8ae3741b3/tiktok-shop-tokopedia-sesuaikan-biaya-admin-seller-per-18-mei-ada-yang-naik</w:t>
      </w:r>
    </w:p>
    <w:p>
      <w:pPr>
        <w:pStyle w:val="BodyText"/>
      </w:pPr>
      <w:r>
        <w:t xml:space="preserve">Trueman, B., Wong, M. H. F., &amp; Zhang, X.-J. (2000). The eyeballs have it: Searching for the value in Internet stocks.</w:t>
      </w:r>
      <w:r>
        <w:t xml:space="preserve"> </w:t>
      </w:r>
      <w:r>
        <w:rPr>
          <w:iCs/>
          <w:i/>
        </w:rPr>
        <w:t xml:space="preserve">Journal of Accounting Research, 38</w:t>
      </w:r>
      <w:r>
        <w:t xml:space="preserve">(Supplement), 137–162. https://doi.org/10.2307/2672912</w:t>
      </w:r>
    </w:p>
    <w:p>
      <w:pPr>
        <w:pStyle w:val="BodyText"/>
      </w:pPr>
      <w:r>
        <w:t xml:space="preserve">Trueman, B., Wong, M. H. F., &amp; Zhang, X.-J. (2001). Back to basics: Forecasting the revenues of Internet firms.</w:t>
      </w:r>
      <w:r>
        <w:t xml:space="preserve"> </w:t>
      </w:r>
      <w:r>
        <w:rPr>
          <w:iCs/>
          <w:i/>
        </w:rPr>
        <w:t xml:space="preserve">Review of Accounting Studies, 6</w:t>
      </w:r>
      <w:r>
        <w:t xml:space="preserve">(2–3), 305–329. https://doi.org/10.1023/A:1011623111051</w:t>
      </w:r>
    </w:p>
    <w:p>
      <w:pPr>
        <w:pStyle w:val="BodyText"/>
      </w:pPr>
      <w:r>
        <w:t xml:space="preserve">UNCTAD. (2023).</w:t>
      </w:r>
      <w:r>
        <w:t xml:space="preserve"> </w:t>
      </w:r>
      <w:r>
        <w:rPr>
          <w:iCs/>
          <w:i/>
        </w:rPr>
        <w:t xml:space="preserve">Measuring the value of e-commerce</w:t>
      </w:r>
      <w:r>
        <w:t xml:space="preserve">. United Nations. https://doi.org/10.18356/9789210025539</w:t>
      </w:r>
    </w:p>
    <w:p>
      <w:pPr>
        <w:pStyle w:val="BodyText"/>
      </w:pPr>
      <w:r>
        <w:t xml:space="preserve">UNCTAD. (2024).</w:t>
      </w:r>
      <w:r>
        <w:t xml:space="preserve"> </w:t>
      </w:r>
      <w:r>
        <w:rPr>
          <w:iCs/>
          <w:i/>
        </w:rPr>
        <w:t xml:space="preserve">Business e-commerce sales and the role of online platforms</w:t>
      </w:r>
      <w:r>
        <w:t xml:space="preserve">. United Nations. https://doi.org/10.18356/9789211064490</w:t>
      </w:r>
    </w:p>
    <w:p>
      <w:pPr>
        <w:pStyle w:val="BodyText"/>
      </w:pPr>
      <w:r>
        <w:t xml:space="preserve">United Nations et al. (2025).</w:t>
      </w:r>
      <w:r>
        <w:t xml:space="preserve"> </w:t>
      </w:r>
      <w:r>
        <w:rPr>
          <w:iCs/>
          <w:i/>
        </w:rPr>
        <w:t xml:space="preserve">System of national accounts 2025</w:t>
      </w:r>
      <w:r>
        <w:t xml:space="preserve"> </w:t>
      </w:r>
      <w:r>
        <w:t xml:space="preserve">(Studies in Methods, Series F). United Nations. https://doi.org/10.18356/9789211073225 [UNVERIFIED: full list of co-issuing organisations]</w:t>
      </w:r>
    </w:p>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Invisible Ledger: thesis draft, Chapters 1 to 7</dc:title>
  <dc:creator/>
  <cp:keywords/>
  <dcterms:created xsi:type="dcterms:W3CDTF">2026-10-15T18:17:17Z</dcterms:created>
  <dcterms:modified xsi:type="dcterms:W3CDTF">2026-10-15T18:17:17Z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Reading copy, 15 October 2026. Chapters 6 and 7 are drafts; Section 6.5 has a slot for results due from 27 October.</vt:lpwstr>
  </property>
</Properties>
</file>