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80"/>
        <w:jc w:val="left"/>
      </w:pPr>
      <w:r>
        <w:rPr>
          <w:rFonts w:ascii="Times New Roman" w:hAnsi="Times New Roman" w:cs="Times New Roman" w:eastAsia="Times New Roman"/>
          <w:b/>
          <w:sz w:val="24"/>
        </w:rPr>
        <w:t>Abstract</w:t>
      </w:r>
    </w:p>
    <w:p>
      <w:pPr>
        <w:spacing w:after="80" w:line="247" w:lineRule="auto"/>
        <w:jc w:val="both"/>
      </w:pPr>
      <w:r>
        <w:rPr>
          <w:rFonts w:ascii="Times New Roman" w:hAnsi="Times New Roman" w:eastAsia="Times New Roman"/>
          <w:b w:val="0"/>
          <w:i w:val="0"/>
          <w:sz w:val="24"/>
        </w:rPr>
        <w:t>Digital economy is measured through records that do not describe the same thing. Platform revenue, e-commerce statistics and payment data are used as interchangeable measures of digital activity, yet each captures a different side of the boundary between the value a platform processes and the revenue it recognizes. I define the difference between transaction value and platform-recognized revenue as the invisible wedge and show that substituting one record for another misstates both the size of the digital economy and where it is growing. Indonesia, the largest digital market in Southeast Asia, is the empirical setting. In 2023, Tokopedia, Shopee and Grab processed US$43.23 billion of transaction value against US$3.16 billion of recognized revenue, a ratio of 13.7 to 1 and a wedge of US$40.07 billion that stays above US$20 billion when any one platform is excluded. Between 2020 and 2025, revenue grew faster than transaction value in ten of twelve year-to-year comparisons, so platform revenue understates the level of platform commerce and overstates its growth. National statistics place 98.5 percent of Indonesia's 2023-2024 e-commerce growth outside the marketplace channel, and digital payment value grew up to eleven times as fast as e-commerce value. Evidence from eight platform businesses outside Indonesia shows the same boundary under other business models.</w:t>
      </w:r>
    </w:p>
    <w:p>
      <w:pPr>
        <w:pStyle w:val="Heading1"/>
        <w:keepNext/>
        <w:spacing w:before="140" w:after="80"/>
        <w:jc w:val="left"/>
      </w:pPr>
      <w:r>
        <w:rPr>
          <w:rFonts w:ascii="Times New Roman" w:hAnsi="Times New Roman" w:eastAsia="Times New Roman"/>
          <w:b/>
          <w:i w:val="0"/>
          <w:sz w:val="24"/>
        </w:rPr>
        <w:t>1. Introduction</w:t>
      </w:r>
    </w:p>
    <w:p>
      <w:pPr>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are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is the empirical setting. It is the largest digital market in Southeast Asia, and several records of the same activity can be compared there.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platforms processed US$43.23 billion of transaction value against US$3.16 billion of recognized revenue, leaving a US$40.07 billion invisible wedge that stays above US$20 billion when any one of them is removed.</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and the median absolute gap between the two growth rates was 42 percentage points; in some years the two measures moved in opposite directions. Platform revenue therefore understates the level of platform-mediated commerce and, in most observed years, overstates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and digital payment value reported by Bank Indonesia grew up to eleven times as fast as e-commerce value.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90" w:after="30"/>
        <w:jc w:val="left"/>
      </w:pPr>
      <w:r>
        <w:rPr>
          <w:rFonts w:ascii="Times New Roman" w:hAnsi="Times New Roman" w:eastAsia="Times New Roman"/>
          <w:b/>
          <w:i w:val="0"/>
          <w:sz w:val="24"/>
        </w:rPr>
        <w:t>1.1 Research question and objectives</w:t>
      </w:r>
    </w:p>
    <w:p>
      <w:pPr>
        <w:spacing w:after="80" w:line="247" w:lineRule="auto"/>
        <w:jc w:val="both"/>
      </w:pPr>
      <w:r>
        <w:rPr>
          <w:rFonts w:ascii="Times New Roman" w:hAnsi="Times New Roman" w:eastAsia="Times New Roman"/>
          <w:b w:val="0"/>
          <w:i w:val="0"/>
          <w:sz w:val="24"/>
        </w:rPr>
        <w:t>One question drives the proposal:</w:t>
      </w:r>
    </w:p>
    <w:p>
      <w:pPr>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90" w:after="30"/>
        <w:jc w:val="left"/>
      </w:pPr>
      <w:r>
        <w:rPr>
          <w:rFonts w:ascii="Times New Roman" w:hAnsi="Times New Roman" w:eastAsia="Times New Roman"/>
          <w:b/>
          <w:i w:val="0"/>
          <w:sz w:val="24"/>
        </w:rPr>
        <w:t>1.2 Contributions</w:t>
      </w:r>
    </w:p>
    <w:p>
      <w:pPr>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explain why the wedge moves using accounting components disclosed by the platforms themselves. Between 2022 and 2023, Tokopedia's transaction value fell 8.9 percent while net revenue from its third-party marketplace rose 53.2 percent. Lower customer incentives account for 60.6 percent of that increase in net revenue and higher gross revenue for the remainder.</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value grew up to eleven times as fast as e-commerce value. The records therefore produce different conclusions about the scale, growth, and location of digital activity.</w:t>
      </w:r>
    </w:p>
    <w:p>
      <w:pPr>
        <w:pStyle w:val="Heading2"/>
        <w:keepNext/>
        <w:spacing w:before="90" w:after="30"/>
        <w:jc w:val="left"/>
      </w:pPr>
      <w:r>
        <w:rPr>
          <w:rFonts w:ascii="Times New Roman" w:hAnsi="Times New Roman" w:eastAsia="Times New Roman"/>
          <w:b/>
          <w:i w:val="0"/>
          <w:sz w:val="24"/>
        </w:rPr>
        <w:t>1.3 Positioning the contribution</w:t>
      </w:r>
    </w:p>
    <w:p>
      <w:pPr>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changes the economic conclusion.</w:t>
      </w:r>
    </w:p>
    <w:p>
      <w:pPr>
        <w:pStyle w:val="Heading1"/>
        <w:keepNext/>
        <w:spacing w:before="140" w:after="80"/>
        <w:jc w:val="left"/>
      </w:pPr>
      <w:r>
        <w:rPr>
          <w:rFonts w:ascii="Times New Roman" w:hAnsi="Times New Roman" w:cs="Times New Roman" w:eastAsia="Times New Roman"/>
          <w:b/>
          <w:sz w:val="24"/>
        </w:rPr>
        <w:t>2. Literature Review and Research Gap</w:t>
      </w:r>
    </w:p>
    <w:p>
      <w:pPr>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90" w:after="30"/>
      </w:pPr>
      <w:r>
        <w:rPr>
          <w:rFonts w:ascii="Times New Roman" w:hAnsi="Times New Roman" w:eastAsia="Times New Roman"/>
          <w:b/>
          <w:i w:val="0"/>
          <w:sz w:val="24"/>
        </w:rPr>
        <w:t>2.1 Platform Economics and Revenue Recognition</w:t>
      </w:r>
    </w:p>
    <w:p>
      <w:pPr>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90" w:after="30"/>
      </w:pPr>
      <w:r>
        <w:rPr>
          <w:rFonts w:ascii="Times New Roman" w:hAnsi="Times New Roman" w:eastAsia="Times New Roman"/>
          <w:b/>
          <w:i w:val="0"/>
          <w:sz w:val="24"/>
        </w:rPr>
        <w:t>2.2 Digital Records and Third-Party Information</w:t>
      </w:r>
    </w:p>
    <w:p>
      <w:pPr>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still exist and can become usable elsewhere.</w:t>
      </w:r>
    </w:p>
    <w:p>
      <w:pPr>
        <w:pStyle w:val="Heading2"/>
        <w:keepNext/>
        <w:spacing w:before="90" w:after="30"/>
      </w:pPr>
      <w:r>
        <w:rPr>
          <w:rFonts w:ascii="Times New Roman" w:hAnsi="Times New Roman" w:eastAsia="Times New Roman"/>
          <w:b/>
          <w:i w:val="0"/>
          <w:sz w:val="24"/>
        </w:rPr>
        <w:t>2.3 Measuring the Digital Economy</w:t>
      </w:r>
    </w:p>
    <w:p>
      <w:pPr>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90" w:after="30"/>
      </w:pPr>
      <w:r>
        <w:rPr>
          <w:rFonts w:ascii="Times New Roman" w:hAnsi="Times New Roman" w:eastAsia="Times New Roman"/>
          <w:b/>
          <w:i w:val="0"/>
          <w:sz w:val="24"/>
        </w:rPr>
        <w:t>2.4 Research Gap</w:t>
      </w:r>
    </w:p>
    <w:p>
      <w:pPr>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140" w:after="80"/>
        <w:jc w:val="left"/>
      </w:pPr>
      <w:r>
        <w:rPr>
          <w:rFonts w:ascii="Times New Roman" w:hAnsi="Times New Roman" w:eastAsia="Times New Roman"/>
          <w:b/>
          <w:i w:val="0"/>
          <w:sz w:val="24"/>
        </w:rPr>
        <w:t>3. Theoretical Framework and Hypotheses</w:t>
      </w:r>
    </w:p>
    <w:p>
      <w:pPr>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90" w:after="30"/>
        <w:jc w:val="left"/>
      </w:pPr>
      <w:r>
        <w:rPr>
          <w:rFonts w:ascii="Times New Roman" w:hAnsi="Times New Roman" w:eastAsia="Times New Roman"/>
          <w:b/>
          <w:i w:val="0"/>
          <w:sz w:val="24"/>
        </w:rPr>
        <w:t>3.1 Measurement Framework</w:t>
      </w:r>
    </w:p>
    <w:p>
      <w:pPr>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year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it recognizes over the same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by itself imply participant profit, taxable income, value added, non-compliance, or tax due. Because platforms differ in size, I also express the wedge relative to revenue through the Ecosystem Ratio, which is constructed for this study:</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A single ratio does not show whether transaction value and revenue move together through time, so I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90" w:after="30"/>
        <w:jc w:val="left"/>
      </w:pPr>
      <w:r>
        <w:rPr>
          <w:rFonts w:ascii="Times New Roman" w:hAnsi="Times New Roman" w:eastAsia="Times New Roman"/>
          <w:b/>
          <w:i w:val="0"/>
          <w:sz w:val="24"/>
        </w:rPr>
        <w:t>3.2 Hypotheses</w:t>
      </w:r>
    </w:p>
    <w:p>
      <w:pPr>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is the central claim of the thesis, and H1 to H3 establish the mechanisms behind it.</w:t>
      </w:r>
    </w:p>
    <w:p>
      <w:pPr>
        <w:spacing w:after="80" w:line="247" w:lineRule="auto"/>
        <w:jc w:val="left"/>
      </w:pPr>
      <w:r>
        <w:rPr>
          <w:rFonts w:ascii="Times New Roman" w:hAnsi="Times New Roman" w:eastAsia="Times New Roman"/>
          <w:b/>
          <w:i w:val="0"/>
          <w:sz w:val="24"/>
        </w:rPr>
        <w:t>H1. Platform revenue is not a stable proxy for the transaction value a platform processes.</w:t>
      </w:r>
    </w:p>
    <w:p>
      <w:pPr>
        <w:spacing w:after="80" w:line="247" w:lineRule="auto"/>
        <w:jc w:val="both"/>
      </w:pPr>
      <w:r>
        <w:rPr>
          <w:rFonts w:ascii="Times New Roman" w:hAnsi="Times New Roman" w:eastAsia="Times New Roman"/>
          <w:b w:val="0"/>
          <w:i w:val="0"/>
          <w:sz w:val="24"/>
        </w:rPr>
        <w:t>If it were, transaction value and revenue would move proportionally within the same platform over time.</w:t>
      </w:r>
    </w:p>
    <w:p>
      <w:pPr>
        <w:spacing w:after="80" w:line="247" w:lineRule="auto"/>
        <w:jc w:val="left"/>
      </w:pPr>
      <w:r>
        <w:rPr>
          <w:rFonts w:ascii="Times New Roman" w:hAnsi="Times New Roman" w:eastAsia="Times New Roman"/>
          <w:b/>
          <w:i w:val="0"/>
          <w:sz w:val="24"/>
        </w:rPr>
        <w:t>H2. Aggregate e-commerce growth is driven mainly by growth in the number of participating businesses rather than by higher transaction value per business.</w:t>
      </w:r>
    </w:p>
    <w:p>
      <w:pPr>
        <w:spacing w:after="80" w:line="247" w:lineRule="auto"/>
        <w:jc w:val="both"/>
      </w:pPr>
      <w:r>
        <w:rPr>
          <w:rFonts w:ascii="Times New Roman" w:hAnsi="Times New Roman" w:eastAsia="Times New Roman"/>
          <w:b w:val="0"/>
          <w:i w:val="0"/>
          <w:sz w:val="24"/>
        </w:rPr>
        <w:t>This separates wider business participation from changes in the average value observed per business.</w:t>
      </w:r>
    </w:p>
    <w:p>
      <w:pPr>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This asks whether marketplace-mediated activity leaves a different recordkeeping pattern from other e-commerce activity.</w:t>
      </w:r>
    </w:p>
    <w:p>
      <w:pPr>
        <w:spacing w:after="80" w:line="247" w:lineRule="auto"/>
        <w:jc w:val="left"/>
      </w:pPr>
      <w:r>
        <w:rPr>
          <w:rFonts w:ascii="Times New Roman" w:hAnsi="Times New Roman" w:eastAsia="Times New Roman"/>
          <w:b/>
          <w:i w:val="0"/>
          <w:sz w:val="24"/>
        </w:rPr>
        <w:t>H4. Platform revenue, national e-commerce statistics and payment records are not interchangeable: substituting one for another changes the measured scale and growth of digital economic activity.</w:t>
      </w:r>
    </w:p>
    <w:p>
      <w:pPr>
        <w:spacing w:after="80" w:line="247" w:lineRule="auto"/>
        <w:jc w:val="both"/>
      </w:pPr>
      <w:r>
        <w:rPr>
          <w:rFonts w:ascii="Times New Roman" w:hAnsi="Times New Roman" w:eastAsia="Times New Roman"/>
          <w:b w:val="0"/>
          <w:i w:val="0"/>
          <w:sz w:val="24"/>
        </w:rPr>
        <w:t>This asks whether the records produce the same economic account when they observe different parts of digital activity.</w:t>
      </w:r>
    </w:p>
    <w:p>
      <w:pPr>
        <w:keepNext/>
        <w:spacing w:before="60" w:after="3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transaction value and revenue through time, the Ecosystem Ratio, and annual growth divergence</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center"/>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center"/>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center"/>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center"/>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comparison of platform businesses outside Indonesia is used as corroboration rather than as a fifth hypothesis. Indonesia's marketplace reporting regime is examined as an institutional application in Section 5.3.</w:t>
      </w:r>
    </w:p>
    <w:p>
      <w:pPr>
        <w:pStyle w:val="Heading1"/>
        <w:keepNext/>
        <w:spacing w:before="140" w:after="80"/>
        <w:jc w:val="left"/>
      </w:pPr>
      <w:r>
        <w:rPr>
          <w:rFonts w:ascii="Times New Roman" w:hAnsi="Times New Roman" w:eastAsia="Times New Roman"/>
          <w:b/>
          <w:i w:val="0"/>
          <w:sz w:val="24"/>
        </w:rPr>
        <w:t>4. Data and Methodology</w:t>
      </w:r>
    </w:p>
    <w:p>
      <w:pPr>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90" w:after="30"/>
        <w:jc w:val="left"/>
      </w:pPr>
      <w:r>
        <w:rPr>
          <w:rFonts w:ascii="Times New Roman" w:hAnsi="Times New Roman" w:eastAsia="Times New Roman"/>
          <w:b/>
          <w:i w:val="0"/>
          <w:sz w:val="24"/>
        </w:rPr>
        <w:t>4.1 Selecting the Platform Evidence</w:t>
      </w:r>
    </w:p>
    <w:p>
      <w:pPr>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60" w:after="3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center"/>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center"/>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center"/>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center"/>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center"/>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center"/>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center"/>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center"/>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An annual observation is one matched transaction-and-revenue pair for one platform in one year. The 17 retained observations produce 12 year-to-year comparisons because the same platforms are not available in every year. Tokopedia is closely aligned with Indonesia but is not a literal country line. Blibli includes online travel, Bukalapak includes some overseas activity, and Grab and Shopee require additional construction. Tokopedia 2021 and Bukalapak 2024 are excluded because their transaction and revenue figures cover different periods.</w:t>
      </w:r>
    </w:p>
    <w:p>
      <w:pPr>
        <w:pStyle w:val="Heading2"/>
        <w:keepNext/>
        <w:spacing w:before="90" w:after="30"/>
        <w:jc w:val="left"/>
      </w:pPr>
      <w:r>
        <w:rPr>
          <w:rFonts w:ascii="Times New Roman" w:hAnsi="Times New Roman" w:eastAsia="Times New Roman"/>
          <w:b/>
          <w:i w:val="0"/>
          <w:sz w:val="24"/>
        </w:rPr>
        <w:t>4.2 Comparing Platform Activity Through Time</w:t>
      </w:r>
    </w:p>
    <w:p>
      <w:pPr>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w:t>
      </w:r>
    </w:p>
    <w:p>
      <w:pPr>
        <w:spacing w:after="80" w:line="247" w:lineRule="auto"/>
        <w:jc w:val="both"/>
      </w:pPr>
      <w:r>
        <w:rPr>
          <w:rFonts w:ascii="Times New Roman" w:hAnsi="Times New Roman" w:eastAsia="Times New Roman"/>
          <w:b w:val="0"/>
          <w:i w:val="0"/>
          <w:sz w:val="24"/>
        </w:rPr>
        <w:t>Companies also use different names for transaction activity, including gross transaction value (GTV), gross merchandise value (GMV), and total payment volume (TPV). The original definitions are retained rather than assumed to be identical.</w:t>
      </w:r>
    </w:p>
    <w:p>
      <w:pPr>
        <w:spacing w:after="80" w:line="247" w:lineRule="auto"/>
        <w:jc w:val="both"/>
      </w:pPr>
      <w:r>
        <w:rPr>
          <w:rFonts w:ascii="Times New Roman" w:hAnsi="Times New Roman" w:eastAsia="Times New Roman"/>
          <w:b w:val="0"/>
          <w:i w:val="0"/>
          <w:sz w:val="24"/>
        </w:rPr>
        <w:t>The cross-platform comparison uses the 2023 fiscal year, the last year in which the three principal platforms can be compared on the same basis. It measures the scale of the transaction-revenue difference for those platforms, and market-share estimates describe their coverage of marketplace transaction value.</w:t>
      </w:r>
    </w:p>
    <w:p>
      <w:pPr>
        <w:pStyle w:val="Heading2"/>
        <w:keepNext/>
        <w:spacing w:before="90" w:after="30"/>
        <w:jc w:val="left"/>
      </w:pPr>
      <w:r>
        <w:rPr>
          <w:rFonts w:ascii="Times New Roman" w:hAnsi="Times New Roman" w:eastAsia="Times New Roman"/>
          <w:b/>
          <w:i w:val="0"/>
          <w:sz w:val="24"/>
        </w:rPr>
        <w:t>4.3 Direct and Constructed Indonesia Measures</w:t>
      </w:r>
    </w:p>
    <w:p>
      <w:pPr>
        <w:spacing w:after="80" w:line="247" w:lineRule="auto"/>
        <w:jc w:val="both"/>
      </w:pPr>
      <w:r>
        <w:rPr>
          <w:rFonts w:ascii="Times New Roman" w:hAnsi="Times New Roman" w:eastAsia="Times New Roman"/>
          <w:b w:val="0"/>
          <w:i w:val="0"/>
          <w:sz w:val="24"/>
        </w:rPr>
        <w:t>Not every company reports the same Indonesia-specific information.</w:t>
      </w:r>
    </w:p>
    <w:p>
      <w:pPr>
        <w:keepNext/>
        <w:spacing w:before="60" w:after="3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center"/>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center"/>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center"/>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center"/>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center"/>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center"/>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and Indonesian revenue is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are labeled wherever they are used, and Section 5.1 reports how far the results move under alternative values of their inputs.</w:t>
      </w:r>
    </w:p>
    <w:p>
      <w:pPr>
        <w:pStyle w:val="Heading2"/>
        <w:keepNext/>
        <w:spacing w:before="90" w:after="30"/>
        <w:jc w:val="left"/>
      </w:pPr>
      <w:r>
        <w:rPr>
          <w:rFonts w:ascii="Times New Roman" w:hAnsi="Times New Roman" w:eastAsia="Times New Roman"/>
          <w:b/>
          <w:i w:val="0"/>
          <w:sz w:val="24"/>
        </w:rPr>
        <w:t>4.4 Evidence Beyond Platform Accounts</w:t>
      </w:r>
    </w:p>
    <w:p>
      <w:pPr>
        <w:keepNext/>
        <w:spacing w:before="60" w:after="3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center"/>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center"/>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center"/>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center"/>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center"/>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spacing w:before="120"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with province-level correlations as supporting diagnostics. For H4, Bank Indonesia payment measures are compared with e-commerce growth but are not added to platform or BPS transaction values.</w:t>
      </w:r>
    </w:p>
    <w:p>
      <w:pPr>
        <w:pStyle w:val="Heading2"/>
        <w:keepNext/>
        <w:spacing w:before="90" w:after="30"/>
        <w:jc w:val="left"/>
      </w:pPr>
      <w:r>
        <w:rPr>
          <w:rFonts w:ascii="Times New Roman" w:hAnsi="Times New Roman" w:eastAsia="Times New Roman"/>
          <w:b/>
          <w:i w:val="0"/>
          <w:sz w:val="24"/>
        </w:rPr>
        <w:t>4.5 External Evidence and Robustness</w:t>
      </w:r>
    </w:p>
    <w:p>
      <w:pPr>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and is kept separate from the Indonesian sample.</w:t>
      </w:r>
    </w:p>
    <w:p>
      <w:pPr>
        <w:spacing w:after="80" w:line="247" w:lineRule="auto"/>
        <w:jc w:val="both"/>
      </w:pPr>
      <w:r>
        <w:rPr>
          <w:rFonts w:ascii="Times New Roman" w:hAnsi="Times New Roman" w:eastAsia="Times New Roman"/>
          <w:b w:val="0"/>
          <w:i w:val="0"/>
          <w:sz w:val="24"/>
        </w:rPr>
        <w:t>The robustness checks remove one platform at a time, vary every constructed input, replace ordinary growth rates with log changes, drop the most extreme year-to-year comparison, and restrict the evidence to pairs the companies report directly. Section 5 reports the resulting ranges.</w:t>
      </w:r>
    </w:p>
    <w:p>
      <w:pPr>
        <w:pStyle w:val="Heading1"/>
        <w:keepNext/>
        <w:spacing w:before="140" w:after="80"/>
        <w:jc w:val="left"/>
      </w:pPr>
      <w:r>
        <w:rPr>
          <w:rFonts w:ascii="Times New Roman" w:hAnsi="Times New Roman" w:eastAsia="Times New Roman"/>
          <w:b/>
          <w:i w:val="0"/>
          <w:sz w:val="24"/>
        </w:rPr>
        <w:t>5. Preliminary Evidence and Feasibility</w:t>
      </w:r>
    </w:p>
    <w:p>
      <w:pPr>
        <w:spacing w:after="80" w:line="24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large differences. The preliminary results first show the scale and movement of the transaction-revenue boundary, then examine whether the wider Indonesian evidence tells the same story.</w:t>
      </w:r>
    </w:p>
    <w:p>
      <w:pPr>
        <w:pStyle w:val="Heading2"/>
        <w:keepNext/>
        <w:spacing w:before="90" w:after="30"/>
        <w:jc w:val="left"/>
      </w:pPr>
      <w:r>
        <w:rPr>
          <w:rFonts w:ascii="Times New Roman" w:hAnsi="Times New Roman" w:eastAsia="Times New Roman"/>
          <w:b/>
          <w:i w:val="0"/>
          <w:sz w:val="24"/>
        </w:rPr>
        <w:t>5.1 Platform Scale and Movement</w:t>
      </w:r>
    </w:p>
    <w:p>
      <w:pPr>
        <w:spacing w:after="80" w:line="247" w:lineRule="auto"/>
        <w:jc w:val="both"/>
      </w:pPr>
      <w:r>
        <w:rPr>
          <w:rFonts w:ascii="Times New Roman" w:hAnsi="Times New Roman" w:eastAsia="Times New Roman"/>
          <w:b w:val="0"/>
          <w:i w:val="0"/>
          <w:sz w:val="24"/>
        </w:rPr>
        <w:t>The 2023 fiscal year provides a common comparison across Grab, Tokopedia, and Shopee.</w:t>
      </w:r>
    </w:p>
    <w:p>
      <w:pPr>
        <w:keepNext/>
        <w:spacing w:before="60" w:after="3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center"/>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center"/>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center"/>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center"/>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center"/>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center"/>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center"/>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center"/>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w:t>
            </w:r>
          </w:p>
        </w:tc>
      </w:tr>
    </w:tbl>
    <w:p>
      <w:pPr>
        <w:spacing w:before="120" w:after="80" w:line="247" w:lineRule="auto"/>
        <w:jc w:val="both"/>
      </w:pPr>
      <w:r>
        <w:rPr>
          <w:rFonts w:ascii="Times New Roman" w:hAnsi="Times New Roman" w:eastAsia="Times New Roman"/>
          <w:b w:val="0"/>
          <w:i w:val="0"/>
          <w:sz w:val="24"/>
        </w:rPr>
        <w:t>Across the three platforms, US$43.23 billion of transaction value corresponds to US$3.16 billion of recognized revenue, leaving a US$40.07 billion wedge; transaction value is 13.7 times recognized revenue. Tokopedia contributes 39.7 percent of the wedge, Shopee 48.3 percent and Grab 11.9 percent. Shopee's ratio of exactly 9.000 follows from applying Sea's Group monetization rate of 10.0 percent, so its revenue is an assumption. Varying that rate between 9 and 11 percent moves the combined wedge only between US$39.86 billion and US$40.29 billion, because Shopee's revenue is small relative to its transaction value. Excluding any one platform leaves a wedge between US$20.70 billion and US$35.29 billion, varying every constructed input one at a time keeps it between US$37.65 billion and US$42.49 billion, and Tokopedia alone, which requires no construction, carries a wedge of US$15.93 billion.</w:t>
      </w:r>
    </w:p>
    <w:p>
      <w:pPr>
        <w:spacing w:after="80" w:line="247" w:lineRule="auto"/>
        <w:jc w:val="both"/>
      </w:pPr>
      <w:r>
        <w:rPr>
          <w:rFonts w:ascii="Times New Roman" w:hAnsi="Times New Roman" w:eastAsia="Times New Roman"/>
          <w:b w:val="0"/>
          <w:i w:val="0"/>
          <w:sz w:val="24"/>
        </w:rPr>
        <w:t>The relationship between the two measures is not stable. Across twelve year-to-year comparisons, revenue grows faster than transaction value in ten, and the median absolute gap between the two growth rates is 42.02 percentage points. Restricting the evidence to pairs reported directly by Tokopedia, Blibli and Bukalapak gives nine comparisons, in which revenue grows faster in six and the median absolute gap is 42.94 points. On that restricted evidence the gap is 36.64 points in log changes and 29.34 points after removing the single largest comparison, stays between 29.34 and 52.52 points when any one comparison is left out, and every version that excludes one platform keeps at least one year in which the two measures move in opposite directions.</w:t>
      </w:r>
    </w:p>
    <w:p>
      <w:pPr>
        <w:spacing w:after="80" w:line="247" w:lineRule="auto"/>
        <w:jc w:val="both"/>
      </w:pPr>
      <w:r>
        <w:rPr>
          <w:rFonts w:ascii="Times New Roman" w:hAnsi="Times New Roman" w:eastAsia="Times New Roman"/>
          <w:b w:val="0"/>
          <w:i w:val="0"/>
          <w:sz w:val="24"/>
        </w:rPr>
        <w:t>Tokopedia shows why the two measures separate. Between 2022 and 2023, its transaction value fell 8.9 percent while net revenue from its third-party marketplace rose 53.2 percent. Lower customer incentives account for 60.6 percent of that increase and higher gross revenue for the remaining 39.4 percent, so the platform's revenue improved while the commerce it carried contracted.</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platform, 2020-2025. Each line follows one platform's matched transaction value and revenue.</w:t>
      </w:r>
    </w:p>
    <w:p>
      <w:pPr>
        <w:pStyle w:val="Heading2"/>
        <w:keepNext/>
        <w:spacing w:before="90" w:after="30"/>
        <w:jc w:val="left"/>
      </w:pPr>
      <w:r>
        <w:rPr>
          <w:rFonts w:ascii="Times New Roman" w:hAnsi="Times New Roman" w:eastAsia="Times New Roman"/>
          <w:b/>
          <w:i w:val="0"/>
          <w:sz w:val="24"/>
        </w:rPr>
        <w:t>5.2 Evidence Beyond Platform Revenue</w:t>
      </w:r>
    </w:p>
    <w:p>
      <w:pPr>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60" w:after="3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300"/>
        <w:gridCol w:w="4100"/>
        <w:gridCol w:w="3147"/>
      </w:tblGrid>
      <w:tr>
        <w:trPr>
          <w:tblHeader w:val="true"/>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 The business count accounts for 90.29% of the increase (70.95% under the conflicting count)</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participating businesses (H2)</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98.46% of the nominal increase occurs outside the marketplace component; marketplace share falls from 18.2% to 15.8%</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Marketplace-based measurement misses almost all recent growth</w:t>
            </w:r>
          </w:p>
        </w:tc>
      </w:tr>
      <w:tr>
        <w:trPr>
          <w:cantSplit/>
        </w:trPr>
        <w:tc>
          <w:tcPr>
            <w:vAlign w:val="center"/>
            <w:tcW w:w="2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center"/>
            <w:tcW w:w="4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center"/>
            <w:tcW w:w="31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(H3)</w:t>
            </w:r>
          </w:p>
        </w:tc>
      </w:tr>
      <w:tr>
        <w:trPr>
          <w:cantSplit/>
        </w:trPr>
        <w:tc>
          <w:tcPr>
            <w:vAlign w:val="center"/>
            <w:tcW w:w="2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center"/>
            <w:tcW w:w="4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center"/>
            <w:tcW w:w="31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measures grow 1.8 to 11 times as fast as e-commerce value (H4)</w:t>
            </w:r>
          </w:p>
        </w:tc>
      </w:tr>
    </w:tbl>
    <w:p>
      <w:pPr>
        <w:spacing w:before="120" w:after="80" w:line="247" w:lineRule="auto"/>
        <w:jc w:val="both"/>
      </w:pPr>
      <w:r>
        <w:rPr>
          <w:rFonts w:ascii="Times New Roman" w:hAnsi="Times New Roman" w:eastAsia="Times New Roman"/>
          <w:b w:val="0"/>
          <w:i w:val="0"/>
          <w:sz w:val="24"/>
        </w:rPr>
        <w:t>The records do not agree. Between 2023 and 2024, marketplace value grew 1.45 percent, national e-commerce value grew 17.08 percent and payment measures grew between 30 and 187 percent, so the same year reads as stagnation or as rapid expansion depending on which record is used.</w:t>
      </w:r>
    </w:p>
    <w:p>
      <w:pPr>
        <w:pStyle w:val="Heading2"/>
        <w:keepNext/>
        <w:spacing w:before="90" w:after="30"/>
        <w:jc w:val="left"/>
      </w:pPr>
      <w:r>
        <w:rPr>
          <w:rFonts w:ascii="Times New Roman" w:hAnsi="Times New Roman" w:eastAsia="Times New Roman"/>
          <w:b/>
          <w:i w:val="0"/>
          <w:sz w:val="24"/>
        </w:rPr>
        <w:t>5.3 Feasibility and Institutional Application</w:t>
      </w:r>
    </w:p>
    <w:p>
      <w:pPr>
        <w:spacing w:after="80" w:line="247" w:lineRule="auto"/>
        <w:jc w:val="both"/>
      </w:pPr>
      <w:r>
        <w:rPr>
          <w:rFonts w:ascii="Times New Roman" w:hAnsi="Times New Roman" w:eastAsia="Times New Roman"/>
          <w:b w:val="0"/>
          <w:i w:val="0"/>
          <w:sz w:val="24"/>
        </w:rPr>
        <w:t>The preliminary evidence is sufficient to motivate the full analysis. H1 is supported by the movement between transaction value and revenue within platforms, H2 and H3 by national and business-level BPS evidence, and H4 by the contrast between platform, e-commerce, and payment records.</w:t>
      </w:r>
    </w:p>
    <w:p>
      <w:pPr>
        <w:spacing w:after="80" w:line="247" w:lineRule="auto"/>
        <w:jc w:val="both"/>
      </w:pPr>
      <w:r>
        <w:rPr>
          <w:rFonts w:ascii="Times New Roman" w:hAnsi="Times New Roman" w:eastAsia="Times New Roman"/>
          <w:b w:val="0"/>
          <w:i w:val="0"/>
          <w:sz w:val="24"/>
        </w:rPr>
        <w:t>Outside Indonesia, 48 matched company-years for eight platform businesses, including eBay, Etsy, Shopify, Mercado Libre and Sea, show the same boundary under other business models, with take rates among the marketplace businesses ranging from about 3 percent at Shopify to about 25 percent at Mercado Libre. Eleven of 40 year-to-year comparisons fail a clean-scope test because of acquisitions or perimeter changes, so the comparability problem the Indonesian design manages is a general feature of platform disclosure.</w:t>
      </w:r>
    </w:p>
    <w:p>
      <w:pPr>
        <w:spacing w:after="80" w:line="247" w:lineRule="auto"/>
        <w:jc w:val="both"/>
      </w:pPr>
      <w:r>
        <w:rPr>
          <w:rFonts w:ascii="Times New Roman" w:hAnsi="Times New Roman" w:eastAsia="Times New Roman"/>
          <w:b w:val="0"/>
          <w:i w:val="0"/>
          <w:sz w:val="24"/>
        </w:rPr>
        <w:t>PMK 37/2025 applies the same distinction in policy. It requires designated marketplace operators to identify sellers, report transaction-linked turnover and withhold tax, with implementation scheduled for 1 November 2026 after a postponement. Its reach is set by the channel it targets: the marketplace component carried 15.8 percent of 2024 e-commerce value and 1.5 percent of 2023-2024 growth.</w:t>
      </w:r>
    </w:p>
    <w:p>
      <w:pPr>
        <w:spacing w:after="80" w:line="247" w:lineRule="auto"/>
        <w:jc w:val="both"/>
      </w:pPr>
      <w:r>
        <w:rPr>
          <w:rFonts w:ascii="Times New Roman" w:hAnsi="Times New Roman" w:eastAsia="Times New Roman"/>
          <w:b w:val="0"/>
          <w:i w:val="0"/>
          <w:sz w:val="24"/>
        </w:rPr>
        <w:t>At this stage, the proposed measure can be constructed, followed through time, reconciled to disclosed accounting changes, and compared with independent records of Indonesian digital activity.</w:t>
      </w:r>
    </w:p>
    <w:p>
      <w:pPr>
        <w:pStyle w:val="Heading1"/>
        <w:keepNext/>
        <w:spacing w:before="140" w:after="80"/>
        <w:jc w:val="left"/>
      </w:pPr>
      <w:r>
        <w:rPr>
          <w:rFonts w:ascii="Times New Roman" w:hAnsi="Times New Roman" w:eastAsia="Times New Roman"/>
          <w:b/>
          <w:i w:val="0"/>
          <w:sz w:val="24"/>
        </w:rPr>
        <w:t>6. Why the Problem Matters</w:t>
      </w:r>
    </w:p>
    <w:p>
      <w:pPr>
        <w:spacing w:after="80" w:line="247" w:lineRule="auto"/>
        <w:jc w:val="both"/>
      </w:pPr>
      <w:r>
        <w:rPr>
          <w:rFonts w:ascii="Times New Roman" w:hAnsi="Times New Roman" w:eastAsia="Times New Roman"/>
          <w:b w:val="0"/>
          <w:i w:val="0"/>
          <w:sz w:val="24"/>
        </w:rPr>
        <w:t>These records are designed to measure different things, and the error arises when one is used in place of another. Platform revenue measures what the platform recognizes as its own income, transaction value measures the commerce it processes, national e-commerce statistics describe the wider market, and payment systems record the movement of funds. An investor valuing platforms on revenue growth, a statistical agency sizing e-commerce from marketplace data and a policymaker reading payment growth as commerce growth are each working from a record that departs sharply from the activity they intend to measure, and each in a different direction.</w:t>
      </w:r>
    </w:p>
    <w:p>
      <w:pPr>
        <w:spacing w:after="80" w:line="247" w:lineRule="auto"/>
        <w:jc w:val="both"/>
      </w:pPr>
      <w:r>
        <w:rPr>
          <w:rFonts w:ascii="Times New Roman" w:hAnsi="Times New Roman" w:eastAsia="Times New Roman"/>
          <w:b w:val="0"/>
          <w:i w:val="0"/>
          <w:sz w:val="24"/>
        </w:rPr>
        <w:t>Administrative use follows the same logic. Platform-held transaction records contain seller and transaction information that never appears in corporate revenue, and they become useful to government only when identity, reporting, transmission, and matching are in place. Indonesia's new reporting regime is built around the marketplace channel, so it inherits the coverage of that channel.</w:t>
      </w:r>
    </w:p>
    <w:p>
      <w:pPr>
        <w:pStyle w:val="Heading1"/>
        <w:keepNext/>
        <w:spacing w:before="140" w:after="80"/>
        <w:jc w:val="left"/>
      </w:pPr>
      <w:r>
        <w:rPr>
          <w:rFonts w:ascii="Times New Roman" w:hAnsi="Times New Roman" w:eastAsia="Times New Roman"/>
          <w:b/>
          <w:i w:val="0"/>
          <w:sz w:val="24"/>
        </w:rPr>
        <w:t>7. Limitations and Robustness</w:t>
      </w:r>
    </w:p>
    <w:p>
      <w:pPr>
        <w:keepNext/>
        <w:spacing w:before="60" w:after="30" w:line="240" w:lineRule="auto"/>
        <w:jc w:val="left"/>
      </w:pPr>
      <w:r>
        <w:rPr>
          <w:rFonts w:ascii="Times New Roman" w:hAnsi="Times New Roman" w:eastAsia="Times New Roman"/>
          <w:b/>
          <w:i/>
          <w:sz w:val="19"/>
        </w:rPr>
        <w:t>Table 7. Claims, evidence and robustness tests.</w:t>
      </w:r>
    </w:p>
    <w:tbl>
      <w:tblPr>
        <w:tblStyle w:val="TableGrid"/>
        <w:tblW w:type="auto" w:w="0"/>
        <w:jc w:val="center"/>
        <w:tblLayout w:type="fixed"/>
      </w:tblPr>
      <w:tblGrid>
        <w:gridCol w:w="3100"/>
        <w:gridCol w:w="6447"/>
      </w:tblGrid>
      <w:tr>
        <w:trPr>
          <w:tblHeader w:val="true"/>
          <w:cantSplit/>
        </w:trPr>
        <w:tc>
          <w:tcPr>
            <w:vAlign w:val="center"/>
            <w:tcW w:w="3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Claim</w:t>
            </w:r>
          </w:p>
        </w:tc>
        <w:tc>
          <w:tcPr>
            <w:vAlign w:val="center"/>
            <w:tcW w:w="64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and robustness test</w:t>
            </w:r>
          </w:p>
        </w:tc>
      </w:tr>
      <w:tr>
        <w:trPr>
          <w:cantSplit/>
        </w:trPr>
        <w:tc>
          <w:tcPr>
            <w:vAlign w:val="center"/>
            <w:tcW w:w="3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revenue understates platform commerce by more than an order of magnitude.</w:t>
            </w:r>
          </w:p>
        </w:tc>
        <w:tc>
          <w:tcPr>
            <w:vAlign w:val="center"/>
            <w:tcW w:w="64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2023 transaction value is 13.7 times revenue (wedge US$40.07bn). Holds across Shopee monetization of 9-11% (US$39.86-40.29bn), with any one platform excluded (at least US$20.70bn), under one-at-a-time input variation (US$37.65-42.49bn), and on Tokopedia alone (US$15.93bn).</w:t>
            </w:r>
          </w:p>
        </w:tc>
      </w:tr>
      <w:tr>
        <w:trPr>
          <w:cantSplit/>
        </w:trPr>
        <w:tc>
          <w:tcPr>
            <w:vAlign w:val="center"/>
            <w:tcW w:w="3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revenue growth misstates commerce growth.</w:t>
            </w:r>
          </w:p>
        </w:tc>
        <w:tc>
          <w:tcPr>
            <w:vAlign w:val="center"/>
            <w:tcW w:w="64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outgrows transaction value in 10 of 12 year-to-year comparisons; median absolute gap 42.02 pp. Holds on directly reported pairs only (6 of 9; 42.94 pp), in log changes (36.64), without the largest comparison (29.34 pp), and with any one platform excluded.</w:t>
            </w:r>
          </w:p>
        </w:tc>
      </w:tr>
      <w:tr>
        <w:trPr>
          <w:cantSplit/>
        </w:trPr>
        <w:tc>
          <w:tcPr>
            <w:vAlign w:val="center"/>
            <w:tcW w:w="3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statistics miss where e-commerce grows.</w:t>
            </w:r>
          </w:p>
        </w:tc>
        <w:tc>
          <w:tcPr>
            <w:vAlign w:val="center"/>
            <w:tcW w:w="64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98.46% of 2023-2024 growth in e-commerce value falls outside the marketplace component. Holds on both the published amount and the rounded-share reconstruction (98.49%).</w:t>
            </w:r>
          </w:p>
        </w:tc>
      </w:tr>
      <w:tr>
        <w:trPr>
          <w:cantSplit/>
        </w:trPr>
        <w:tc>
          <w:tcPr>
            <w:vAlign w:val="center"/>
            <w:tcW w:w="3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data overstate commerce growth.</w:t>
            </w:r>
          </w:p>
        </w:tc>
        <w:tc>
          <w:tcPr>
            <w:vAlign w:val="center"/>
            <w:tcW w:w="64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Electronic-money, mobile-banking and QRIS payment value grew 1.8 to 11 times as fast as e-commerce value, 2023-2024.</w:t>
            </w:r>
          </w:p>
        </w:tc>
      </w:tr>
    </w:tbl>
    <w:p>
      <w:pPr>
        <w:spacing w:before="120" w:after="80" w:line="247" w:lineRule="auto"/>
        <w:jc w:val="both"/>
      </w:pPr>
      <w:r>
        <w:rPr>
          <w:rFonts w:ascii="Times New Roman" w:hAnsi="Times New Roman" w:eastAsia="Times New Roman"/>
          <w:b w:val="0"/>
          <w:i w:val="0"/>
          <w:sz w:val="24"/>
        </w:rPr>
        <w:t>The evidence is descriptive and the sample is small. The business-count decomposition is arithmetic, the recordkeeping result is an association, the Tokopedia reconciliation is an accounting identity rather than a causal estimate, and the ranges above are sensitivity ranges rather than statistical confidence intervals. Payment values are compared with e-commerce growth but are not treated as estimates of sales, and the compliance and revenue effects of PMK 37/2025 can be observed only after implementation.</w:t>
      </w:r>
    </w:p>
    <w:p>
      <w:pPr>
        <w:spacing w:after="80" w:line="247" w:lineRule="auto"/>
        <w:jc w:val="both"/>
      </w:pPr>
      <w:r>
        <w:rPr>
          <w:rFonts w:ascii="Times New Roman" w:hAnsi="Times New Roman" w:eastAsia="Times New Roman"/>
          <w:b w:val="0"/>
          <w:i w:val="0"/>
          <w:sz w:val="24"/>
        </w:rPr>
        <w:t>Two sample decisions are put to the committee: whether Blibli and Bukalapak, whose reported figures extend beyond Indonesian goods marketplaces, enter the main longitudinal sample, and whether Grab and Shopee remain supporting evidence. The central results hold under either choice, because the growth result holds on directly reported pairs and the level result holds on Tokopedia alone.</w:t>
      </w:r>
    </w:p>
    <w:p>
      <w:pPr>
        <w:pStyle w:val="Heading1"/>
        <w:keepNext/>
        <w:spacing w:before="140" w:after="80"/>
        <w:jc w:val="left"/>
      </w:pPr>
      <w:r>
        <w:rPr>
          <w:rFonts w:ascii="Times New Roman" w:hAnsi="Times New Roman" w:eastAsia="Times New Roman"/>
          <w:b/>
          <w:i w:val="0"/>
          <w:sz w:val="24"/>
        </w:rPr>
        <w:t>8. Next Steps</w:t>
      </w:r>
    </w:p>
    <w:p>
      <w:pPr>
        <w:spacing w:after="80" w:line="247" w:lineRule="auto"/>
        <w:jc w:val="both"/>
      </w:pPr>
      <w:r>
        <w:rPr>
          <w:rFonts w:ascii="Times New Roman" w:hAnsi="Times New Roman" w:eastAsia="Times New Roman"/>
          <w:b w:val="0"/>
          <w:i w:val="0"/>
          <w:sz w:val="24"/>
        </w:rPr>
        <w:t>The main data and empirical framework are already assembled. The remaining work is to settle the sample decisions, complete the robustness checks, verify source consistency, and develop the preliminary results into the full thesis analysis.</w:t>
      </w:r>
    </w:p>
    <w:p>
      <w:pPr>
        <w:keepNext/>
        <w:spacing w:before="60" w:after="3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center"/>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center"/>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center"/>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center"/>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shows that this boundary is economically large, changes through time, and gives a different account of Indonesia's digital economy from national statistics and payment records. The final thesis measures how far those accounts diverge and which conclusions change when one record is used in place of another.</w:t>
      </w:r>
    </w:p>
    <w:p>
      <w:pPr>
        <w:pStyle w:val="Heading1"/>
        <w:keepNext/>
        <w:spacing w:before="140" w:after="80"/>
        <w:jc w:val="left"/>
      </w:pPr>
      <w:r>
        <w:rPr>
          <w:rFonts w:ascii="Times New Roman" w:hAnsi="Times New Roman" w:eastAsia="Times New Roman"/>
          <w:b/>
          <w:i w:val="0"/>
          <w:sz w:val="24"/>
        </w:rPr>
        <w:t>Appendix A - Data Sources by Evidence Type</w:t>
      </w:r>
    </w:p>
    <w:p>
      <w:pPr>
        <w:keepNext/>
        <w:spacing w:before="60" w:after="3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or source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or comparison source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center"/>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center"/>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center"/>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center"/>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center"/>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center"/>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center"/>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center"/>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80" w:line="24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20" w:after="8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