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after="110" w:line="257" w:lineRule="auto"/>
        <w:jc w:val="both"/>
      </w:pPr>
      <w:r>
        <w:rPr>
          <w:rFonts w:ascii="Times New Roman" w:hAnsi="Times New Roman" w:eastAsia="Times New Roman"/>
          <w:b w:val="0"/>
          <w:i w:val="0"/>
          <w:sz w:val="24"/>
        </w:rPr>
        <w:t>Digital economy is measured through several records (platform transaction value, platform revenue, national e-commerce statistics and payment data) that are often used interchangeably, although each captures a different part of the same activity. This study asks how much economic activity remains invisible when digital platforms are measured through their reported revenue. I define the invisible wedge as transaction value minus platform-recognized revenue and follow it across Indonesian platforms from 2020 to 2025. In 2023, Tokopedia, Shopee and Grab processed US$43.23 billion of transaction value against US$3.16 billion of recognized revenue. The relationship was unstable: among platforms reporting both figures, revenue grew faster than transaction value in six of eight year-to-year comparisons and moved in the opposite direction in two. Using its own definitions, BPS-Statistics Indonesia reports a 2023 marketplace figure below Tokopedia's and Shopee's transaction value alone and places 98.5 percent of 2023–2024 e-commerce growth outside its marketplace category; payment measures grew up to eleven times as fast as e-commerce value. Eight platforms outside Indonesia show the same distinction with smaller divergence. Conclusions about scale and growth therefore depend on the record used.</w:t>
      </w:r>
    </w:p>
    <w:p>
      <w:pPr>
        <w:pStyle w:val="Heading1"/>
        <w:keepNext/>
        <w:spacing w:before="200" w:after="100"/>
        <w:jc w:val="left"/>
      </w:pPr>
      <w:r>
        <w:rPr>
          <w:rFonts w:ascii="Times New Roman" w:hAnsi="Times New Roman" w:eastAsia="Times New Roman"/>
          <w:b/>
          <w:i w:val="0"/>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That figure is one record of the activity: the gross value of the transactions involved. The platforms that carry those transactions report a different number, their own revenue; national statistical agencies report a third, the online sales of surveyed businesses; and payment systems report a fourth, the value of funds moved. These records are designed to measure different things, yet they are often used interchangeably. Substituting one for another changes the measured scale, growth and even the direction of digital activity.</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its own revenue: the commissions and fees it earns for arranging the transactions. Depending on the business model, the remaining 90 can include merchant receipts, driver payouts, inventory costs, taxes and other pass-through payments. An analyst using the platform's accounts sees 10, while one measuring the commerce it processes sees 100. I call the difference the invisible wedge. Neither number is wrong: revenue records what the platform earned, while transaction value records what it carried. The arithmetic is familiar; the measurement problem is that the relationship does not remain fixed.</w:t>
      </w:r>
    </w:p>
    <w:p>
      <w:pPr>
        <w:spacing w:after="110" w:line="257" w:lineRule="auto"/>
        <w:jc w:val="both"/>
      </w:pPr>
      <w:r>
        <w:rPr>
          <w:rFonts w:ascii="Times New Roman" w:hAnsi="Times New Roman" w:eastAsia="Times New Roman"/>
          <w:b w:val="0"/>
          <w:i w:val="0"/>
          <w:sz w:val="24"/>
        </w:rPr>
        <w:t>Indonesia, the largest digital market in Southeast Asia, shows how far apart these records are. The study covers four marketplaces—Tokopedia, Blibli, Bukalapak and Shopee—plus Grab, whose Indonesian business is mainly delivery and other on-demand services. Tokopedia, Blibli and Bukalapak report both measures themselves. Grab's transaction value uses Indonesian revenue and its company-wide ratio; Shopee combines Momentum Works' Indonesian estimate with Sea's company-wide monetization rate. In 2023, Tokopedia, Shopee and Grab together processed US$43.23 billion of transaction value against US$3.16 billion of recognized revenue, a wedge of US$40.07 billion. BPS-Statistics Indonesia, the national statistical agency, placed the marketplace component of e-commerce at about US$13.2 billion and all e-commerce at US$72.3 billion. These records are not yet directly comparable because their definitions and scopes differ. Each answers a different question; quoting one as the size of the digital economy means choosing a particular record.</w:t>
      </w:r>
    </w:p>
    <w:p>
      <w:pPr>
        <w:spacing w:after="110" w:line="257" w:lineRule="auto"/>
        <w:jc w:val="both"/>
      </w:pPr>
      <w:r>
        <w:rPr>
          <w:rFonts w:ascii="Times New Roman" w:hAnsi="Times New Roman" w:eastAsia="Times New Roman"/>
          <w:b w:val="0"/>
          <w:i w:val="0"/>
          <w:sz w:val="24"/>
        </w:rPr>
        <w:t>The records also disagree about growth. Between 2022 and 2023, Tokopedia's revenue rose 53.2 percent while the transaction value it processed fell 8.9 percent: read through its accounts the platform was expanding quickly, read through its transactions it was shrinking. The reversal is not isolated. Among the three platforms that report both figures themselves, revenue grew faster than transaction value in six of eight year-to-year comparisons between 2020 and 2025, and the two moved in opposite directions twice. Nationally, BPS reports e-commerce value up 17.1 percent between 2023 and 2024, with 98.5 percent of the increase outside BPS's marketplace category, while economy-wide payment measures from Bank Indonesia, the central bank, grew between 1.8 and 11 times as fast.</w:t>
      </w:r>
    </w:p>
    <w:p>
      <w:pPr>
        <w:spacing w:after="110" w:line="257" w:lineRule="auto"/>
        <w:jc w:val="both"/>
      </w:pPr>
      <w:r>
        <w:rPr>
          <w:rFonts w:ascii="Times New Roman" w:hAnsi="Times New Roman" w:eastAsia="Times New Roman"/>
          <w:b w:val="0"/>
          <w:i w:val="0"/>
          <w:sz w:val="24"/>
        </w:rPr>
        <w:t>A statement about how large Indonesia's digital economy is, or how fast it grew, is therefore a statement about a record. An investor using platform revenue and an analyst using marketplace figures reach different conclusions about the same years because the records measure different objects. The error lies in treating either one as the measure of the digital economy.</w:t>
      </w:r>
    </w:p>
    <w:p>
      <w:pPr>
        <w:pStyle w:val="Heading2"/>
        <w:keepNext/>
        <w:spacing w:before="140" w:after="60"/>
        <w:jc w:val="left"/>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I measure the invisible wedge across the platform histories available from 2020 to 2025. Second, I reconcile selected large movements with disclosed changes in monetization, customer incentives, revenue recognition and reporting scope. Third, I compare the platform evidence with national e-commerce and payment records to determine whether they give the same account of economic scale and growth.</w:t>
      </w:r>
    </w:p>
    <w:p>
      <w:pPr>
        <w:spacing w:after="110" w:line="257" w:lineRule="auto"/>
        <w:jc w:val="both"/>
      </w:pPr>
      <w:r>
        <w:rPr>
          <w:rFonts w:ascii="Times New Roman" w:hAnsi="Times New Roman" w:eastAsia="Times New Roman"/>
          <w:b w:val="0"/>
          <w:i w:val="0"/>
          <w:sz w:val="24"/>
        </w:rPr>
        <w:t>A separate comparison of eight listed platform businesses outside Indonesia, including eBay, Etsy, Shopify and Mercado Libre, tests whether the same separation between transaction value and revenue appears under other business models.</w:t>
      </w:r>
    </w:p>
    <w:p>
      <w:pPr>
        <w:pStyle w:val="Heading2"/>
        <w:keepNext/>
        <w:spacing w:before="140" w:after="60"/>
        <w:jc w:val="left"/>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turns the invisible wedge from a one-year estimate into a measure followed over time, and shows that revenue is not a stable guide to the commerce behind it: among the issuer-reported platforms, revenue outgrew transaction value in six of eight comparisons and moved in the opposite direction twice.</w:t>
      </w:r>
    </w:p>
    <w:p>
      <w:pPr>
        <w:spacing w:after="110" w:line="257" w:lineRule="auto"/>
        <w:jc w:val="both"/>
      </w:pPr>
      <w:r>
        <w:rPr>
          <w:rFonts w:ascii="Times New Roman" w:hAnsi="Times New Roman" w:eastAsia="Times New Roman"/>
          <w:b w:val="0"/>
          <w:i w:val="0"/>
          <w:sz w:val="24"/>
        </w:rPr>
        <w:t>Second, I reconcile a major movement in the wedge using accounting components the platform discloses. Of the increase in Tokopedia's net revenue between 2022 and 2023, 60.6 percent reconciles to lower customer incentives and 39.4 percent to higher gross revenue, in a year when its transaction value fell.</w:t>
      </w:r>
    </w:p>
    <w:p>
      <w:pPr>
        <w:spacing w:after="110" w:line="257" w:lineRule="auto"/>
        <w:jc w:val="both"/>
      </w:pPr>
      <w:r>
        <w:rPr>
          <w:rFonts w:ascii="Times New Roman" w:hAnsi="Times New Roman" w:eastAsia="Times New Roman"/>
          <w:b w:val="0"/>
          <w:i w:val="0"/>
          <w:sz w:val="24"/>
        </w:rPr>
        <w:t>Third, I extend the comparison beyond company accounts and show that national statistics and payment records disagree with the platform picture, and with each other, about both the level and the growth of Indonesian digital commerce.</w:t>
      </w:r>
    </w:p>
    <w:p>
      <w:pPr>
        <w:spacing w:after="110" w:line="257" w:lineRule="auto"/>
        <w:jc w:val="both"/>
      </w:pPr>
      <w:r>
        <w:rPr>
          <w:rFonts w:ascii="Times New Roman" w:hAnsi="Times New Roman" w:eastAsia="Times New Roman"/>
          <w:b w:val="0"/>
          <w:i w:val="0"/>
          <w:sz w:val="24"/>
        </w:rPr>
        <w:t>Fourth, the study separates the figures issuers report from those that must be constructed, and shows that the longitudinal result rests on the reported figures alone.</w:t>
      </w:r>
    </w:p>
    <w:p>
      <w:pPr>
        <w:pStyle w:val="Heading2"/>
        <w:keepNext/>
        <w:spacing w:before="140" w:after="60"/>
        <w:jc w:val="left"/>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Platform reports reveal both the commerce a platform carries and the revenue it recognizes, allowing the consequences of substituting one measure for the other to be observed directly. De Franco, Kothari and Verdi (2011) show why comparable accounting bases matter, while Berg et al. (2020) show that intermediary-held digital traces contain information conventional records can miss. This paper applies those ideas to platform economies and shows that the record chosen to describe digital activity changes the economic conclusion.</w:t>
      </w:r>
    </w:p>
    <w:p>
      <w:pPr>
        <w:pStyle w:val="Heading1"/>
        <w:keepNext/>
        <w:spacing w:before="200" w:after="100"/>
        <w:jc w:val="left"/>
      </w:pPr>
      <w:r>
        <w:rPr>
          <w:rFonts w:ascii="Times New Roman" w:hAnsi="Times New Roman" w:eastAsia="Times New Roman"/>
          <w:b/>
          <w:i w:val="0"/>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jc w:val="left"/>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Revenue-recognition rules affect how much of this difference appears in the accounts. Under International Financial Reporting Standard 15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jc w:val="left"/>
      </w:pPr>
      <w:r>
        <w:rPr>
          <w:rFonts w:ascii="Times New Roman" w:hAnsi="Times New Roman" w:eastAsia="Times New Roman"/>
          <w:b/>
          <w:i w:val="0"/>
          <w:sz w:val="24"/>
        </w:rPr>
        <w:t>2.2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the quantities are published by different producers. Industry reports size the regional digital economy by gross merchandise value (Google, Temasek and Bain 2024), national statistics measure the online sales of surveyed businesses (BPS-Statistics Indonesia 2025), and listed platforms report the revenue they recognize under IFRS 15 (International Accounting Standards Board 2014).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jc w:val="left"/>
      </w:pPr>
      <w:r>
        <w:rPr>
          <w:rFonts w:ascii="Times New Roman" w:hAnsi="Times New Roman" w:eastAsia="Times New Roman"/>
          <w:b/>
          <w:i w:val="0"/>
          <w:sz w:val="24"/>
        </w:rPr>
        <w:t>2.3 Digital Records and Third-Party Information</w:t>
      </w:r>
    </w:p>
    <w:p>
      <w:pPr>
        <w:keepLines/>
        <w:spacing w:after="110" w:line="257" w:lineRule="auto"/>
        <w:jc w:val="both"/>
      </w:pPr>
      <w:r>
        <w:rPr>
          <w:rFonts w:ascii="Times New Roman" w:hAnsi="Times New Roman" w:eastAsia="Times New Roman"/>
          <w:b w:val="0"/>
          <w:i w:val="0"/>
          <w:sz w:val="24"/>
        </w:rPr>
        <w:t>Transactions that do not enter a platform's revenue can still leave detailed records within the platform's system. Merchants and service providers can be small, self-employed, or weakly represented in conventional financial records, yet the transactions they make on a platform are recorded by it. This differs from shadow-economy settings, where reliable formal records may be sparse (La Porta and Shleifer 2014; Ulyssea 2018; Medina and Schneider 2019). Platform-mediated activity can also create traces outside conventional records (Berg et al. 2020; Barrios, Hochberg and Yi 2022; Denes, Lagaras and Tsoutsoura 2025).</w:t>
      </w:r>
    </w:p>
    <w:p>
      <w:pPr>
        <w:spacing w:after="110" w:line="257" w:lineRule="auto"/>
        <w:jc w:val="both"/>
      </w:pPr>
      <w:r>
        <w:rPr>
          <w:rFonts w:ascii="Times New Roman" w:hAnsi="Times New Roman" w:eastAsia="Times New Roman"/>
          <w:b w:val="0"/>
          <w:i w:val="0"/>
          <w:sz w:val="24"/>
        </w:rPr>
        <w:t>Third-party information changes compliance and enforcement (Kleven et al. 2011; Pomeranz 2015; Naritomi 2019; Kleven, Kreiner and Saez 2016; Slemrod 2019). The OECD Model Rules (OECD 2020) and the European Union's DAC7 regime (European Union 2021) apply this principle to platforms, as does Indonesia's Minister of Finance Regulation No. 37 of 2025 (PMK 37/2025) through seller identification, transaction-linked reporting and marketplace withholding (Ministry of Finance of the Republic of Indonesia 2025). The relevance here is informational: what a measure or rule can show depends on the records it uses.</w:t>
      </w:r>
    </w:p>
    <w:p>
      <w:pPr>
        <w:pStyle w:val="Heading2"/>
        <w:keepNext/>
        <w:spacing w:before="140" w:after="60"/>
        <w:jc w:val="left"/>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official measurement frameworks explain why these quantities should not be treated as equivalent; and research on digital records explains why some platform-mediated activity outside revenue can remain observable in platform records.</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record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pattern appears beyond Indonesia.</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Figures that issuers report and figures that must be constructed are kept apart, as are national statistics and payment records (Section 4).</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is transaction value outside the platform's recognized revenue, not an omission from its accounts: both inputs can appear in the same company report. It is a transaction-value measure rather than an income or value-added measure; Section 7 states the corresponding inference boundaries. 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nine units of transaction value lie outside the revenue line for every unit recognized as platform revenue. E contains the same information as the platform's monetization rate, t = R/V, because E = 1/t − 1. The residual form matches the research question, which concerns commerce outside recognized revenue.</w:t>
      </w:r>
    </w:p>
    <w:p>
      <w:pPr>
        <w:spacing w:after="110" w:line="257" w:lineRule="auto"/>
        <w:jc w:val="both"/>
      </w:pPr>
      <w:r>
        <w:rPr>
          <w:rFonts w:ascii="Times New Roman" w:hAnsi="Times New Roman" w:eastAsia="Times New Roman"/>
          <w:b w:val="0"/>
          <w:i w:val="0"/>
          <w:sz w:val="24"/>
        </w:rPr>
        <w:t>The Ecosystem Ratio is a descriptive transformation constructed for this study, not a new underlying economic quantity or a measure adopted from prior work. Its interpretation rests on the platform-economics result that booked revenue need not track the transaction value a multisided platform coordinates (Rochet and Tirole 2003; Hagiu and Wright 2015; Evans and Schmalensee 2016), together with the accounting result that the share entering revenue depends on how revenue is recognized, including whether the platform acts as principal or agent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the relationship holds through time, so I define annual growth divergence, where g(X) is the percentage growth of X from one year to the next,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g(R</w:t>
      </w:r>
      <w:r>
        <w:rPr>
          <w:rFonts w:ascii="Times New Roman" w:hAnsi="Times New Roman" w:eastAsia="Times New Roman"/>
          <w:b w:val="0"/>
          <w:i/>
          <w:sz w:val="24"/>
          <w:vertAlign w:val="subscript"/>
        </w:rPr>
        <w:t>it</w:t>
      </w:r>
      <w:r>
        <w:rPr>
          <w:rFonts w:ascii="Times New Roman" w:hAnsi="Times New Roman" w:eastAsia="Times New Roman"/>
          <w:b w:val="0"/>
          <w:i/>
          <w:sz w:val="24"/>
        </w:rPr>
        <w:t>) − g(V</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revenue grew faster than transaction value, so the platform recognized a larger share of transaction value as revenue and E fell; a negative D means the reverse. If revenue were a stable proxy for transaction value, D would remain close to zero. W gives the wedge in currency units, E expresses it relative to revenue, and D carries the central test: whether the relationship between revenue and transaction value remains stable through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test the research question one record at a time. H1 concerns transaction value and revenue within platforms, H2 and H3 the national e-commerce evidence, and H4 the comparison across records. None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Within the same platform, transaction value and platform revenue do not grow in proportion.</w:t>
      </w:r>
    </w:p>
    <w:p>
      <w:pPr>
        <w:spacing w:after="110" w:line="257" w:lineRule="auto"/>
        <w:jc w:val="both"/>
      </w:pPr>
      <w:r>
        <w:rPr>
          <w:rFonts w:ascii="Times New Roman" w:hAnsi="Times New Roman" w:eastAsia="Times New Roman"/>
          <w:b w:val="0"/>
          <w:i w:val="0"/>
          <w:sz w:val="24"/>
        </w:rPr>
        <w:t>If they did, D would remain close to zero and E would be constant. The test is whether D remains close to zero; changes in its sign identify especially strong reversals but are not required for H1.</w:t>
      </w:r>
    </w:p>
    <w:p>
      <w:pPr>
        <w:keepNext/>
        <w:spacing w:after="110" w:line="257" w:lineRule="auto"/>
        <w:jc w:val="left"/>
      </w:pPr>
      <w:r>
        <w:rPr>
          <w:rFonts w:ascii="Times New Roman" w:hAnsi="Times New Roman" w:eastAsia="Times New Roman"/>
          <w:b/>
          <w:i w:val="0"/>
          <w:sz w:val="24"/>
        </w:rPr>
        <w:t>H2. National e-commerce growth comes mainly from more participating businesses rather than from higher sales per business.</w:t>
      </w:r>
    </w:p>
    <w:p>
      <w:pPr>
        <w:spacing w:after="110" w:line="257" w:lineRule="auto"/>
        <w:jc w:val="both"/>
      </w:pPr>
      <w:r>
        <w:rPr>
          <w:rFonts w:ascii="Times New Roman" w:hAnsi="Times New Roman" w:eastAsia="Times New Roman"/>
          <w:b w:val="0"/>
          <w:i w:val="0"/>
          <w:sz w:val="24"/>
        </w:rPr>
        <w:t>Growth driven by new sellers can take place in channels that platform accounts do not cover. The split is arithmetic and does not assign new businesses to particular channels.</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Financial statements are one conventional record a business keeps of its own activity. H3 tests whether the prevalence of that record differs between marketplace and non-marketplace sellers; it does not treat the association as causal.</w:t>
      </w:r>
    </w:p>
    <w:p>
      <w:pPr>
        <w:keepNext/>
        <w:spacing w:after="110" w:line="257" w:lineRule="auto"/>
        <w:jc w:val="left"/>
      </w:pPr>
      <w:r>
        <w:rPr>
          <w:rFonts w:ascii="Times New Roman" w:hAnsi="Times New Roman" w:eastAsia="Times New Roman"/>
          <w:b/>
          <w:i w:val="0"/>
          <w:sz w:val="24"/>
        </w:rPr>
        <w:t>H4. Conclusions about the growth of Indonesian digital commerce change with the record used to measure it.</w:t>
      </w:r>
    </w:p>
    <w:p>
      <w:pPr>
        <w:spacing w:after="110" w:line="257" w:lineRule="auto"/>
        <w:jc w:val="both"/>
      </w:pPr>
      <w:r>
        <w:rPr>
          <w:rFonts w:ascii="Times New Roman" w:hAnsi="Times New Roman" w:eastAsia="Times New Roman"/>
          <w:b w:val="0"/>
          <w:i w:val="0"/>
          <w:sz w:val="24"/>
        </w:rPr>
        <w:t>H4 is the central claim of the thesis. It fails if revenue grows in step with transaction value within platforms and the marketplace channel grows in step with all e-commerce. Level differences between platform and BPS figures, and payment growth, are reported as context because their definitions and coverage differ.</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D and the Ecosystem Ratio for the platforms that report both figures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split into business count and sales per business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comparison of marketplace and non-marketplace sellers</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Growth of revenue against transaction value within platforms, and of the marketplace channel against all e-commerce in BPS</w:t>
            </w:r>
          </w:p>
        </w:tc>
      </w:tr>
    </w:tbl>
    <w:p>
      <w:pPr>
        <w:spacing w:before="120" w:after="110" w:line="257" w:lineRule="auto"/>
        <w:jc w:val="both"/>
      </w:pPr>
      <w:r>
        <w:rPr>
          <w:rFonts w:ascii="Times New Roman" w:hAnsi="Times New Roman" w:eastAsia="Times New Roman"/>
          <w:b w:val="0"/>
          <w:i w:val="0"/>
          <w:sz w:val="24"/>
        </w:rPr>
        <w:t>The comparison of platform businesses outside Indonesia corroborates H1 rather than forming a fifth hypothesis.</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records because no single one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 records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and major changes in accounting definitions or business structure are recorded.</w:t>
      </w:r>
    </w:p>
    <w:p>
      <w:pPr>
        <w:spacing w:after="110" w:line="257" w:lineRule="auto"/>
        <w:jc w:val="both"/>
      </w:pPr>
      <w:r>
        <w:rPr>
          <w:rFonts w:ascii="Times New Roman" w:hAnsi="Times New Roman" w:eastAsia="Times New Roman"/>
          <w:b w:val="0"/>
          <w:i w:val="0"/>
          <w:sz w:val="24"/>
        </w:rPr>
        <w:t>The main sample consists of the platforms that report transaction value and revenue themselves: Tokopedia, Blibli and Bukalapak. Grab and Shopee, whose Indonesian figures must be constructed, support the 2023 scale comparison. Lazada and TikTok Shop, both large in Indonesia, are outside the sample because no matched Indonesian revenue series has been located for either. The platforms are disclosing cases rather than a representative sample of Indonesian platforms.</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Years and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2022–2023 (2)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cleanest scope, shortest window</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2021–2025; Bukalapak 2020–2023 (9)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most of the time series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Requires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2021–2023; Shopee 2022–2024 (6)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2023 scale comparison</w:t>
            </w:r>
          </w:p>
        </w:tc>
      </w:tr>
    </w:tbl>
    <w:p>
      <w:pPr>
        <w:spacing w:before="120" w:after="110" w:line="257" w:lineRule="auto"/>
        <w:jc w:val="both"/>
      </w:pPr>
      <w:r>
        <w:rPr>
          <w:rFonts w:ascii="Times New Roman" w:hAnsi="Times New Roman" w:eastAsia="Times New Roman"/>
          <w:b w:val="0"/>
          <w:i w:val="0"/>
          <w:sz w:val="24"/>
        </w:rPr>
        <w:t>Table 2 gives the main sample 11 platform-years and 8 year-to-year comparisons; adding Grab and Shopee gives 17 and 12. Each series covers only years for which a matched pair exists. Tokopedia's 2021 pair covers mismatched periods, and after its combination with TikTok Shop under PT Tokopedia on 31 January 2024, the listed parent reports a contractual fee rather than platform revenue. Blibli's third-party segment includes online travel; its 2020 prospectus pair is used only as a sensitivity. Bukalapak reports at Group level, including some overseas activity; its 2024 pair is excluded because it covers nine months of transactions against twelve of revenue. Grab's transaction measure changes basis after 2023.</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 these reconciliations are arithmetic rather than causal.</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Transaction value, V, is the umbrella concept in this proposal and GTV is the label used for it, while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Growth rates are computed in each issuer's reporting currency, so exchange-rate movements do not enter D. US dollar values are used only for the 2023 cross-section, where rupiah figures are converted at the World Bank's 2023 official exchange rate of 15,236.88 rupiah per dollar (World Bank n.d.).</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equals the Group ratio</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set by the Group rate</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Indonesian goods commerce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w:t>
      </w:r>
    </w:p>
    <w:p>
      <w:pPr>
        <w:spacing w:after="110" w:line="257" w:lineRule="auto"/>
        <w:jc w:val="both"/>
      </w:pPr>
      <w:r>
        <w:rPr>
          <w:rFonts w:ascii="Times New Roman" w:hAnsi="Times New Roman" w:eastAsia="Times New Roman"/>
          <w:b w:val="0"/>
          <w:i w:val="0"/>
          <w:sz w:val="24"/>
        </w:rPr>
        <w:t>Sea Limited does not report Shopee transaction value separately for Indonesia. Momentum Works supplies the Indonesian estimate; its annual Southeast Asian e-commerce report is widely cited for country-level platform estimates and is used because no issuer discloses the figure. The value is labeled as a third-party estimate wherever it appears, and Indonesian revenue is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Construction fixes both Indonesian ratios to company-wide relationships: Grab's E equals its Group E, while Shopee's is the inverse of Sea's monetization rate less one. The series contribute Indonesian levels but no independent evidence on the ratio or its movement, so they remain outside the main sample.</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Records used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Online sales of surveyed businesses, by channel, and the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level and sources of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Economy-wide digital 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Context on payment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record a single role. The records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S is written as:</w:t>
      </w:r>
    </w:p>
    <w:p>
      <w:pPr>
        <w:keepNext/>
        <w:spacing w:before="60" w:after="110" w:line="257" w:lineRule="auto"/>
        <w:jc w:val="center"/>
      </w:pPr>
      <w:r>
        <w:rPr>
          <w:rFonts w:ascii="Times New Roman" w:hAnsi="Times New Roman" w:eastAsia="Times New Roman"/>
          <w:b w:val="0"/>
          <w:i/>
          <w:sz w:val="24"/>
        </w:rPr>
        <w:t>S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sales per business, and the change in S is divided arithmetically between the two. BPS publishes two counts of 2023 businesses; the count consistent with its stated growth figure is used, and the other is retained as a sensitivity check.</w:t>
      </w:r>
    </w:p>
    <w:p>
      <w:pPr>
        <w:spacing w:after="110" w:line="257" w:lineRule="auto"/>
        <w:jc w:val="both"/>
      </w:pPr>
      <w:r>
        <w:rPr>
          <w:rFonts w:ascii="Times New Roman" w:hAnsi="Times New Roman" w:eastAsia="Times New Roman"/>
          <w:b w:val="0"/>
          <w:i w:val="0"/>
          <w:sz w:val="24"/>
        </w:rPr>
        <w:t>For H3, BPS's published business-level comparison of marketplace and non-marketplace sellers is used. For H4, BPS's split of e-commerce value by sales channel is set against the platform evidence. Bank Indonesia's economy-wide payment measures provide an independent view of digitalization. Because they cover more than e-commerce and also reflect adoption and substitution between payment methods, they are compared by growth rate and are not treated as sales estimates.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observations for eight listed platform businesses from 2017 to 2025: eBay, Etsy, Jumia, Mercado Libre, Rakuten, Sea, Shopify and Zalando. It tests whether the same separation between transaction value and revenue appears under other business models and is reported separately from the Indonesian evidence.</w:t>
      </w:r>
    </w:p>
    <w:p>
      <w:pPr>
        <w:spacing w:after="110" w:line="257" w:lineRule="auto"/>
        <w:jc w:val="both"/>
      </w:pPr>
      <w:r>
        <w:rPr>
          <w:rFonts w:ascii="Times New Roman" w:hAnsi="Times New Roman" w:eastAsia="Times New Roman"/>
          <w:b w:val="0"/>
          <w:i w:val="0"/>
          <w:sz w:val="24"/>
        </w:rPr>
        <w:t>Robustness checks vary the admission rules, revenue definitions, publication versions, and the assumptions in the constructed country measures. The resulting ranges are reported as sensitivity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meaningful differences. The results first show the scale and movement of the wedge, then compare the platform picture with national and payment records.</w:t>
      </w:r>
    </w:p>
    <w:p>
      <w:pPr>
        <w:pStyle w:val="Heading2"/>
        <w:keepNext/>
        <w:spacing w:before="140" w:after="60"/>
        <w:jc w:val="left"/>
      </w:pPr>
      <w:r>
        <w:rPr>
          <w:rFonts w:ascii="Times New Roman" w:hAnsi="Times New Roman" w:eastAsia="Times New Roman"/>
          <w:b/>
          <w:i w:val="0"/>
          <w:sz w:val="24"/>
        </w:rPr>
        <w:t>5.1 Platform Scale and Movement</w:t>
      </w:r>
    </w:p>
    <w:p>
      <w:pPr>
        <w:keepLines/>
        <w:spacing w:after="110" w:line="257" w:lineRule="auto"/>
        <w:jc w:val="both"/>
      </w:pPr>
      <w:r>
        <w:rPr>
          <w:rFonts w:ascii="Times New Roman" w:hAnsi="Times New Roman" w:eastAsia="Times New Roman"/>
          <w:b w:val="0"/>
          <w:i w:val="0"/>
          <w:sz w:val="24"/>
        </w:rPr>
        <w:t>The 2023 comparison covers Shopee and Tokopedia, which together represented about 70 percent of estimated Indonesian marketplace transaction value, and Grab, a major delivery intermediary.</w:t>
      </w:r>
    </w:p>
    <w:p>
      <w:pPr>
        <w:keepNext/>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platforms, US$43.23 billion of transaction value corresponds to US$3.16 billion of recognized revenue, a wedge of US$40.07 billion and a ratio of 13.7 to 1. The wedge is equivalent in magnitude to about 2.9 percent of Indonesia's 2023 nominal GDP of US$1.371 trillion (World Bank n.d.); the comparison is of magnitude only, since the wedge is transaction value rather than value added.</w:t>
      </w:r>
    </w:p>
    <w:p>
      <w:pPr>
        <w:spacing w:after="110" w:line="257" w:lineRule="auto"/>
        <w:jc w:val="both"/>
      </w:pPr>
      <w:r>
        <w:rPr>
          <w:rFonts w:ascii="Times New Roman" w:hAnsi="Times New Roman" w:eastAsia="Times New Roman"/>
          <w:b w:val="0"/>
          <w:i w:val="0"/>
          <w:sz w:val="24"/>
        </w:rPr>
        <w:t>Two ratios rest on construction. Shopee's 9.0 follows from an assumed company-wide monetization rate of 10 percent; Grab's 7.9 is its company-wide ratio. Neither provides independent Indonesian ratio evidence. Varying Shopee's rate from 9 to 11 percent puts the combined wedge between US$39.86 billion and US$40.29 billion; excluding any platform leaves at least US$20.70 billion.</w:t>
      </w:r>
    </w:p>
    <w:p>
      <w:pPr>
        <w:spacing w:after="110" w:line="257" w:lineRule="auto"/>
        <w:jc w:val="both"/>
      </w:pPr>
      <w:r>
        <w:rPr>
          <w:rFonts w:ascii="Times New Roman" w:hAnsi="Times New Roman" w:eastAsia="Times New Roman"/>
          <w:b w:val="0"/>
          <w:i w:val="0"/>
          <w:sz w:val="24"/>
        </w:rPr>
        <w:t>At the 2023 exchange rate, Blibli's and Bukalapak's reported transaction and revenue figures yield wedges of US$3.20 billion and US$10.50 billion. They are excluded from the total because their measures include online travel and Group-level activity. Their ratios, 43.4 and 36.0, sit close to Tokopedia's 39.3; the constructed ratios instead reflect company-wide monetization.</w:t>
      </w:r>
    </w:p>
    <w:p>
      <w:pPr>
        <w:keepNext w:val="0"/>
        <w:spacing w:after="110" w:line="257" w:lineRule="auto"/>
        <w:jc w:val="both"/>
      </w:pPr>
      <w:r>
        <w:rPr>
          <w:rFonts w:ascii="Times New Roman" w:hAnsi="Times New Roman" w:eastAsia="Times New Roman"/>
          <w:b w:val="0"/>
          <w:i w:val="0"/>
          <w:sz w:val="24"/>
        </w:rPr>
        <w:t>The relationship is not stable. Revenue grew faster in six of eight main-sample comparisons; the median absolute gap is 38.92 percentage points, with two reversals. Tokopedia's 53.2 percent revenue growth against an 8.9 percent transaction-value decline gives a 62.1-point divergence. Dropping the largest comparison leaves five of seven and a 15.74-point median; every leave-one-out sample retains a majority and a reversal. Adding Grab and Shopee gives ten of twelve, but those four comparisons track company-wide monetization. Figure 1 shows E for each platform; every series ends lower than it began, though not steadily.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5647"/>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5647"/>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by platform, 2020–2025. Solid lines are issuer-reported pairs; dashed lines are constructed Indonesian series whose ratios equal Group ratios by construction.</w:t>
      </w:r>
    </w:p>
    <w:p>
      <w:pPr>
        <w:spacing w:after="110" w:line="257" w:lineRule="auto"/>
        <w:jc w:val="both"/>
      </w:pPr>
      <w:r>
        <w:rPr>
          <w:rFonts w:ascii="Times New Roman" w:hAnsi="Times New Roman" w:eastAsia="Times New Roman"/>
          <w:b w:val="0"/>
          <w:i w:val="0"/>
          <w:sz w:val="24"/>
        </w:rPr>
        <w:t>Tokopedia illustrates the separation. In 2022–2023, transaction value fell 8.9 percent while third-party net revenue rose 53.2 percent; 60.6 percent of the revenue increase reconciles to lower customer incentives and 39.4 percent to higher gross revenue. Its accounts show growth while its transactions show contraction. Blibli similarly reversed in 2024–2025: transaction value fell 1.89 percent and net revenue rose 12.07 percent. Its revenue components remain unreconciled.</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statistics give a different account of the same commerce, beginning with its level. BPS measures online sales reported by surveyed e-commerce businesses; Tokopedia reports GTV, while the external Shopee figure is a GMV estimate. For 2023, BPS places the marketplace component at Rp200.68 trillion, about US$13.2 billion, in its exclusive channel split, where marketplaces account for 18.2 percent of transaction value. Tokopedia's reported GTV and the external Shopee estimate total US$37.9 billion. Because channel attribution and reporting definitions differ, the records are not yet like-for-like. The thesis will reconcile those definitions before attributing any part of the difference to coverage.</w:t>
      </w:r>
    </w:p>
    <w:p>
      <w:pPr>
        <w:spacing w:after="110" w:line="257" w:lineRule="auto"/>
        <w:jc w:val="both"/>
      </w:pPr>
      <w:r>
        <w:rPr>
          <w:rFonts w:ascii="Times New Roman" w:hAnsi="Times New Roman" w:eastAsia="Times New Roman"/>
          <w:b w:val="0"/>
          <w:i w:val="0"/>
          <w:sz w:val="24"/>
        </w:rPr>
        <w:t>Growth can be compared more directly. Table 6 summarizes the evidence for H2–H4 and the payment context.</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sales per business +1.54%. The business count accounts for 90.29% of the increase (70.95% under BPS's other count)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businesses selling online (H2)</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channel +1.45%; other channels +20.57%; 98.46% of the increase is outside the marketplace channel</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Most measured growth occurs outside BPS's marketplace category (H4)</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recordkeeping (H3)</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payment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Quick Response Code Indonesian Standard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Context only: payment measures grow 1.8 to 11 times as fast, and also reflect adoption and substitution</w:t>
            </w:r>
          </w:p>
        </w:tc>
      </w:tr>
    </w:tbl>
    <w:p>
      <w:pPr>
        <w:spacing w:before="120" w:after="110" w:line="257" w:lineRule="auto"/>
        <w:jc w:val="both"/>
      </w:pPr>
      <w:r>
        <w:rPr>
          <w:rFonts w:ascii="Times New Roman" w:hAnsi="Times New Roman" w:eastAsia="Times New Roman"/>
          <w:b w:val="0"/>
          <w:i w:val="0"/>
          <w:sz w:val="24"/>
        </w:rPr>
        <w:t>BPS also reports widespread use of non-marketplace channels. In 2023, 95.33 percent of e-commerce businesses used instant messaging. In its multiple-response measure, where a business can report several channels, social media accounted for 44.04 percent of transaction value and marketplaces for 32.74 percent; that measure is not comparable with the exclusive 18.2 percent split above. These figures describe the 2023 channel structure rather than the allocation of 2023–2024 growth. The business-count split is arithmetic and the recordkeeping result is an association.</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supports each hypothesis: H1 through the six of eight comparisons in which revenue outgrew transaction value, H2 through the business-count share of growth, H3 through BPS's business-level comparison, and H4 through the different growth recorded within platforms and within the national channel split.</w:t>
      </w:r>
    </w:p>
    <w:p>
      <w:pPr>
        <w:spacing w:after="110" w:line="257" w:lineRule="auto"/>
        <w:jc w:val="both"/>
      </w:pPr>
      <w:r>
        <w:rPr>
          <w:rFonts w:ascii="Times New Roman" w:hAnsi="Times New Roman" w:eastAsia="Times New Roman"/>
          <w:b w:val="0"/>
          <w:i w:val="0"/>
          <w:sz w:val="24"/>
        </w:rPr>
        <w:t>Outside Indonesia, transaction value exceeds revenue in all eight businesses. In the 29 comparisons not affected by acquisitions or changes in reporting scope, revenue grew faster than transaction value in 22 and the measures moved in opposite directions in 4. The median gap is 7.1 percentage points, compared with 38.92 points in the Indonesian main sample. Among the marketplaces, monetization rates range from about 2.4 percent at Shopify to about 25 percent at Mercado Libre.</w:t>
      </w:r>
    </w:p>
    <w:p>
      <w:pPr>
        <w:spacing w:after="110" w:line="257" w:lineRule="auto"/>
        <w:jc w:val="both"/>
      </w:pPr>
      <w:r>
        <w:rPr>
          <w:rFonts w:ascii="Times New Roman" w:hAnsi="Times New Roman" w:eastAsia="Times New Roman"/>
          <w:b w:val="0"/>
          <w:i w:val="0"/>
          <w:sz w:val="24"/>
        </w:rPr>
        <w:t>PMK 37/2025 provides an administrative example. From 1 November 2026, the Directorate General of Taxes (DJP) requires designated marketplace operators to report seller-linked transactions and withhold tax. Those operators cannot yet be mapped directly to BPS's marketplace category; compliance and revenue effects remain outside this study.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Indonesia's digital economy is observed through platform accounts, transaction measures, national statistics and payment records, which disagree about scale and growth. Revenue alone can reverse the apparent direction of platform activity, while a marketplace measure can show a different trend from all e-commerce. The contribution is to identify which conclusions depend on the record selected and why no fixed conversion from platform revenue can recover the commerce underneath it.</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is descriptive. The main sample has three platforms, 11 platform-years and 8 comparisons, supporting description rather than statistical inference. Scope differs: Tokopedia is observed for two years, Blibli includes online travel, and Bukalapak reports at Group level. Grab and Shopee are constructed, their ratios contain no independent Indonesian information, and Shopee's revenue uses an assumed monetization rate. Section 5.2 also compares differently defined records whose disagreement is measured but not yet reconciled.</w:t>
      </w:r>
    </w:p>
    <w:p>
      <w:pPr>
        <w:spacing w:after="110" w:line="257" w:lineRule="auto"/>
        <w:jc w:val="both"/>
      </w:pPr>
      <w:r>
        <w:rPr>
          <w:rFonts w:ascii="Times New Roman" w:hAnsi="Times New Roman" w:eastAsia="Times New Roman"/>
          <w:b w:val="0"/>
          <w:i w:val="0"/>
          <w:sz w:val="24"/>
        </w:rPr>
        <w:t>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pairs show revenue and transaction value moving apart within platforms.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Independent Indonesian ratio evidence from the constructed Grab and Shopee series.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the sources and channels of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BPS and payment records disagree in level and growth.</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Which record, if any, contains measurement error, or that payment values measure sales.</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draws on designated operators' transaction records.</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Its coverage of the digital economy, or a compliance or tax-revenue effect.</w:t>
            </w:r>
          </w:p>
        </w:tc>
      </w:tr>
    </w:tbl>
    <w:p>
      <w:pPr>
        <w:spacing w:before="120" w:after="110" w:line="257" w:lineRule="auto"/>
        <w:jc w:val="both"/>
      </w:pPr>
      <w:r>
        <w:rPr>
          <w:rFonts w:ascii="Times New Roman" w:hAnsi="Times New Roman" w:eastAsia="Times New Roman"/>
          <w:b w:val="0"/>
          <w:i w:val="0"/>
          <w:sz w:val="24"/>
        </w:rPr>
        <w:t>Robustness is reported as sensitivity ranges: Shopee's assumed rate is varied, each platform is excluded in turn, the largest comparison is dropped, and the longitudinal result is restricted to issuer-reported pairs.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data and empirical framework are assembled. The remaining work will reconcile the definitions behind the BPS and platform levels, divide movements in the wedge into transaction-volume and monetization effects, test alternative admission rules, and complete the robustness checks.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examination feedback; finalize the treatment of broader-scope and constructed series.</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Reconcile BPS and platform definitions; divide wedge movements into volume and monetization effects; complete robustness checks; finalize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and the final citation and consistency review.</w:t>
            </w:r>
          </w:p>
        </w:tc>
      </w:tr>
    </w:tbl>
    <w:p>
      <w:pPr>
        <w:keepLines/>
        <w:spacing w:before="120" w:after="110" w:line="257" w:lineRule="auto"/>
        <w:jc w:val="both"/>
      </w:pPr>
      <w:r>
        <w:rPr>
          <w:rFonts w:ascii="Times New Roman" w:hAnsi="Times New Roman" w:eastAsia="Times New Roman"/>
          <w:b w:val="0"/>
          <w:i w:val="0"/>
          <w:sz w:val="24"/>
        </w:rPr>
        <w:t>Indonesia's digital economy is observed through several records that measure different objects. The preliminary evidence shows that those records disagree about its size, growth and, in some cases, direction. This thesis measures that disagreement, tests whether the relationship between revenue and transaction value remains stable, and identifies which conclusions depend on the record chosen.</w:t>
      </w:r>
    </w:p>
    <w:p>
      <w:pPr>
        <w:pStyle w:val="Heading1"/>
        <w:keepNext/>
        <w:spacing w:before="200" w:after="100"/>
        <w:jc w:val="left"/>
      </w:pPr>
      <w:r>
        <w:rPr>
          <w:rFonts w:ascii="Times New Roman" w:hAnsi="Times New Roman" w:eastAsia="Times New Roman"/>
          <w:b/>
          <w:i w:val="0"/>
          <w:sz w:val="24"/>
        </w:rPr>
        <w:t>Appendix A. Variables and Data Sources</w:t>
      </w:r>
    </w:p>
    <w:p>
      <w:pPr>
        <w:keepNext/>
        <w:keepLines/>
        <w:spacing w:before="80" w:after="70" w:line="240" w:lineRule="auto"/>
        <w:jc w:val="left"/>
      </w:pPr>
      <w:r>
        <w:rPr>
          <w:rFonts w:ascii="Times New Roman" w:hAnsi="Times New Roman" w:eastAsia="Times New Roman"/>
          <w:b/>
          <w:i/>
          <w:sz w:val="19"/>
        </w:rPr>
        <w:t>Table A1. Variable definitions and sources.</w:t>
      </w:r>
    </w:p>
    <w:tbl>
      <w:tblPr>
        <w:tblStyle w:val="TableGrid"/>
        <w:tblW w:type="auto" w:w="0"/>
        <w:jc w:val="center"/>
        <w:tblLayout w:type="fixed"/>
      </w:tblPr>
      <w:tblGrid>
        <w:gridCol w:w="2400"/>
        <w:gridCol w:w="4400"/>
        <w:gridCol w:w="2747"/>
      </w:tblGrid>
      <w:tr>
        <w:trPr>
          <w:tblHeader w:val="true"/>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Variable</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Definition</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Source</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processed through the platform in the period</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the platform recognizes for the same period and business scope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 = R / 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Monetization rate: the share of transaction value recognized as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 V − 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Invisible wedge: transaction value outside recognized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 = (V − R) / R = 1/t − 1</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Ecosystem Ratio: wedge per unit of revenue; constructed for this study</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 = g(R) − g(V)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revenue growth minus transaction-value growth</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 from consecutive years</w:t>
            </w:r>
          </w:p>
        </w:tc>
      </w:tr>
      <w:tr>
        <w:trPr>
          <w:cantSplit/>
        </w:trPr>
        <w:tc>
          <w:tcPr>
            <w:vAlign w:val="top"/>
            <w:tcW w:w="2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 = N × A</w:t>
            </w:r>
          </w:p>
        </w:tc>
        <w:tc>
          <w:tcPr>
            <w:vAlign w:val="top"/>
            <w:tcW w:w="4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National e-commerce value: number of businesses times sales per business</w:t>
            </w:r>
          </w:p>
        </w:tc>
        <w:tc>
          <w:tcPr>
            <w:vAlign w:val="top"/>
            <w:tcW w:w="27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BPS-Statistics Indonesia</w:t>
            </w:r>
          </w:p>
        </w:tc>
      </w:tr>
    </w:tbl>
    <w:p>
      <w:pPr>
        <w:keepLines/>
        <w:spacing w:before="120" w:after="110" w:line="257" w:lineRule="auto"/>
        <w:jc w:val="both"/>
      </w:pPr>
      <w:r>
        <w:rPr>
          <w:rFonts w:ascii="Times New Roman" w:hAnsi="Times New Roman" w:eastAsia="Times New Roman"/>
          <w:b w:val="0"/>
          <w:i w:val="0"/>
          <w:sz w:val="24"/>
        </w:rPr>
        <w:t>Table A1 defines each variable and says where it comes from. Table A2 traces each record to the filings and publications behind it.</w:t>
      </w:r>
    </w:p>
    <w:p>
      <w:pPr>
        <w:keepNext/>
        <w:spacing w:before="80" w:after="70" w:line="240" w:lineRule="auto"/>
        <w:jc w:val="left"/>
      </w:pPr>
      <w:r>
        <w:rPr>
          <w:rFonts w:ascii="Times New Roman" w:hAnsi="Times New Roman" w:eastAsia="Times New Roman"/>
          <w:b/>
          <w:i/>
          <w:sz w:val="19"/>
        </w:rPr>
        <w:t>Table A2.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channel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Exchange rate and GDP</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Bank</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Development Indicators, 2023</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Converts 2023 rupiah values; GDP scale comparison</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eBay, Etsy, Jumia, Mercado Libre, Rakuten, Sea, Shopify, Zalando</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110" w:line="25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p>
      <w:pPr>
        <w:pStyle w:val="Reference"/>
        <w:spacing w:before="0" w:after="12" w:line="240" w:lineRule="auto"/>
        <w:ind w:left="216" w:hanging="216"/>
        <w:jc w:val="left"/>
      </w:pPr>
      <w:r>
        <w:rPr>
          <w:rFonts w:ascii="Times New Roman" w:hAnsi="Times New Roman" w:cs="Times New Roman" w:eastAsia="Times New Roman"/>
          <w:sz w:val="21"/>
        </w:rPr>
        <w:t>World Bank. (n.d.). World Development Indicators: GDP (current US$) and official exchange rate (LCU per US$, period average), Indonesia. Washington, DC: World Bank.</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