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keepNext/>
        <w:jc w:val="center"/>
      </w:pPr>
      <w:r>
        <w:rPr>
          <w:rFonts w:ascii="Times New Roman" w:hAnsi="Times New Roman" w:cs="Times New Roman" w:eastAsia="Times New Roman"/>
          <w:b/>
          <w:sz w:val="24"/>
        </w:rPr>
        <w:t>碩士論文計畫書</w:t>
        <w:br/>
        <w:t>MASTER'S THESIS PROPOSAL</w:t>
      </w:r>
    </w:p>
    <w:p/>
    <w:p>
      <w:pPr>
        <w:keepNext/>
        <w:jc w:val="center"/>
      </w:pPr>
      <w:r>
        <w:rPr>
          <w:rFonts w:ascii="Times New Roman" w:hAnsi="Times New Roman" w:cs="Times New Roman" w:eastAsia="Times New Roman"/>
          <w:b/>
          <w:sz w:val="24"/>
        </w:rPr>
        <w:t>隱形帳簿：量化印尼平台交易額與平台收入之差距</w:t>
      </w:r>
    </w:p>
    <w:p>
      <w:pPr>
        <w:keepNext/>
        <w:jc w:val="center"/>
      </w:pPr>
      <w:r>
        <w:rPr>
          <w:rFonts w:ascii="Times New Roman" w:hAnsi="Times New Roman" w:cs="Times New Roman" w:eastAsia="Times New Roman"/>
          <w:b/>
          <w:sz w:val="24"/>
        </w:rPr>
        <w:t>The Invisible Ledger: Quantifying Indonesia's Platform Transaction-Revenue Gap</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eastAsia="Times New Roman"/>
          <w:sz w:val="24"/>
        </w:rPr>
        <w:br w:type="page"/>
      </w:r>
    </w:p>
    <w:p>
      <w:pPr>
        <w:pStyle w:val="Heading1"/>
        <w:keepNext/>
      </w:pPr>
      <w:r>
        <w:rPr>
          <w:rFonts w:ascii="Times New Roman" w:hAnsi="Times New Roman" w:eastAsia="Times New Roman"/>
          <w:b/>
          <w:sz w:val="24"/>
        </w:rPr>
        <w:t>1. Research Background and Motivation</w:t>
      </w:r>
    </w:p>
    <w:p>
      <w:pPr>
        <w:spacing w:after="80"/>
        <w:jc w:val="both"/>
      </w:pPr>
      <w:r>
        <w:rPr>
          <w:rFonts w:ascii="Times New Roman" w:hAnsi="Times New Roman" w:eastAsia="Times New Roman"/>
          <w:b w:val="0"/>
          <w:i w:val="0"/>
          <w:sz w:val="24"/>
        </w:rPr>
        <w:t>Southeast Asia's digital economy grew from $98 billion in 2020 to $263 billion in 2024 (Google, Temasek and Bain 2024). Platform scale, however, is not the same as tax-administrative visibility. Platforms record transactions, determine participant payouts, and book their own revenue, while the gross receipts earned by merchants, drivers, and other participants may remain outside routine third-party income reporting. I call this administrative information gap the "invisible wedge." The empirical question is whether this digitally recorded but separately reported flow is large enough to matter for tax administration.</w:t>
      </w:r>
    </w:p>
    <w:p>
      <w:pPr>
        <w:spacing w:after="80"/>
        <w:jc w:val="both"/>
      </w:pPr>
      <w:r>
        <w:rPr>
          <w:rFonts w:ascii="Times New Roman" w:hAnsi="Times New Roman" w:eastAsia="Times New Roman"/>
          <w:b w:val="0"/>
          <w:i w:val="0"/>
          <w:sz w:val="24"/>
        </w:rPr>
        <w:t>Invisible does not mean hidden or illegal. It means the platform records the transaction, but the participant's gross receipts may still sit outside routine third-party reporting. Suppose a platform processes 100 units of transaction value and books 10 as its own revenue. The remaining 90 is still in the platform's records, but it is not platform revenue. It may include merchant receipts, service-provider payouts, inventory costs, taxes, and other pass-through amounts. The paper measures this gap; it does not treat the 90 as profit, taxable income, or unpaid tax.</w:t>
      </w:r>
    </w:p>
    <w:p>
      <w:pPr>
        <w:spacing w:after="80"/>
        <w:jc w:val="both"/>
      </w:pPr>
      <w:r>
        <w:rPr>
          <w:rFonts w:ascii="Times New Roman" w:hAnsi="Times New Roman" w:eastAsia="Times New Roman"/>
          <w:b w:val="0"/>
          <w:i w:val="0"/>
          <w:sz w:val="24"/>
        </w:rPr>
        <w:t>The Ecosystem Ratio is a simple way to size the wedge. If V is transaction value and R is platform revenue, E = (V - R) / R. A value of 9 means that 9 units sit outside platform revenue for every 1 unit the platform books. I also compare how V and R grow each year. If they move farther apart, the wedge is growing; if one rises while the other falls, the split is especially clear.</w:t>
      </w:r>
    </w:p>
    <w:p>
      <w:pPr>
        <w:spacing w:after="80"/>
        <w:jc w:val="both"/>
      </w:pPr>
      <w:r>
        <w:rPr>
          <w:rFonts w:ascii="Times New Roman" w:hAnsi="Times New Roman" w:eastAsia="Times New Roman"/>
          <w:b w:val="0"/>
          <w:i w:val="0"/>
          <w:sz w:val="24"/>
        </w:rPr>
        <w:t>Indonesia lets the paper follow the same problem from the platform to the tax authority. Company filings show transaction value and revenue. BPS shows e-commerce value, businesses, sales channels, and recordkeeping. Bank Indonesia shows the payment systems carrying digital transactions. PMK 37/2025 and DJP materials show how marketplace records can be tied to seller reporting and withholding.</w:t>
      </w:r>
    </w:p>
    <w:p>
      <w:pPr>
        <w:spacing w:after="80"/>
        <w:jc w:val="both"/>
      </w:pPr>
      <w:r>
        <w:rPr>
          <w:rFonts w:ascii="Times New Roman" w:hAnsi="Times New Roman" w:eastAsia="Times New Roman"/>
          <w:b/>
          <w:i/>
          <w:sz w:val="24"/>
        </w:rPr>
        <w:t>The central research question is: How large is the invisible wedge in Indonesia, and how does it change over time? What makes it change, and how much of the activity already recorded by platforms reaches routine third-party reporting and tax administration?</w:t>
      </w:r>
    </w:p>
    <w:p>
      <w:pPr>
        <w:pStyle w:val="Heading2"/>
        <w:keepNext/>
      </w:pPr>
      <w:r>
        <w:rPr>
          <w:rFonts w:ascii="Times New Roman" w:hAnsi="Times New Roman" w:eastAsia="Times New Roman"/>
          <w:b/>
          <w:sz w:val="24"/>
        </w:rPr>
        <w:t>1.1 Contributions</w:t>
      </w:r>
    </w:p>
    <w:p>
      <w:pPr>
        <w:spacing w:after="80"/>
        <w:jc w:val="both"/>
      </w:pPr>
      <w:r>
        <w:rPr>
          <w:rFonts w:ascii="Times New Roman" w:hAnsi="Times New Roman" w:eastAsia="Times New Roman"/>
          <w:b w:val="0"/>
          <w:i w:val="0"/>
          <w:sz w:val="24"/>
        </w:rPr>
        <w:t>This study makes three main contributions. First, it measures the invisible wedge over time in Indonesia. The Ecosystem Ratio shows the size of the gap relative to platform revenue, while year-to-year transaction and revenue growth show whether the gap is getting larger or smaller.</w:t>
      </w:r>
    </w:p>
    <w:p>
      <w:pPr>
        <w:spacing w:after="80"/>
        <w:jc w:val="both"/>
      </w:pPr>
      <w:r>
        <w:rPr>
          <w:rFonts w:ascii="Times New Roman" w:hAnsi="Times New Roman" w:eastAsia="Times New Roman"/>
          <w:b w:val="0"/>
          <w:i w:val="0"/>
          <w:sz w:val="24"/>
        </w:rPr>
        <w:t>Second, the thesis explains why the gap moves. Company disclosures show whether changes come from monetization, customer incentives, gross-versus-net revenue recognition, or changes in business scope.</w:t>
      </w:r>
    </w:p>
    <w:p>
      <w:pPr>
        <w:spacing w:after="80"/>
        <w:jc w:val="both"/>
      </w:pPr>
      <w:r>
        <w:rPr>
          <w:rFonts w:ascii="Times New Roman" w:hAnsi="Times New Roman" w:eastAsia="Times New Roman"/>
          <w:b w:val="0"/>
          <w:i w:val="0"/>
          <w:sz w:val="24"/>
        </w:rPr>
        <w:t>Third, the thesis connects the accounting gap to business records and tax administration. BPS shows where e-commerce activity and recordkeeping sit outside platform accounts. PMK/DJP shows how seller and transaction records held by marketplaces can enter reporting and withholding. Together, the thesis measures the gap, explains it, and follows the information toward the tax system.</w:t>
      </w:r>
    </w:p>
    <w:p>
      <w:pPr>
        <w:pStyle w:val="Heading1"/>
        <w:keepNext/>
      </w:pPr>
      <w:r>
        <w:rPr>
          <w:rFonts w:ascii="Times New Roman" w:hAnsi="Times New Roman" w:eastAsia="Times New Roman"/>
          <w:b/>
          <w:sz w:val="24"/>
        </w:rPr>
        <w:t>2. Research Question and Objectives</w:t>
      </w:r>
    </w:p>
    <w:p>
      <w:pPr>
        <w:spacing w:after="80"/>
        <w:jc w:val="both"/>
      </w:pPr>
      <w:r>
        <w:rPr>
          <w:rFonts w:ascii="Times New Roman" w:hAnsi="Times New Roman" w:eastAsia="Times New Roman"/>
          <w:b w:val="0"/>
          <w:i w:val="0"/>
          <w:sz w:val="24"/>
        </w:rPr>
        <w:t>One question drives the proposal. Three objectives answer it: measure the wedge, explain why it moves, and examine how platform records connect to tax administration.</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val="true"/>
        </w:trPr>
        <w:tc>
          <w:tcPr>
            <w:tcW w:type="dxa" w:w="3288"/>
            <w:vAlign w:val="center"/>
            <w:tcMar>
              <w:top w:w="50" w:type="dxa"/>
              <w:start w:w="70" w:type="dxa"/>
              <w:bottom w:w="50" w:type="dxa"/>
              <w:end w:w="70" w:type="dxa"/>
            </w:tcMar>
          </w:tcPr>
          <w:p>
            <w:r>
              <w:rPr>
                <w:rFonts w:ascii="Times New Roman" w:hAnsi="Times New Roman" w:eastAsia="Times New Roman"/>
                <w:b/>
                <w:sz w:val="24"/>
              </w:rPr>
              <w:t>Research element</w:t>
            </w:r>
          </w:p>
        </w:tc>
        <w:tc>
          <w:tcPr>
            <w:tcW w:type="dxa" w:w="3118"/>
            <w:vAlign w:val="center"/>
            <w:tcMar>
              <w:top w:w="50" w:type="dxa"/>
              <w:start w:w="70" w:type="dxa"/>
              <w:bottom w:w="50" w:type="dxa"/>
              <w:end w:w="70" w:type="dxa"/>
            </w:tcMar>
          </w:tcPr>
          <w:p>
            <w:r>
              <w:rPr>
                <w:rFonts w:ascii="Times New Roman" w:hAnsi="Times New Roman" w:eastAsia="Times New Roman"/>
                <w:b/>
                <w:sz w:val="24"/>
              </w:rPr>
              <w:t>Question / objective</w:t>
            </w:r>
          </w:p>
        </w:tc>
        <w:tc>
          <w:tcPr>
            <w:tcW w:type="dxa" w:w="3005"/>
            <w:vAlign w:val="center"/>
            <w:tcMar>
              <w:top w:w="50" w:type="dxa"/>
              <w:start w:w="70" w:type="dxa"/>
              <w:bottom w:w="50" w:type="dxa"/>
              <w:end w:w="70" w:type="dxa"/>
            </w:tcMar>
          </w:tcPr>
          <w:p>
            <w:r>
              <w:rPr>
                <w:rFonts w:ascii="Times New Roman" w:hAnsi="Times New Roman" w:eastAsia="Times New Roman"/>
                <w:b/>
                <w:sz w:val="24"/>
              </w:rPr>
              <w:t>Primary evidence</w:t>
            </w:r>
          </w:p>
        </w:tc>
      </w:tr>
      <w:tr>
        <w:trPr>
          <w:cantSplit/>
        </w:trPr>
        <w:tc>
          <w:tcPr>
            <w:tcW w:type="dxa" w:w="3288"/>
            <w:vAlign w:val="center"/>
            <w:tcMar>
              <w:top w:w="50" w:type="dxa"/>
              <w:start w:w="70" w:type="dxa"/>
              <w:bottom w:w="50" w:type="dxa"/>
              <w:end w:w="70" w:type="dxa"/>
            </w:tcMar>
          </w:tcPr>
          <w:p>
            <w:r>
              <w:rPr>
                <w:rFonts w:ascii="Times New Roman" w:hAnsi="Times New Roman" w:eastAsia="Times New Roman"/>
                <w:sz w:val="24"/>
              </w:rPr>
              <w:t>Main question</w:t>
            </w:r>
          </w:p>
        </w:tc>
        <w:tc>
          <w:tcPr>
            <w:tcW w:type="dxa" w:w="3118"/>
            <w:vAlign w:val="center"/>
            <w:tcMar>
              <w:top w:w="50" w:type="dxa"/>
              <w:start w:w="70" w:type="dxa"/>
              <w:bottom w:w="50" w:type="dxa"/>
              <w:end w:w="70" w:type="dxa"/>
            </w:tcMar>
          </w:tcPr>
          <w:p>
            <w:r>
              <w:rPr>
                <w:rFonts w:ascii="Times New Roman" w:hAnsi="Times New Roman" w:eastAsia="Times New Roman"/>
                <w:sz w:val="24"/>
              </w:rPr>
              <w:t>How large is the invisible wedge in Indonesia, how does it change over time, and what drives the change?</w:t>
            </w:r>
          </w:p>
        </w:tc>
        <w:tc>
          <w:tcPr>
            <w:tcW w:type="dxa" w:w="3005"/>
            <w:vAlign w:val="center"/>
            <w:tcMar>
              <w:top w:w="50" w:type="dxa"/>
              <w:start w:w="70" w:type="dxa"/>
              <w:bottom w:w="50" w:type="dxa"/>
              <w:end w:w="70" w:type="dxa"/>
            </w:tcMar>
          </w:tcPr>
          <w:p>
            <w:r>
              <w:rPr>
                <w:rFonts w:ascii="Times New Roman" w:hAnsi="Times New Roman" w:eastAsia="Times New Roman"/>
                <w:sz w:val="24"/>
              </w:rPr>
              <w:t>Platform transaction value and revenue</w:t>
            </w:r>
          </w:p>
        </w:tc>
      </w:tr>
      <w:tr>
        <w:trPr>
          <w:cantSplit/>
        </w:trPr>
        <w:tc>
          <w:tcPr>
            <w:tcW w:type="dxa" w:w="3288"/>
            <w:vAlign w:val="center"/>
            <w:tcMar>
              <w:top w:w="50" w:type="dxa"/>
              <w:start w:w="70" w:type="dxa"/>
              <w:bottom w:w="50" w:type="dxa"/>
              <w:end w:w="70" w:type="dxa"/>
            </w:tcMar>
          </w:tcPr>
          <w:p>
            <w:r>
              <w:rPr>
                <w:rFonts w:ascii="Times New Roman" w:hAnsi="Times New Roman" w:eastAsia="Times New Roman"/>
                <w:sz w:val="24"/>
              </w:rPr>
              <w:t>Objective 1 - Measure</w:t>
            </w:r>
          </w:p>
        </w:tc>
        <w:tc>
          <w:tcPr>
            <w:tcW w:type="dxa" w:w="3118"/>
            <w:vAlign w:val="center"/>
            <w:tcMar>
              <w:top w:w="50" w:type="dxa"/>
              <w:start w:w="70" w:type="dxa"/>
              <w:bottom w:w="50" w:type="dxa"/>
              <w:end w:w="70" w:type="dxa"/>
            </w:tcMar>
          </w:tcPr>
          <w:p>
            <w:r>
              <w:rPr>
                <w:rFonts w:ascii="Times New Roman" w:hAnsi="Times New Roman" w:eastAsia="Times New Roman"/>
                <w:sz w:val="24"/>
              </w:rPr>
              <w:t>Measure the wedge and track it over time.</w:t>
            </w:r>
          </w:p>
        </w:tc>
        <w:tc>
          <w:tcPr>
            <w:tcW w:type="dxa" w:w="3005"/>
            <w:vAlign w:val="center"/>
            <w:tcMar>
              <w:top w:w="50" w:type="dxa"/>
              <w:start w:w="70" w:type="dxa"/>
              <w:bottom w:w="50" w:type="dxa"/>
              <w:end w:w="70" w:type="dxa"/>
            </w:tcMar>
          </w:tcPr>
          <w:p>
            <w:r>
              <w:rPr>
                <w:rFonts w:ascii="Times New Roman" w:hAnsi="Times New Roman" w:eastAsia="Times New Roman"/>
                <w:sz w:val="24"/>
              </w:rPr>
              <w:t>W, Ecosystem Ratio E, growth difference D</w:t>
            </w:r>
          </w:p>
        </w:tc>
      </w:tr>
      <w:tr>
        <w:trPr>
          <w:cantSplit/>
        </w:trPr>
        <w:tc>
          <w:tcPr>
            <w:tcW w:type="dxa" w:w="3288"/>
            <w:vAlign w:val="center"/>
            <w:tcMar>
              <w:top w:w="50" w:type="dxa"/>
              <w:start w:w="70" w:type="dxa"/>
              <w:bottom w:w="50" w:type="dxa"/>
              <w:end w:w="70" w:type="dxa"/>
            </w:tcMar>
          </w:tcPr>
          <w:p>
            <w:r>
              <w:rPr>
                <w:rFonts w:ascii="Times New Roman" w:hAnsi="Times New Roman" w:eastAsia="Times New Roman"/>
                <w:sz w:val="24"/>
              </w:rPr>
              <w:t>Objective 2 - Explain</w:t>
            </w:r>
          </w:p>
        </w:tc>
        <w:tc>
          <w:tcPr>
            <w:tcW w:type="dxa" w:w="3118"/>
            <w:vAlign w:val="center"/>
            <w:tcMar>
              <w:top w:w="50" w:type="dxa"/>
              <w:start w:w="70" w:type="dxa"/>
              <w:bottom w:w="50" w:type="dxa"/>
              <w:end w:w="70" w:type="dxa"/>
            </w:tcMar>
          </w:tcPr>
          <w:p>
            <w:r>
              <w:rPr>
                <w:rFonts w:ascii="Times New Roman" w:hAnsi="Times New Roman" w:eastAsia="Times New Roman"/>
                <w:sz w:val="24"/>
              </w:rPr>
              <w:t>Explain why transaction value and platform revenue move differently.</w:t>
            </w:r>
          </w:p>
        </w:tc>
        <w:tc>
          <w:tcPr>
            <w:tcW w:type="dxa" w:w="3005"/>
            <w:vAlign w:val="center"/>
            <w:tcMar>
              <w:top w:w="50" w:type="dxa"/>
              <w:start w:w="70" w:type="dxa"/>
              <w:bottom w:w="50" w:type="dxa"/>
              <w:end w:w="70" w:type="dxa"/>
            </w:tcMar>
          </w:tcPr>
          <w:p>
            <w:r>
              <w:rPr>
                <w:rFonts w:ascii="Times New Roman" w:hAnsi="Times New Roman" w:eastAsia="Times New Roman"/>
                <w:sz w:val="24"/>
              </w:rPr>
              <w:t>Incentives, monetization, gross/net revenue, business scope</w:t>
            </w:r>
          </w:p>
        </w:tc>
      </w:tr>
      <w:tr>
        <w:trPr>
          <w:cantSplit/>
        </w:trPr>
        <w:tc>
          <w:tcPr>
            <w:tcW w:type="dxa" w:w="3288"/>
            <w:vAlign w:val="center"/>
            <w:tcMar>
              <w:top w:w="50" w:type="dxa"/>
              <w:start w:w="70" w:type="dxa"/>
              <w:bottom w:w="50" w:type="dxa"/>
              <w:end w:w="70" w:type="dxa"/>
            </w:tcMar>
          </w:tcPr>
          <w:p>
            <w:r>
              <w:rPr>
                <w:rFonts w:ascii="Times New Roman" w:hAnsi="Times New Roman" w:eastAsia="Times New Roman"/>
                <w:sz w:val="24"/>
              </w:rPr>
              <w:t>Objective 3 - Tax relevance</w:t>
            </w:r>
          </w:p>
        </w:tc>
        <w:tc>
          <w:tcPr>
            <w:tcW w:type="dxa" w:w="3118"/>
            <w:vAlign w:val="center"/>
            <w:tcMar>
              <w:top w:w="50" w:type="dxa"/>
              <w:start w:w="70" w:type="dxa"/>
              <w:bottom w:w="50" w:type="dxa"/>
              <w:end w:w="70" w:type="dxa"/>
            </w:tcMar>
          </w:tcPr>
          <w:p>
            <w:r>
              <w:rPr>
                <w:rFonts w:ascii="Times New Roman" w:hAnsi="Times New Roman" w:eastAsia="Times New Roman"/>
                <w:sz w:val="24"/>
              </w:rPr>
              <w:t>Show where activity outside platform revenue appears and how platform records enter tax administration.</w:t>
            </w:r>
          </w:p>
        </w:tc>
        <w:tc>
          <w:tcPr>
            <w:tcW w:type="dxa" w:w="3005"/>
            <w:vAlign w:val="center"/>
            <w:tcMar>
              <w:top w:w="50" w:type="dxa"/>
              <w:start w:w="70" w:type="dxa"/>
              <w:bottom w:w="50" w:type="dxa"/>
              <w:end w:w="70" w:type="dxa"/>
            </w:tcMar>
          </w:tcPr>
          <w:p>
            <w:r>
              <w:rPr>
                <w:rFonts w:ascii="Times New Roman" w:hAnsi="Times New Roman" w:eastAsia="Times New Roman"/>
                <w:sz w:val="24"/>
              </w:rPr>
              <w:t>BPS, Bank Indonesia, PMK 37/2025, DJP materials</w:t>
            </w:r>
          </w:p>
        </w:tc>
      </w:tr>
    </w:tbl>
    <w:p>
      <w:pPr>
        <w:spacing w:after="80"/>
        <w:jc w:val="both"/>
      </w:pPr>
      <w:r>
        <w:rPr>
          <w:rFonts w:ascii="Times New Roman" w:hAnsi="Times New Roman" w:eastAsia="Times New Roman"/>
          <w:b w:val="0"/>
          <w:i w:val="0"/>
          <w:sz w:val="24"/>
        </w:rPr>
        <w:t>All three objectives study the same invisible wedge at a different step in the process.</w:t>
      </w:r>
    </w:p>
    <w:p>
      <w:pPr>
        <w:pStyle w:val="Heading1"/>
        <w:keepNext/>
      </w:pPr>
      <w:r>
        <w:rPr>
          <w:rFonts w:ascii="Times New Roman" w:hAnsi="Times New Roman" w:eastAsia="Times New Roman"/>
          <w:b/>
          <w:sz w:val="24"/>
        </w:rPr>
        <w:t>3. Literature Review and Research Gap</w:t>
      </w:r>
    </w:p>
    <w:p>
      <w:pPr>
        <w:pStyle w:val="Heading2"/>
        <w:keepNext/>
      </w:pPr>
      <w:r>
        <w:rPr>
          <w:rFonts w:ascii="Times New Roman" w:hAnsi="Times New Roman" w:eastAsia="Times New Roman"/>
          <w:b/>
          <w:sz w:val="24"/>
        </w:rPr>
        <w:t>3.1 Platform economics and the location of value</w:t>
      </w:r>
    </w:p>
    <w:p>
      <w:pPr>
        <w:spacing w:after="80"/>
        <w:jc w:val="both"/>
      </w:pPr>
      <w:r>
        <w:rPr>
          <w:rFonts w:ascii="Times New Roman" w:hAnsi="Times New Roman" w:eastAsia="Times New Roman"/>
          <w:b w:val="0"/>
          <w:i w:val="0"/>
          <w:sz w:val="24"/>
        </w:rPr>
        <w:t>Multisided platforms connect different groups of users. They usually keep only a fee or commission from the transactions they help create. Platform pricing reflects network effects and participation rather than a simple resale markup (Rochet &amp; Tirole, 2003; Caillaud &amp; Jullien, 2003; Parker &amp; Van Alstyne, 2005; Armstrong, 2006; Hagiu &amp; Wright, 2015). This is why a platform can handle very large transaction volumes while booking much smaller revenue. That gap is the basic economic source of the invisible wedge.</w:t>
      </w:r>
    </w:p>
    <w:p>
      <w:pPr>
        <w:pStyle w:val="Heading2"/>
        <w:keepNext/>
      </w:pPr>
      <w:r>
        <w:rPr>
          <w:rFonts w:ascii="Times New Roman" w:hAnsi="Times New Roman" w:eastAsia="Times New Roman"/>
          <w:b/>
          <w:sz w:val="24"/>
        </w:rPr>
        <w:t>3.2 How accounting changes the wedge</w:t>
      </w:r>
    </w:p>
    <w:p>
      <w:pPr>
        <w:spacing w:after="80"/>
        <w:jc w:val="both"/>
      </w:pPr>
      <w:r>
        <w:rPr>
          <w:rFonts w:ascii="Times New Roman" w:hAnsi="Times New Roman" w:eastAsia="Times New Roman"/>
          <w:b w:val="0"/>
          <w:i w:val="0"/>
          <w:sz w:val="24"/>
        </w:rPr>
        <w:t>Accounting rules decide how much of that transaction activity becomes platform revenue. Under IFRS 15, principal-agent treatment affects whether revenue is reported gross or net. Customer incentives, monetization, acquisitions, and changes in business scope can also move revenue without an equal change in transaction activity. These factors shape the measured wedge.</w:t>
      </w:r>
    </w:p>
    <w:p>
      <w:pPr>
        <w:pStyle w:val="Heading2"/>
        <w:keepNext/>
      </w:pPr>
      <w:r>
        <w:rPr>
          <w:rFonts w:ascii="Times New Roman" w:hAnsi="Times New Roman" w:eastAsia="Times New Roman"/>
          <w:b/>
          <w:sz w:val="24"/>
        </w:rPr>
        <w:t>3.3 Informality, platform work, and measurement</w:t>
      </w:r>
    </w:p>
    <w:p>
      <w:pPr>
        <w:spacing w:after="80"/>
        <w:jc w:val="both"/>
      </w:pPr>
      <w:r>
        <w:rPr>
          <w:rFonts w:ascii="Times New Roman" w:hAnsi="Times New Roman" w:eastAsia="Times New Roman"/>
          <w:b w:val="0"/>
          <w:i w:val="0"/>
          <w:sz w:val="24"/>
        </w:rPr>
        <w:t>Research on informality shows that registration, bookkeeping, and off-the-books activity are different issues (Medina &amp; Schneider, 2019; La Porta &amp; Shleifer, 2014; Ulyssea, 2018). Platform workers and sellers sit in an unusual middle ground. Their transactions can be priced, recorded, and settled by a formal platform even when the participant is self-employed, unregistered, below filing thresholds, or outside automatic reporting. The paper is not measuring the shadow economy as a whole. It is measuring a digital flow that the platform already records but the tax system may still wait for the participant to report.</w:t>
      </w:r>
    </w:p>
    <w:p>
      <w:pPr>
        <w:pStyle w:val="Heading2"/>
        <w:keepNext/>
      </w:pPr>
      <w:r>
        <w:rPr>
          <w:rFonts w:ascii="Times New Roman" w:hAnsi="Times New Roman" w:eastAsia="Times New Roman"/>
          <w:b/>
          <w:sz w:val="24"/>
        </w:rPr>
        <w:t>3.4 Why third-party reporting matters</w:t>
      </w:r>
    </w:p>
    <w:p>
      <w:pPr>
        <w:spacing w:after="80"/>
        <w:jc w:val="both"/>
      </w:pPr>
      <w:r>
        <w:rPr>
          <w:rFonts w:ascii="Times New Roman" w:hAnsi="Times New Roman" w:eastAsia="Times New Roman"/>
          <w:b w:val="0"/>
          <w:i w:val="0"/>
          <w:sz w:val="24"/>
        </w:rPr>
        <w:t>Public-finance research shows that third-party information makes tax enforcement stronger. Third-party records make it harder for income to rely only on self-reporting, while transaction records create a paper trail for verification (Kleven et al., 2011; Pomeranz, 2015). Kleven, Kreiner and Saez (2016) describe firms that provide these records as fiscal intermediaries. Platforms are especially important because the transaction record already exists. The question is whether that record identifies the seller or worker and reaches the tax authority.</w:t>
      </w:r>
    </w:p>
    <w:p>
      <w:pPr>
        <w:pStyle w:val="Heading2"/>
        <w:keepNext/>
      </w:pPr>
      <w:r>
        <w:rPr>
          <w:rFonts w:ascii="Times New Roman" w:hAnsi="Times New Roman" w:eastAsia="Times New Roman"/>
          <w:b/>
          <w:sz w:val="24"/>
        </w:rPr>
        <w:t>3.5 Platform-reporting rules</w:t>
      </w:r>
    </w:p>
    <w:p>
      <w:pPr>
        <w:spacing w:after="80"/>
        <w:jc w:val="both"/>
      </w:pPr>
      <w:r>
        <w:rPr>
          <w:rFonts w:ascii="Times New Roman" w:hAnsi="Times New Roman" w:eastAsia="Times New Roman"/>
          <w:b w:val="0"/>
          <w:i w:val="0"/>
          <w:sz w:val="24"/>
        </w:rPr>
        <w:t>Corporate digital taxes and seller reporting are different things. OECD platform-reporting rules and the European Union's DAC7 regime require platforms to collect and report seller information without treating the platform's own revenue as the seller's tax base. Indonesia's PMK 37/2025 applies the same logic through seller identification, transaction-linked reporting, and marketplace withholding.</w:t>
      </w:r>
    </w:p>
    <w:p>
      <w:pPr>
        <w:pStyle w:val="Heading2"/>
        <w:keepNext/>
      </w:pPr>
      <w:r>
        <w:rPr>
          <w:rFonts w:ascii="Times New Roman" w:hAnsi="Times New Roman" w:eastAsia="Times New Roman"/>
          <w:b/>
          <w:sz w:val="24"/>
        </w:rPr>
        <w:t>3.6 Research gap</w:t>
      </w:r>
    </w:p>
    <w:p>
      <w:pPr>
        <w:spacing w:after="80"/>
        <w:jc w:val="both"/>
      </w:pPr>
      <w:r>
        <w:rPr>
          <w:rFonts w:ascii="Times New Roman" w:hAnsi="Times New Roman" w:eastAsia="Times New Roman"/>
          <w:b w:val="0"/>
          <w:i w:val="0"/>
          <w:sz w:val="24"/>
        </w:rPr>
        <w:t>These literatures explain why the wedge exists and why platform records matter. What is still missing is a study that tracks the wedge over time, explains why it changes, and links the activity outside platform revenue to the reporting rules that can bring it into tax administration.</w:t>
      </w:r>
    </w:p>
    <w:p>
      <w:pPr>
        <w:pStyle w:val="Heading1"/>
        <w:keepNext/>
      </w:pPr>
      <w:r>
        <w:rPr>
          <w:rFonts w:ascii="Times New Roman" w:hAnsi="Times New Roman" w:eastAsia="Times New Roman"/>
          <w:b/>
          <w:sz w:val="24"/>
        </w:rPr>
        <w:t>4. Theoretical Framework: The Invisible Wedge and Ecosystem Ratio</w:t>
      </w:r>
    </w:p>
    <w:p>
      <w:pPr>
        <w:spacing w:after="80"/>
        <w:jc w:val="both"/>
      </w:pPr>
      <w:r>
        <w:rPr>
          <w:rFonts w:ascii="Times New Roman" w:hAnsi="Times New Roman" w:eastAsia="Times New Roman"/>
          <w:b w:val="0"/>
          <w:i w:val="0"/>
          <w:sz w:val="24"/>
        </w:rPr>
        <w:t>The framework starts with the same 100/10/90 example. If a platform processes 100 units of transaction value and books 10 as revenue, 90 units sit outside the platform's own revenue. The Ecosystem Ratio turns that gap into a simple number.</w:t>
      </w:r>
    </w:p>
    <w:p>
      <w:pPr>
        <w:spacing w:before="40" w:after="40"/>
        <w:jc w:val="center"/>
      </w:pPr>
      <w:r>
        <w:rPr>
          <w:rFonts w:ascii="Times New Roman" w:hAnsi="Times New Roman" w:eastAsia="Times New Roman"/>
          <w:i/>
          <w:sz w:val="24"/>
        </w:rPr>
        <w:t>W</w:t>
      </w:r>
      <w:r>
        <w:rPr>
          <w:rFonts w:ascii="Times New Roman" w:hAnsi="Times New Roman" w:eastAsia="Times New Roman"/>
          <w:i/>
          <w:sz w:val="24"/>
          <w:vertAlign w:val="subscript"/>
        </w:rPr>
        <w:t>it</w:t>
      </w:r>
      <w:r>
        <w:rPr>
          <w:rFonts w:ascii="Times New Roman" w:hAnsi="Times New Roman" w:eastAsia="Times New Roman"/>
          <w:i w:val="0"/>
          <w:sz w:val="24"/>
        </w:rPr>
        <w:t xml:space="preserve"> = </w:t>
      </w:r>
      <w:r>
        <w:rPr>
          <w:rFonts w:ascii="Times New Roman" w:hAnsi="Times New Roman" w:eastAsia="Times New Roman"/>
          <w:i/>
          <w:sz w:val="24"/>
        </w:rPr>
        <w:t>V</w:t>
      </w:r>
      <w:r>
        <w:rPr>
          <w:rFonts w:ascii="Times New Roman" w:hAnsi="Times New Roman" w:eastAsia="Times New Roman"/>
          <w:i/>
          <w:sz w:val="24"/>
          <w:vertAlign w:val="subscript"/>
        </w:rPr>
        <w:t>it</w:t>
      </w:r>
      <w:r>
        <w:rPr>
          <w:rFonts w:ascii="Times New Roman" w:hAnsi="Times New Roman" w:eastAsia="Times New Roman"/>
          <w:i w:val="0"/>
          <w:sz w:val="24"/>
        </w:rPr>
        <w:t xml:space="preserve"> - </w:t>
      </w:r>
      <w:r>
        <w:rPr>
          <w:rFonts w:ascii="Times New Roman" w:hAnsi="Times New Roman" w:eastAsia="Times New Roman"/>
          <w:i/>
          <w:sz w:val="24"/>
        </w:rPr>
        <w:t>R</w:t>
      </w:r>
      <w:r>
        <w:rPr>
          <w:rFonts w:ascii="Times New Roman" w:hAnsi="Times New Roman" w:eastAsia="Times New Roman"/>
          <w:i/>
          <w:sz w:val="24"/>
          <w:vertAlign w:val="subscript"/>
        </w:rPr>
        <w:t>it</w:t>
      </w:r>
    </w:p>
    <w:p>
      <w:pPr>
        <w:spacing w:before="40" w:after="40"/>
        <w:jc w:val="center"/>
      </w:pPr>
      <w:r>
        <w:rPr>
          <w:rFonts w:ascii="Times New Roman" w:hAnsi="Times New Roman" w:eastAsia="Times New Roman"/>
          <w:i/>
          <w:sz w:val="24"/>
        </w:rPr>
        <w:t>E</w:t>
      </w:r>
      <w:r>
        <w:rPr>
          <w:rFonts w:ascii="Times New Roman" w:hAnsi="Times New Roman" w:eastAsia="Times New Roman"/>
          <w:i/>
          <w:sz w:val="24"/>
          <w:vertAlign w:val="subscript"/>
        </w:rPr>
        <w:t>it</w:t>
      </w:r>
      <w:r>
        <w:rPr>
          <w:rFonts w:ascii="Times New Roman" w:hAnsi="Times New Roman" w:eastAsia="Times New Roman"/>
          <w:i w:val="0"/>
          <w:sz w:val="24"/>
        </w:rPr>
        <w:t xml:space="preserve"> = (</w:t>
      </w:r>
      <w:r>
        <w:rPr>
          <w:rFonts w:ascii="Times New Roman" w:hAnsi="Times New Roman" w:eastAsia="Times New Roman"/>
          <w:i/>
          <w:sz w:val="24"/>
        </w:rPr>
        <w:t>V</w:t>
      </w:r>
      <w:r>
        <w:rPr>
          <w:rFonts w:ascii="Times New Roman" w:hAnsi="Times New Roman" w:eastAsia="Times New Roman"/>
          <w:i/>
          <w:sz w:val="24"/>
          <w:vertAlign w:val="subscript"/>
        </w:rPr>
        <w:t>it</w:t>
      </w:r>
      <w:r>
        <w:rPr>
          <w:rFonts w:ascii="Times New Roman" w:hAnsi="Times New Roman" w:eastAsia="Times New Roman"/>
          <w:i w:val="0"/>
          <w:sz w:val="24"/>
        </w:rPr>
        <w:t xml:space="preserve"> - </w:t>
      </w: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val="0"/>
          <w:sz w:val="24"/>
        </w:rPr>
        <w:t xml:space="preserve">) / </w:t>
      </w:r>
      <w:r>
        <w:rPr>
          <w:rFonts w:ascii="Times New Roman" w:hAnsi="Times New Roman" w:eastAsia="Times New Roman"/>
          <w:i/>
          <w:sz w:val="24"/>
        </w:rPr>
        <w:t>R</w:t>
      </w:r>
      <w:r>
        <w:rPr>
          <w:rFonts w:ascii="Times New Roman" w:hAnsi="Times New Roman" w:eastAsia="Times New Roman"/>
          <w:i/>
          <w:sz w:val="24"/>
          <w:vertAlign w:val="subscript"/>
        </w:rPr>
        <w:t>it</w:t>
      </w:r>
    </w:p>
    <w:p>
      <w:pPr>
        <w:spacing w:after="80"/>
        <w:jc w:val="both"/>
      </w:pPr>
      <w:r>
        <w:rPr>
          <w:rFonts w:ascii="Times New Roman" w:hAnsi="Times New Roman" w:eastAsia="Times New Roman"/>
          <w:b w:val="0"/>
          <w:i w:val="0"/>
          <w:sz w:val="24"/>
        </w:rPr>
        <w:t>V is transaction value, R is platform revenue, and W is the absolute wedge. E shows how large the wedge is compared with platform revenue. If E = 9, then 9 units sit outside platform revenue for every 1 unit the platform books.</w:t>
      </w:r>
    </w:p>
    <w:p>
      <w:pPr>
        <w:spacing w:before="40" w:after="40"/>
        <w:jc w:val="center"/>
      </w:pPr>
      <w:r>
        <w:rPr>
          <w:rFonts w:ascii="Times New Roman" w:hAnsi="Times New Roman" w:eastAsia="Times New Roman"/>
          <w:i/>
          <w:sz w:val="24"/>
        </w:rPr>
        <w:t>D</w:t>
      </w:r>
      <w:r>
        <w:rPr>
          <w:rFonts w:ascii="Times New Roman" w:hAnsi="Times New Roman" w:eastAsia="Times New Roman"/>
          <w:i/>
          <w:sz w:val="24"/>
          <w:vertAlign w:val="subscript"/>
        </w:rPr>
        <w:t>it</w:t>
      </w:r>
      <w:r>
        <w:rPr>
          <w:rFonts w:ascii="Times New Roman" w:hAnsi="Times New Roman" w:eastAsia="Times New Roman"/>
          <w:i w:val="0"/>
          <w:sz w:val="24"/>
        </w:rPr>
        <w:t xml:space="preserve"> = g(</w:t>
      </w:r>
      <w:r>
        <w:rPr>
          <w:rFonts w:ascii="Times New Roman" w:hAnsi="Times New Roman" w:eastAsia="Times New Roman"/>
          <w:i/>
          <w:sz w:val="24"/>
        </w:rPr>
        <w:t>V</w:t>
      </w:r>
      <w:r>
        <w:rPr>
          <w:rFonts w:ascii="Times New Roman" w:hAnsi="Times New Roman" w:eastAsia="Times New Roman"/>
          <w:i/>
          <w:sz w:val="24"/>
          <w:vertAlign w:val="subscript"/>
        </w:rPr>
        <w:t>it</w:t>
      </w:r>
      <w:r>
        <w:rPr>
          <w:rFonts w:ascii="Times New Roman" w:hAnsi="Times New Roman" w:eastAsia="Times New Roman"/>
          <w:i w:val="0"/>
          <w:sz w:val="24"/>
        </w:rPr>
        <w:t>) - g(</w:t>
      </w: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val="0"/>
          <w:sz w:val="24"/>
        </w:rPr>
        <w:t>)</w:t>
      </w:r>
    </w:p>
    <w:p>
      <w:pPr>
        <w:spacing w:after="80"/>
        <w:jc w:val="both"/>
      </w:pPr>
      <w:r>
        <w:rPr>
          <w:rFonts w:ascii="Times New Roman" w:hAnsi="Times New Roman" w:eastAsia="Times New Roman"/>
          <w:b w:val="0"/>
          <w:i w:val="0"/>
          <w:sz w:val="24"/>
        </w:rPr>
        <w:t>D compares transaction growth with revenue growth. E tells us how large the wedge is; D tells us whether it is getting wider or narrower. If transaction value and revenue move in opposite directions, the split is especially strong.</w:t>
      </w:r>
    </w:p>
    <w:p>
      <w:pPr>
        <w:spacing w:after="80"/>
        <w:jc w:val="both"/>
      </w:pPr>
      <w:r>
        <w:rPr>
          <w:rFonts w:ascii="Times New Roman" w:hAnsi="Times New Roman" w:eastAsia="Times New Roman"/>
          <w:b w:val="0"/>
          <w:i w:val="0"/>
          <w:sz w:val="24"/>
        </w:rPr>
        <w:t>When E or D changes sharply, the paper checks what changed inside the business: monetization, customer incentives, gross-versus-net revenue recognition, or business scope. Platform accounts show the first wedge. BPS, payment data, and reporting rules then show where the activity appears outside those accounts and whether the records reach tax administration.</w:t>
      </w:r>
    </w:p>
    <w:p>
      <w:pPr>
        <w:spacing w:after="80"/>
        <w:jc w:val="both"/>
      </w:pPr>
      <w:r>
        <w:rPr>
          <w:rFonts w:ascii="Times New Roman" w:hAnsi="Times New Roman" w:eastAsia="Times New Roman"/>
          <w:b w:val="0"/>
          <w:i w:val="0"/>
          <w:sz w:val="24"/>
        </w:rPr>
        <w:t>The wedge is transaction value outside platform revenue. It is not automatically profit, taxable income, value added, tax evasion, or tax due.</w:t>
      </w:r>
    </w:p>
    <w:p>
      <w:pPr>
        <w:pStyle w:val="Heading1"/>
        <w:keepNext/>
      </w:pPr>
      <w:r>
        <w:rPr>
          <w:rFonts w:ascii="Times New Roman" w:hAnsi="Times New Roman" w:eastAsia="Times New Roman"/>
          <w:b/>
          <w:sz w:val="24"/>
        </w:rPr>
        <w:t>5. Data and Research Design</w:t>
      </w:r>
    </w:p>
    <w:p>
      <w:pPr>
        <w:spacing w:after="80"/>
        <w:jc w:val="both"/>
      </w:pPr>
      <w:r>
        <w:rPr>
          <w:rFonts w:ascii="Times New Roman" w:hAnsi="Times New Roman" w:eastAsia="Times New Roman"/>
          <w:b w:val="0"/>
          <w:i w:val="0"/>
          <w:sz w:val="24"/>
        </w:rPr>
        <w:t>The study uses one core platform sample and three supporting sources. The platform sample measures the wedge directly. BPS, Bank Indonesia, and PMK/DJP show what happens outside the platform's own accounts and how the records connect to tax administration.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val="true"/>
        </w:trPr>
        <w:tc>
          <w:tcPr>
            <w:tcW w:type="dxa" w:w="1984"/>
            <w:vAlign w:val="center"/>
            <w:tcMar>
              <w:top w:w="50" w:type="dxa"/>
              <w:start w:w="70" w:type="dxa"/>
              <w:bottom w:w="50" w:type="dxa"/>
              <w:end w:w="70" w:type="dxa"/>
            </w:tcMar>
          </w:tcPr>
          <w:p>
            <w:r>
              <w:rPr>
                <w:rFonts w:ascii="Times New Roman" w:hAnsi="Times New Roman" w:eastAsia="Times New Roman"/>
                <w:b/>
                <w:sz w:val="24"/>
              </w:rPr>
              <w:t>Component</w:t>
            </w:r>
          </w:p>
        </w:tc>
        <w:tc>
          <w:tcPr>
            <w:tcW w:type="dxa" w:w="2438"/>
            <w:vAlign w:val="center"/>
            <w:tcMar>
              <w:top w:w="50" w:type="dxa"/>
              <w:start w:w="70" w:type="dxa"/>
              <w:bottom w:w="50" w:type="dxa"/>
              <w:end w:w="70" w:type="dxa"/>
            </w:tcMar>
          </w:tcPr>
          <w:p>
            <w:r>
              <w:rPr>
                <w:rFonts w:ascii="Times New Roman" w:hAnsi="Times New Roman" w:eastAsia="Times New Roman"/>
                <w:b/>
                <w:sz w:val="24"/>
              </w:rPr>
              <w:t>Coverage</w:t>
            </w:r>
          </w:p>
        </w:tc>
        <w:tc>
          <w:tcPr>
            <w:tcW w:type="dxa" w:w="2041"/>
            <w:vAlign w:val="center"/>
            <w:tcMar>
              <w:top w:w="50" w:type="dxa"/>
              <w:start w:w="70" w:type="dxa"/>
              <w:bottom w:w="50" w:type="dxa"/>
              <w:end w:w="70" w:type="dxa"/>
            </w:tcMar>
          </w:tcPr>
          <w:p>
            <w:r>
              <w:rPr>
                <w:rFonts w:ascii="Times New Roman" w:hAnsi="Times New Roman" w:eastAsia="Times New Roman"/>
                <w:b/>
                <w:sz w:val="24"/>
              </w:rPr>
              <w:t>Main variables</w:t>
            </w:r>
          </w:p>
        </w:tc>
        <w:tc>
          <w:tcPr>
            <w:tcW w:type="dxa" w:w="2948"/>
            <w:vAlign w:val="center"/>
            <w:tcMar>
              <w:top w:w="50" w:type="dxa"/>
              <w:start w:w="70" w:type="dxa"/>
              <w:bottom w:w="50" w:type="dxa"/>
              <w:end w:w="70" w:type="dxa"/>
            </w:tcMar>
          </w:tcPr>
          <w:p>
            <w:r>
              <w:rPr>
                <w:rFonts w:ascii="Times New Roman" w:hAnsi="Times New Roman" w:eastAsia="Times New Roman"/>
                <w:b/>
                <w:sz w:val="24"/>
              </w:rPr>
              <w:t>Role</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Blibli 3P</w:t>
            </w:r>
          </w:p>
        </w:tc>
        <w:tc>
          <w:tcPr>
            <w:tcW w:type="dxa" w:w="2438"/>
            <w:vAlign w:val="center"/>
            <w:tcMar>
              <w:top w:w="50" w:type="dxa"/>
              <w:start w:w="70" w:type="dxa"/>
              <w:bottom w:w="50" w:type="dxa"/>
              <w:end w:w="70" w:type="dxa"/>
            </w:tcMar>
          </w:tcPr>
          <w:p>
            <w:r>
              <w:rPr>
                <w:rFonts w:ascii="Times New Roman" w:hAnsi="Times New Roman" w:eastAsia="Times New Roman"/>
                <w:sz w:val="24"/>
              </w:rPr>
              <w:t>FY2019-FY2025</w:t>
            </w:r>
          </w:p>
        </w:tc>
        <w:tc>
          <w:tcPr>
            <w:tcW w:type="dxa" w:w="2041"/>
            <w:vAlign w:val="center"/>
            <w:tcMar>
              <w:top w:w="50" w:type="dxa"/>
              <w:start w:w="70" w:type="dxa"/>
              <w:bottom w:w="50" w:type="dxa"/>
              <w:end w:w="70" w:type="dxa"/>
            </w:tcMar>
          </w:tcPr>
          <w:p>
            <w:r>
              <w:rPr>
                <w:rFonts w:ascii="Times New Roman" w:hAnsi="Times New Roman" w:eastAsia="Times New Roman"/>
                <w:sz w:val="24"/>
              </w:rPr>
              <w:t>Transaction value, revenue, W, E, D</w:t>
            </w:r>
          </w:p>
        </w:tc>
        <w:tc>
          <w:tcPr>
            <w:tcW w:type="dxa" w:w="2948"/>
            <w:vAlign w:val="center"/>
            <w:tcMar>
              <w:top w:w="50" w:type="dxa"/>
              <w:start w:w="70" w:type="dxa"/>
              <w:bottom w:w="50" w:type="dxa"/>
              <w:end w:w="70" w:type="dxa"/>
            </w:tcMar>
          </w:tcPr>
          <w:p>
            <w:r>
              <w:rPr>
                <w:rFonts w:ascii="Times New Roman" w:hAnsi="Times New Roman" w:eastAsia="Times New Roman"/>
                <w:sz w:val="24"/>
              </w:rPr>
              <w:t>Track the wedge over time</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Bukalapak Group</w:t>
            </w:r>
          </w:p>
        </w:tc>
        <w:tc>
          <w:tcPr>
            <w:tcW w:type="dxa" w:w="2438"/>
            <w:vAlign w:val="center"/>
            <w:tcMar>
              <w:top w:w="50" w:type="dxa"/>
              <w:start w:w="70" w:type="dxa"/>
              <w:bottom w:w="50" w:type="dxa"/>
              <w:end w:w="70" w:type="dxa"/>
            </w:tcMar>
          </w:tcPr>
          <w:p>
            <w:r>
              <w:rPr>
                <w:rFonts w:ascii="Times New Roman" w:hAnsi="Times New Roman" w:eastAsia="Times New Roman"/>
                <w:sz w:val="24"/>
              </w:rPr>
              <w:t>FY2020-FY2023</w:t>
            </w:r>
          </w:p>
        </w:tc>
        <w:tc>
          <w:tcPr>
            <w:tcW w:type="dxa" w:w="2041"/>
            <w:vAlign w:val="center"/>
            <w:tcMar>
              <w:top w:w="50" w:type="dxa"/>
              <w:start w:w="70" w:type="dxa"/>
              <w:bottom w:w="50" w:type="dxa"/>
              <w:end w:w="70" w:type="dxa"/>
            </w:tcMar>
          </w:tcPr>
          <w:p>
            <w:r>
              <w:rPr>
                <w:rFonts w:ascii="Times New Roman" w:hAnsi="Times New Roman" w:eastAsia="Times New Roman"/>
                <w:sz w:val="24"/>
              </w:rPr>
              <w:t>Transaction value, revenue, W, E, D</w:t>
            </w:r>
          </w:p>
        </w:tc>
        <w:tc>
          <w:tcPr>
            <w:tcW w:type="dxa" w:w="2948"/>
            <w:vAlign w:val="center"/>
            <w:tcMar>
              <w:top w:w="50" w:type="dxa"/>
              <w:start w:w="70" w:type="dxa"/>
              <w:bottom w:w="50" w:type="dxa"/>
              <w:end w:w="70" w:type="dxa"/>
            </w:tcMar>
          </w:tcPr>
          <w:p>
            <w:r>
              <w:rPr>
                <w:rFonts w:ascii="Times New Roman" w:hAnsi="Times New Roman" w:eastAsia="Times New Roman"/>
                <w:sz w:val="24"/>
              </w:rPr>
              <w:t>Track the wedge over time</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Tokopedia e-commerce</w:t>
            </w:r>
          </w:p>
        </w:tc>
        <w:tc>
          <w:tcPr>
            <w:tcW w:type="dxa" w:w="2438"/>
            <w:vAlign w:val="center"/>
            <w:tcMar>
              <w:top w:w="50" w:type="dxa"/>
              <w:start w:w="70" w:type="dxa"/>
              <w:bottom w:w="50" w:type="dxa"/>
              <w:end w:w="70" w:type="dxa"/>
            </w:tcMar>
          </w:tcPr>
          <w:p>
            <w:r>
              <w:rPr>
                <w:rFonts w:ascii="Times New Roman" w:hAnsi="Times New Roman" w:eastAsia="Times New Roman"/>
                <w:sz w:val="24"/>
              </w:rPr>
              <w:t>FY2022-FY2023</w:t>
            </w:r>
          </w:p>
        </w:tc>
        <w:tc>
          <w:tcPr>
            <w:tcW w:type="dxa" w:w="2041"/>
            <w:vAlign w:val="center"/>
            <w:tcMar>
              <w:top w:w="50" w:type="dxa"/>
              <w:start w:w="70" w:type="dxa"/>
              <w:bottom w:w="50" w:type="dxa"/>
              <w:end w:w="70" w:type="dxa"/>
            </w:tcMar>
          </w:tcPr>
          <w:p>
            <w:r>
              <w:rPr>
                <w:rFonts w:ascii="Times New Roman" w:hAnsi="Times New Roman" w:eastAsia="Times New Roman"/>
                <w:sz w:val="24"/>
              </w:rPr>
              <w:t>GTV, gross/net revenue, incentives</w:t>
            </w:r>
          </w:p>
        </w:tc>
        <w:tc>
          <w:tcPr>
            <w:tcW w:type="dxa" w:w="2948"/>
            <w:vAlign w:val="center"/>
            <w:tcMar>
              <w:top w:w="50" w:type="dxa"/>
              <w:start w:w="70" w:type="dxa"/>
              <w:bottom w:w="50" w:type="dxa"/>
              <w:end w:w="70" w:type="dxa"/>
            </w:tcMar>
          </w:tcPr>
          <w:p>
            <w:r>
              <w:rPr>
                <w:rFonts w:ascii="Times New Roman" w:hAnsi="Times New Roman" w:eastAsia="Times New Roman"/>
                <w:sz w:val="24"/>
              </w:rPr>
              <w:t>Explain a major divergence</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BPS</w:t>
            </w:r>
          </w:p>
        </w:tc>
        <w:tc>
          <w:tcPr>
            <w:tcW w:type="dxa" w:w="2438"/>
            <w:vAlign w:val="center"/>
            <w:tcMar>
              <w:top w:w="50" w:type="dxa"/>
              <w:start w:w="70" w:type="dxa"/>
              <w:bottom w:w="50" w:type="dxa"/>
              <w:end w:w="70" w:type="dxa"/>
            </w:tcMar>
          </w:tcPr>
          <w:p>
            <w:r>
              <w:rPr>
                <w:rFonts w:ascii="Times New Roman" w:hAnsi="Times New Roman" w:eastAsia="Times New Roman"/>
                <w:sz w:val="24"/>
              </w:rPr>
              <w:t>2023-2024 national; 2023 business-level</w:t>
            </w:r>
          </w:p>
        </w:tc>
        <w:tc>
          <w:tcPr>
            <w:tcW w:type="dxa" w:w="2041"/>
            <w:vAlign w:val="center"/>
            <w:tcMar>
              <w:top w:w="50" w:type="dxa"/>
              <w:start w:w="70" w:type="dxa"/>
              <w:bottom w:w="50" w:type="dxa"/>
              <w:end w:w="70" w:type="dxa"/>
            </w:tcMar>
          </w:tcPr>
          <w:p>
            <w:r>
              <w:rPr>
                <w:rFonts w:ascii="Times New Roman" w:hAnsi="Times New Roman" w:eastAsia="Times New Roman"/>
                <w:sz w:val="24"/>
              </w:rPr>
              <w:t>E-commerce value, businesses, channels, recordkeeping</w:t>
            </w:r>
          </w:p>
        </w:tc>
        <w:tc>
          <w:tcPr>
            <w:tcW w:type="dxa" w:w="2948"/>
            <w:vAlign w:val="center"/>
            <w:tcMar>
              <w:top w:w="50" w:type="dxa"/>
              <w:start w:w="70" w:type="dxa"/>
              <w:bottom w:w="50" w:type="dxa"/>
              <w:end w:w="70" w:type="dxa"/>
            </w:tcMar>
          </w:tcPr>
          <w:p>
            <w:r>
              <w:rPr>
                <w:rFonts w:ascii="Times New Roman" w:hAnsi="Times New Roman" w:eastAsia="Times New Roman"/>
                <w:sz w:val="24"/>
              </w:rPr>
              <w:t>Show activity outside platform accounts</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Bank Indonesia</w:t>
            </w:r>
          </w:p>
        </w:tc>
        <w:tc>
          <w:tcPr>
            <w:tcW w:type="dxa" w:w="2438"/>
            <w:vAlign w:val="center"/>
            <w:tcMar>
              <w:top w:w="50" w:type="dxa"/>
              <w:start w:w="70" w:type="dxa"/>
              <w:bottom w:w="50" w:type="dxa"/>
              <w:end w:w="70" w:type="dxa"/>
            </w:tcMar>
          </w:tcPr>
          <w:p>
            <w:r>
              <w:rPr>
                <w:rFonts w:ascii="Times New Roman" w:hAnsi="Times New Roman" w:eastAsia="Times New Roman"/>
                <w:sz w:val="24"/>
              </w:rPr>
              <w:t>Payment histories and QRIS reports</w:t>
            </w:r>
          </w:p>
        </w:tc>
        <w:tc>
          <w:tcPr>
            <w:tcW w:type="dxa" w:w="2041"/>
            <w:vAlign w:val="center"/>
            <w:tcMar>
              <w:top w:w="50" w:type="dxa"/>
              <w:start w:w="70" w:type="dxa"/>
              <w:bottom w:w="50" w:type="dxa"/>
              <w:end w:w="70" w:type="dxa"/>
            </w:tcMar>
          </w:tcPr>
          <w:p>
            <w:r>
              <w:rPr>
                <w:rFonts w:ascii="Times New Roman" w:hAnsi="Times New Roman" w:eastAsia="Times New Roman"/>
                <w:sz w:val="24"/>
              </w:rPr>
              <w:t>E-money, mobile banking, QRIS</w:t>
            </w:r>
          </w:p>
        </w:tc>
        <w:tc>
          <w:tcPr>
            <w:tcW w:type="dxa" w:w="2948"/>
            <w:vAlign w:val="center"/>
            <w:tcMar>
              <w:top w:w="50" w:type="dxa"/>
              <w:start w:w="70" w:type="dxa"/>
              <w:bottom w:w="50" w:type="dxa"/>
              <w:end w:w="70" w:type="dxa"/>
            </w:tcMar>
          </w:tcPr>
          <w:p>
            <w:r>
              <w:rPr>
                <w:rFonts w:ascii="Times New Roman" w:hAnsi="Times New Roman" w:eastAsia="Times New Roman"/>
                <w:sz w:val="24"/>
              </w:rPr>
              <w:t>Show digital payment activity</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PMK / DJP</w:t>
            </w:r>
          </w:p>
        </w:tc>
        <w:tc>
          <w:tcPr>
            <w:tcW w:type="dxa" w:w="2438"/>
            <w:vAlign w:val="center"/>
            <w:tcMar>
              <w:top w:w="50" w:type="dxa"/>
              <w:start w:w="70" w:type="dxa"/>
              <w:bottom w:w="50" w:type="dxa"/>
              <w:end w:w="70" w:type="dxa"/>
            </w:tcMar>
          </w:tcPr>
          <w:p>
            <w:r>
              <w:rPr>
                <w:rFonts w:ascii="Times New Roman" w:hAnsi="Times New Roman" w:eastAsia="Times New Roman"/>
                <w:sz w:val="24"/>
              </w:rPr>
              <w:t>2025-2026 materials</w:t>
            </w:r>
          </w:p>
        </w:tc>
        <w:tc>
          <w:tcPr>
            <w:tcW w:type="dxa" w:w="2041"/>
            <w:vAlign w:val="center"/>
            <w:tcMar>
              <w:top w:w="50" w:type="dxa"/>
              <w:start w:w="70" w:type="dxa"/>
              <w:bottom w:w="50" w:type="dxa"/>
              <w:end w:w="70" w:type="dxa"/>
            </w:tcMar>
          </w:tcPr>
          <w:p>
            <w:r>
              <w:rPr>
                <w:rFonts w:ascii="Times New Roman" w:hAnsi="Times New Roman" w:eastAsia="Times New Roman"/>
                <w:sz w:val="24"/>
              </w:rPr>
              <w:t>Seller identity, turnover, reporting, withholding</w:t>
            </w:r>
          </w:p>
        </w:tc>
        <w:tc>
          <w:tcPr>
            <w:tcW w:type="dxa" w:w="2948"/>
            <w:vAlign w:val="center"/>
            <w:tcMar>
              <w:top w:w="50" w:type="dxa"/>
              <w:start w:w="70" w:type="dxa"/>
              <w:bottom w:w="50" w:type="dxa"/>
              <w:end w:w="70" w:type="dxa"/>
            </w:tcMar>
          </w:tcPr>
          <w:p>
            <w:r>
              <w:rPr>
                <w:rFonts w:ascii="Times New Roman" w:hAnsi="Times New Roman" w:eastAsia="Times New Roman"/>
                <w:sz w:val="24"/>
              </w:rPr>
              <w:t>Show the tax-reporting mechanism</w:t>
            </w:r>
          </w:p>
        </w:tc>
      </w:tr>
      <w:tr>
        <w:trPr>
          <w:cantSplit/>
        </w:trPr>
        <w:tc>
          <w:tcPr>
            <w:tcW w:type="dxa" w:w="1984"/>
            <w:vAlign w:val="center"/>
            <w:tcMar>
              <w:top w:w="50" w:type="dxa"/>
              <w:start w:w="70" w:type="dxa"/>
              <w:bottom w:w="50" w:type="dxa"/>
              <w:end w:w="70" w:type="dxa"/>
            </w:tcMar>
          </w:tcPr>
          <w:p>
            <w:r>
              <w:rPr>
                <w:rFonts w:ascii="Times New Roman" w:hAnsi="Times New Roman" w:eastAsia="Times New Roman"/>
                <w:sz w:val="24"/>
              </w:rPr>
              <w:t>Grab / Shopee</w:t>
            </w:r>
          </w:p>
        </w:tc>
        <w:tc>
          <w:tcPr>
            <w:tcW w:type="dxa" w:w="2438"/>
            <w:vAlign w:val="center"/>
            <w:tcMar>
              <w:top w:w="50" w:type="dxa"/>
              <w:start w:w="70" w:type="dxa"/>
              <w:bottom w:w="50" w:type="dxa"/>
              <w:end w:w="70" w:type="dxa"/>
            </w:tcMar>
          </w:tcPr>
          <w:p>
            <w:r>
              <w:rPr>
                <w:rFonts w:ascii="Times New Roman" w:hAnsi="Times New Roman" w:eastAsia="Times New Roman"/>
                <w:sz w:val="24"/>
              </w:rPr>
              <w:t>Supporting historical cases</w:t>
            </w:r>
          </w:p>
        </w:tc>
        <w:tc>
          <w:tcPr>
            <w:tcW w:type="dxa" w:w="2041"/>
            <w:vAlign w:val="center"/>
            <w:tcMar>
              <w:top w:w="50" w:type="dxa"/>
              <w:start w:w="70" w:type="dxa"/>
              <w:bottom w:w="50" w:type="dxa"/>
              <w:end w:w="70" w:type="dxa"/>
            </w:tcMar>
          </w:tcPr>
          <w:p>
            <w:r>
              <w:rPr>
                <w:rFonts w:ascii="Times New Roman" w:hAnsi="Times New Roman" w:eastAsia="Times New Roman"/>
                <w:sz w:val="24"/>
              </w:rPr>
              <w:t>Matched transaction value and revenue</w:t>
            </w:r>
          </w:p>
        </w:tc>
        <w:tc>
          <w:tcPr>
            <w:tcW w:type="dxa" w:w="2948"/>
            <w:vAlign w:val="center"/>
            <w:tcMar>
              <w:top w:w="50" w:type="dxa"/>
              <w:start w:w="70" w:type="dxa"/>
              <w:bottom w:w="50" w:type="dxa"/>
              <w:end w:w="70" w:type="dxa"/>
            </w:tcMar>
          </w:tcPr>
          <w:p>
            <w:r>
              <w:rPr>
                <w:rFonts w:ascii="Times New Roman" w:hAnsi="Times New Roman" w:eastAsia="Times New Roman"/>
                <w:sz w:val="24"/>
              </w:rPr>
              <w:t>Sensitivity and context</w:t>
            </w:r>
          </w:p>
        </w:tc>
      </w:tr>
    </w:tbl>
    <w:p>
      <w:pPr>
        <w:pStyle w:val="Heading2"/>
        <w:keepNext/>
      </w:pPr>
      <w:r>
        <w:rPr>
          <w:rFonts w:ascii="Times New Roman" w:hAnsi="Times New Roman" w:eastAsia="Times New Roman"/>
          <w:b/>
          <w:sz w:val="24"/>
        </w:rPr>
        <w:t>5.1 Sample construction and provenance</w:t>
      </w:r>
    </w:p>
    <w:p>
      <w:pPr>
        <w:spacing w:after="80"/>
        <w:jc w:val="both"/>
      </w:pPr>
      <w:r>
        <w:rPr>
          <w:rFonts w:ascii="Times New Roman" w:hAnsi="Times New Roman" w:eastAsia="Times New Roman"/>
          <w:b w:val="0"/>
          <w:i w:val="0"/>
          <w:sz w:val="24"/>
        </w:rPr>
        <w:t>Transaction value and platform revenue come from primary company disclosures. A platform-year enters the core sample only when both numbers cover the same period and a comparable business scope, with known units and clear definitions. Structural breaks are flagged instead of treated as normal year-to-year changes. Repeated publications of the same period are not counted as new observations.</w:t>
      </w:r>
    </w:p>
    <w:p>
      <w:pPr>
        <w:spacing w:after="80"/>
        <w:jc w:val="both"/>
      </w:pPr>
      <w:r>
        <w:rPr>
          <w:rFonts w:ascii="Times New Roman" w:hAnsi="Times New Roman" w:eastAsia="Times New Roman"/>
          <w:b w:val="0"/>
          <w:i w:val="0"/>
          <w:sz w:val="24"/>
        </w:rPr>
        <w:t>The candidate core sample has 13 platform-years: seven Blibli 3P periods from FY2019-FY2025, four Bukalapak Group periods from FY2020-FY2023, and two Tokopedia e-commerce periods from FY2022-FY2023. These create nine year-to-year comparisons. Tokopedia FY2021 and Bukalapak FY2024 are excluded because the transaction and revenue periods do not match. Grab and Shopee remain supporting cases.</w:t>
      </w:r>
    </w:p>
    <w:p>
      <w:pPr>
        <w:pStyle w:val="Heading2"/>
        <w:keepNext/>
      </w:pPr>
      <w:r>
        <w:rPr>
          <w:rFonts w:ascii="Times New Roman" w:hAnsi="Times New Roman" w:eastAsia="Times New Roman"/>
          <w:b/>
          <w:sz w:val="24"/>
        </w:rPr>
        <w:t>5.2 Key variables and empirical method</w:t>
      </w:r>
    </w:p>
    <w:p>
      <w:pPr>
        <w:spacing w:after="80"/>
        <w:jc w:val="both"/>
      </w:pPr>
      <w:r>
        <w:rPr>
          <w:rFonts w:ascii="Times New Roman" w:hAnsi="Times New Roman" w:eastAsia="Times New Roman"/>
          <w:b w:val="0"/>
          <w:i w:val="0"/>
          <w:sz w:val="24"/>
        </w:rPr>
        <w:t>For each platform-year, the paper records V, R, W, and E. For each year-to-year comparison, it calculates transaction growth, revenue growth, and D. When the two growth rates move far apart, the paper checks incentives, monetization, gross and net revenue, and business-scope changes. This is an accounting reconciliation, not a causal estimate.</w:t>
      </w:r>
    </w:p>
    <w:p>
      <w:pPr>
        <w:pStyle w:val="Heading1"/>
        <w:keepNext/>
      </w:pPr>
      <w:r>
        <w:rPr>
          <w:rFonts w:ascii="Times New Roman" w:hAnsi="Times New Roman" w:eastAsia="Times New Roman"/>
          <w:b/>
          <w:sz w:val="24"/>
        </w:rPr>
        <w:t>6. Preliminary Evidence and Feasibility</w:t>
      </w:r>
    </w:p>
    <w:p>
      <w:pPr>
        <w:spacing w:after="80"/>
        <w:jc w:val="both"/>
      </w:pPr>
      <w:r>
        <w:rPr>
          <w:rFonts w:ascii="Times New Roman" w:hAnsi="Times New Roman" w:eastAsia="Times New Roman"/>
          <w:b w:val="0"/>
          <w:i w:val="0"/>
          <w:sz w:val="24"/>
        </w:rPr>
        <w:t>The current data already show three useful things: transaction activity and revenue can move very differently; the accounts can sometimes explain why; and business and tax records add evidence outside platform accounts.</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val="true"/>
        </w:trPr>
        <w:tc>
          <w:tcPr>
            <w:tcW w:type="dxa" w:w="2381"/>
            <w:vAlign w:val="center"/>
            <w:tcMar>
              <w:top w:w="50" w:type="dxa"/>
              <w:start w:w="70" w:type="dxa"/>
              <w:bottom w:w="50" w:type="dxa"/>
              <w:end w:w="70" w:type="dxa"/>
            </w:tcMar>
          </w:tcPr>
          <w:p>
            <w:r>
              <w:rPr>
                <w:rFonts w:ascii="Times New Roman" w:hAnsi="Times New Roman" w:eastAsia="Times New Roman"/>
                <w:b/>
                <w:sz w:val="24"/>
              </w:rPr>
              <w:t>Evidence</w:t>
            </w:r>
          </w:p>
        </w:tc>
        <w:tc>
          <w:tcPr>
            <w:tcW w:type="dxa" w:w="4082"/>
            <w:vAlign w:val="center"/>
            <w:tcMar>
              <w:top w:w="50" w:type="dxa"/>
              <w:start w:w="70" w:type="dxa"/>
              <w:bottom w:w="50" w:type="dxa"/>
              <w:end w:w="70" w:type="dxa"/>
            </w:tcMar>
          </w:tcPr>
          <w:p>
            <w:r>
              <w:rPr>
                <w:rFonts w:ascii="Times New Roman" w:hAnsi="Times New Roman" w:eastAsia="Times New Roman"/>
                <w:b/>
                <w:sz w:val="24"/>
              </w:rPr>
              <w:t>Preliminary result</w:t>
            </w:r>
          </w:p>
        </w:tc>
        <w:tc>
          <w:tcPr>
            <w:tcW w:type="dxa" w:w="2948"/>
            <w:vAlign w:val="center"/>
            <w:tcMar>
              <w:top w:w="50" w:type="dxa"/>
              <w:start w:w="70" w:type="dxa"/>
              <w:bottom w:w="50" w:type="dxa"/>
              <w:end w:w="70" w:type="dxa"/>
            </w:tcMar>
          </w:tcPr>
          <w:p>
            <w:r>
              <w:rPr>
                <w:rFonts w:ascii="Times New Roman" w:hAnsi="Times New Roman" w:eastAsia="Times New Roman"/>
                <w:b/>
                <w:sz w:val="24"/>
              </w:rPr>
              <w:t>Why it matters</w:t>
            </w:r>
          </w:p>
        </w:tc>
      </w:tr>
      <w:tr>
        <w:trPr>
          <w:cantSplit/>
        </w:trPr>
        <w:tc>
          <w:tcPr>
            <w:tcW w:type="dxa" w:w="2381"/>
            <w:vAlign w:val="center"/>
            <w:tcMar>
              <w:top w:w="50" w:type="dxa"/>
              <w:start w:w="70" w:type="dxa"/>
              <w:bottom w:w="50" w:type="dxa"/>
              <w:end w:w="70" w:type="dxa"/>
            </w:tcMar>
          </w:tcPr>
          <w:p>
            <w:r>
              <w:rPr>
                <w:rFonts w:ascii="Times New Roman" w:hAnsi="Times New Roman" w:eastAsia="Times New Roman"/>
                <w:sz w:val="24"/>
              </w:rPr>
              <w:t>Year-to-year platform changes</w:t>
            </w:r>
          </w:p>
        </w:tc>
        <w:tc>
          <w:tcPr>
            <w:tcW w:type="dxa" w:w="4082"/>
            <w:vAlign w:val="center"/>
            <w:tcMar>
              <w:top w:w="50" w:type="dxa"/>
              <w:start w:w="70" w:type="dxa"/>
              <w:bottom w:w="50" w:type="dxa"/>
              <w:end w:w="70" w:type="dxa"/>
            </w:tcMar>
          </w:tcPr>
          <w:p>
            <w:r>
              <w:rPr>
                <w:rFonts w:ascii="Times New Roman" w:hAnsi="Times New Roman" w:eastAsia="Times New Roman"/>
                <w:sz w:val="24"/>
              </w:rPr>
              <w:t>Across 9 comparisons, revenue grows faster in 6 and transaction activity in 3; 3 move in opposite directions; median absolute gap = 42.94 percentage points.</w:t>
            </w:r>
          </w:p>
        </w:tc>
        <w:tc>
          <w:tcPr>
            <w:tcW w:type="dxa" w:w="2948"/>
            <w:vAlign w:val="center"/>
            <w:tcMar>
              <w:top w:w="50" w:type="dxa"/>
              <w:start w:w="70" w:type="dxa"/>
              <w:bottom w:w="50" w:type="dxa"/>
              <w:end w:w="70" w:type="dxa"/>
            </w:tcMar>
          </w:tcPr>
          <w:p>
            <w:r>
              <w:rPr>
                <w:rFonts w:ascii="Times New Roman" w:hAnsi="Times New Roman" w:eastAsia="Times New Roman"/>
                <w:sz w:val="24"/>
              </w:rPr>
              <w:t>The wedge changes over time.</w:t>
            </w:r>
          </w:p>
        </w:tc>
      </w:tr>
      <w:tr>
        <w:trPr>
          <w:cantSplit/>
        </w:trPr>
        <w:tc>
          <w:tcPr>
            <w:tcW w:type="dxa" w:w="2381"/>
            <w:vAlign w:val="center"/>
            <w:tcMar>
              <w:top w:w="50" w:type="dxa"/>
              <w:start w:w="70" w:type="dxa"/>
              <w:bottom w:w="50" w:type="dxa"/>
              <w:end w:w="70" w:type="dxa"/>
            </w:tcMar>
          </w:tcPr>
          <w:p>
            <w:r>
              <w:rPr>
                <w:rFonts w:ascii="Times New Roman" w:hAnsi="Times New Roman" w:eastAsia="Times New Roman"/>
                <w:sz w:val="24"/>
              </w:rPr>
              <w:t>Tokopedia FY2022-FY2023</w:t>
            </w:r>
          </w:p>
        </w:tc>
        <w:tc>
          <w:tcPr>
            <w:tcW w:type="dxa" w:w="4082"/>
            <w:vAlign w:val="center"/>
            <w:tcMar>
              <w:top w:w="50" w:type="dxa"/>
              <w:start w:w="70" w:type="dxa"/>
              <w:bottom w:w="50" w:type="dxa"/>
              <w:end w:w="70" w:type="dxa"/>
            </w:tcMar>
          </w:tcPr>
          <w:p>
            <w:r>
              <w:rPr>
                <w:rFonts w:ascii="Times New Roman" w:hAnsi="Times New Roman" w:eastAsia="Times New Roman"/>
                <w:sz w:val="24"/>
              </w:rPr>
              <w:t>Transaction activity -8.90%; selected third-party net segment revenue +53.20%; 60.56% of the net-revenue increase is linked to lower incentives and 39.44% to higher gross revenue.</w:t>
            </w:r>
          </w:p>
        </w:tc>
        <w:tc>
          <w:tcPr>
            <w:tcW w:type="dxa" w:w="2948"/>
            <w:vAlign w:val="center"/>
            <w:tcMar>
              <w:top w:w="50" w:type="dxa"/>
              <w:start w:w="70" w:type="dxa"/>
              <w:bottom w:w="50" w:type="dxa"/>
              <w:end w:w="70" w:type="dxa"/>
            </w:tcMar>
          </w:tcPr>
          <w:p>
            <w:r>
              <w:rPr>
                <w:rFonts w:ascii="Times New Roman" w:hAnsi="Times New Roman" w:eastAsia="Times New Roman"/>
                <w:sz w:val="24"/>
              </w:rPr>
              <w:t>Shows how revenue can rise while facilitated activity falls.</w:t>
            </w:r>
          </w:p>
        </w:tc>
      </w:tr>
      <w:tr>
        <w:trPr>
          <w:cantSplit/>
        </w:trPr>
        <w:tc>
          <w:tcPr>
            <w:tcW w:type="dxa" w:w="2381"/>
            <w:vAlign w:val="center"/>
            <w:tcMar>
              <w:top w:w="50" w:type="dxa"/>
              <w:start w:w="70" w:type="dxa"/>
              <w:bottom w:w="50" w:type="dxa"/>
              <w:end w:w="70" w:type="dxa"/>
            </w:tcMar>
          </w:tcPr>
          <w:p>
            <w:r>
              <w:rPr>
                <w:rFonts w:ascii="Times New Roman" w:hAnsi="Times New Roman" w:eastAsia="Times New Roman"/>
                <w:sz w:val="24"/>
              </w:rPr>
              <w:t>BPS growth and channels</w:t>
            </w:r>
          </w:p>
        </w:tc>
        <w:tc>
          <w:tcPr>
            <w:tcW w:type="dxa" w:w="4082"/>
            <w:vAlign w:val="center"/>
            <w:tcMar>
              <w:top w:w="50" w:type="dxa"/>
              <w:start w:w="70" w:type="dxa"/>
              <w:bottom w:w="50" w:type="dxa"/>
              <w:end w:w="70" w:type="dxa"/>
            </w:tcMar>
          </w:tcPr>
          <w:p>
            <w:r>
              <w:rPr>
                <w:rFonts w:ascii="Times New Roman" w:hAnsi="Times New Roman" w:eastAsia="Times New Roman"/>
                <w:sz w:val="24"/>
              </w:rPr>
              <w:t>E-commerce value +17.08%; businesses +15.31%; marketplace value +1.45% versus non-marketplace +20.57%; about 98.46% of the nominal increase is outside the marketplace component.</w:t>
            </w:r>
          </w:p>
        </w:tc>
        <w:tc>
          <w:tcPr>
            <w:tcW w:type="dxa" w:w="2948"/>
            <w:vAlign w:val="center"/>
            <w:tcMar>
              <w:top w:w="50" w:type="dxa"/>
              <w:start w:w="70" w:type="dxa"/>
              <w:bottom w:w="50" w:type="dxa"/>
              <w:end w:w="70" w:type="dxa"/>
            </w:tcMar>
          </w:tcPr>
          <w:p>
            <w:r>
              <w:rPr>
                <w:rFonts w:ascii="Times New Roman" w:hAnsi="Times New Roman" w:eastAsia="Times New Roman"/>
                <w:sz w:val="24"/>
              </w:rPr>
              <w:t>Shows where broader e-commerce growth is occurring.</w:t>
            </w:r>
          </w:p>
        </w:tc>
      </w:tr>
      <w:tr>
        <w:trPr>
          <w:cantSplit/>
        </w:trPr>
        <w:tc>
          <w:tcPr>
            <w:tcW w:type="dxa" w:w="2381"/>
            <w:vAlign w:val="center"/>
            <w:tcMar>
              <w:top w:w="50" w:type="dxa"/>
              <w:start w:w="70" w:type="dxa"/>
              <w:bottom w:w="50" w:type="dxa"/>
              <w:end w:w="70" w:type="dxa"/>
            </w:tcMar>
          </w:tcPr>
          <w:p>
            <w:r>
              <w:rPr>
                <w:rFonts w:ascii="Times New Roman" w:hAnsi="Times New Roman" w:eastAsia="Times New Roman"/>
                <w:sz w:val="24"/>
              </w:rPr>
              <w:t>BPS recordkeeping</w:t>
            </w:r>
          </w:p>
        </w:tc>
        <w:tc>
          <w:tcPr>
            <w:tcW w:type="dxa" w:w="4082"/>
            <w:vAlign w:val="center"/>
            <w:tcMar>
              <w:top w:w="50" w:type="dxa"/>
              <w:start w:w="70" w:type="dxa"/>
              <w:bottom w:w="50" w:type="dxa"/>
              <w:end w:w="70" w:type="dxa"/>
            </w:tcMar>
          </w:tcPr>
          <w:p>
            <w:r>
              <w:rPr>
                <w:rFonts w:ascii="Times New Roman" w:hAnsi="Times New Roman" w:eastAsia="Times New Roman"/>
                <w:sz w:val="24"/>
              </w:rPr>
              <w:t>Complete financial statements: 28.63% of marketplace users versus 12.25% of non-marketplace users; cash use: 37.74% versus 83.29%.</w:t>
            </w:r>
          </w:p>
        </w:tc>
        <w:tc>
          <w:tcPr>
            <w:tcW w:type="dxa" w:w="2948"/>
            <w:vAlign w:val="center"/>
            <w:tcMar>
              <w:top w:w="50" w:type="dxa"/>
              <w:start w:w="70" w:type="dxa"/>
              <w:bottom w:w="50" w:type="dxa"/>
              <w:end w:w="70" w:type="dxa"/>
            </w:tcMar>
          </w:tcPr>
          <w:p>
            <w:r>
              <w:rPr>
                <w:rFonts w:ascii="Times New Roman" w:hAnsi="Times New Roman" w:eastAsia="Times New Roman"/>
                <w:sz w:val="24"/>
              </w:rPr>
              <w:t>Links sales channel to the quality of business records.</w:t>
            </w:r>
          </w:p>
        </w:tc>
      </w:tr>
      <w:tr>
        <w:trPr>
          <w:cantSplit/>
        </w:trPr>
        <w:tc>
          <w:tcPr>
            <w:tcW w:type="dxa" w:w="2381"/>
            <w:vAlign w:val="center"/>
            <w:tcMar>
              <w:top w:w="50" w:type="dxa"/>
              <w:start w:w="70" w:type="dxa"/>
              <w:bottom w:w="50" w:type="dxa"/>
              <w:end w:w="70" w:type="dxa"/>
            </w:tcMar>
          </w:tcPr>
          <w:p>
            <w:r>
              <w:rPr>
                <w:rFonts w:ascii="Times New Roman" w:hAnsi="Times New Roman" w:eastAsia="Times New Roman"/>
                <w:sz w:val="24"/>
              </w:rPr>
              <w:t>PMK 37/2025 / DJP</w:t>
            </w:r>
          </w:p>
        </w:tc>
        <w:tc>
          <w:tcPr>
            <w:tcW w:type="dxa" w:w="4082"/>
            <w:vAlign w:val="center"/>
            <w:tcMar>
              <w:top w:w="50" w:type="dxa"/>
              <w:start w:w="70" w:type="dxa"/>
              <w:bottom w:w="50" w:type="dxa"/>
              <w:end w:w="70" w:type="dxa"/>
            </w:tcMar>
          </w:tcPr>
          <w:p>
            <w:r>
              <w:rPr>
                <w:rFonts w:ascii="Times New Roman" w:hAnsi="Times New Roman" w:eastAsia="Times New Roman"/>
                <w:sz w:val="24"/>
              </w:rPr>
              <w:t>Seller identity, transaction-linked turnover, reporting, and withholding connect marketplace records to tax administration.</w:t>
            </w:r>
          </w:p>
        </w:tc>
        <w:tc>
          <w:tcPr>
            <w:tcW w:type="dxa" w:w="2948"/>
            <w:vAlign w:val="center"/>
            <w:tcMar>
              <w:top w:w="50" w:type="dxa"/>
              <w:start w:w="70" w:type="dxa"/>
              <w:bottom w:w="50" w:type="dxa"/>
              <w:end w:w="70" w:type="dxa"/>
            </w:tcMar>
          </w:tcPr>
          <w:p>
            <w:r>
              <w:rPr>
                <w:rFonts w:ascii="Times New Roman" w:hAnsi="Times New Roman" w:eastAsia="Times New Roman"/>
                <w:sz w:val="24"/>
              </w:rPr>
              <w:t>Shows the legal route from platform data to the tax system.</w:t>
            </w:r>
          </w:p>
        </w:tc>
      </w:tr>
    </w:tbl>
    <w:p>
      <w:pPr>
        <w:spacing w:after="80"/>
        <w:jc w:val="both"/>
      </w:pPr>
      <w:r>
        <w:rPr>
          <w:rFonts w:ascii="Times New Roman" w:hAnsi="Times New Roman" w:eastAsia="Times New Roman"/>
          <w:b w:val="0"/>
          <w:i w:val="0"/>
          <w:sz w:val="24"/>
        </w:rPr>
        <w:t>The platform sample can track the wedge over time. Tokopedia provides a clear mechanism case. BPS adds business-side evidence, and PMK/DJP shows the route from marketplace records to tax administration. Together, these sources show that the research question can be tested with available data.</w:t>
      </w:r>
    </w:p>
    <w:p>
      <w:pPr>
        <w:pStyle w:val="Heading1"/>
        <w:keepNext/>
      </w:pPr>
      <w:r>
        <w:rPr>
          <w:rFonts w:ascii="Times New Roman" w:hAnsi="Times New Roman" w:eastAsia="Times New Roman"/>
          <w:b/>
          <w:sz w:val="24"/>
        </w:rPr>
        <w:t>References</w:t>
      </w:r>
    </w:p>
    <w:p>
      <w:pPr>
        <w:spacing w:after="40" w:line="240" w:lineRule="auto"/>
        <w:ind w:left="312" w:hanging="312"/>
        <w:jc w:val="left"/>
      </w:pPr>
      <w:r>
        <w:rPr>
          <w:rFonts w:ascii="Times New Roman" w:hAnsi="Times New Roman" w:eastAsia="Times New Roman"/>
          <w:b w:val="0"/>
          <w:i w:val="0"/>
          <w:sz w:val="24"/>
        </w:rPr>
        <w:t>Armstrong, M. (2006). Competition in two-sided markets. RAND Journal of Economics, 37(3), 668-691.</w:t>
      </w:r>
    </w:p>
    <w:p>
      <w:pPr>
        <w:spacing w:after="40" w:line="240" w:lineRule="auto"/>
        <w:ind w:left="312" w:hanging="312"/>
        <w:jc w:val="left"/>
      </w:pPr>
      <w:r>
        <w:rPr>
          <w:rFonts w:ascii="Times New Roman" w:hAnsi="Times New Roman" w:eastAsia="Times New Roman"/>
          <w:b w:val="0"/>
          <w:i w:val="0"/>
          <w:sz w:val="24"/>
        </w:rPr>
        <w:t>Caillaud, B., &amp; Jullien, B. (2003). Chicken &amp; egg: Competition among intermediation service providers. RAND Journal of Economics, 34(2), 309-328.</w:t>
      </w:r>
    </w:p>
    <w:p>
      <w:pPr>
        <w:spacing w:after="40" w:line="240" w:lineRule="auto"/>
        <w:ind w:left="312" w:hanging="312"/>
        <w:jc w:val="left"/>
      </w:pPr>
      <w:r>
        <w:rPr>
          <w:rFonts w:ascii="Times New Roman" w:hAnsi="Times New Roman" w:eastAsia="Times New Roman"/>
          <w:b w:val="0"/>
          <w:i w:val="0"/>
          <w:sz w:val="24"/>
        </w:rPr>
        <w:t>European Union. (2021). Council Directive (EU) 2021/514 amending Directive 2011/16/EU on administrative cooperation in the field of taxation (DAC7).</w:t>
      </w:r>
    </w:p>
    <w:p>
      <w:pPr>
        <w:spacing w:after="40" w:line="240" w:lineRule="auto"/>
        <w:ind w:left="312" w:hanging="312"/>
        <w:jc w:val="left"/>
      </w:pPr>
      <w:r>
        <w:rPr>
          <w:rFonts w:ascii="Times New Roman" w:hAnsi="Times New Roman" w:eastAsia="Times New Roman"/>
          <w:b w:val="0"/>
          <w:i w:val="0"/>
          <w:sz w:val="24"/>
        </w:rPr>
        <w:t>Evans, D. S., &amp; Schmalensee, R. (2016). Matchmakers: The New Economics of Multisided Platforms. Harvard Business Review Press.</w:t>
      </w:r>
    </w:p>
    <w:p>
      <w:pPr>
        <w:spacing w:after="40" w:line="240" w:lineRule="auto"/>
        <w:ind w:left="312" w:hanging="312"/>
        <w:jc w:val="left"/>
      </w:pPr>
      <w:r>
        <w:rPr>
          <w:rFonts w:ascii="Times New Roman" w:hAnsi="Times New Roman" w:eastAsia="Times New Roman"/>
          <w:b w:val="0"/>
          <w:i w:val="0"/>
          <w:sz w:val="24"/>
        </w:rPr>
        <w:t>Google, Temasek, &amp; Bain &amp; Company. (2024). e-Conomy SEA 2024: Profits on the Rise, Harnessing SEA's Advantage.</w:t>
      </w:r>
    </w:p>
    <w:p>
      <w:pPr>
        <w:spacing w:after="40" w:line="240" w:lineRule="auto"/>
        <w:ind w:left="312" w:hanging="312"/>
        <w:jc w:val="left"/>
      </w:pPr>
      <w:r>
        <w:rPr>
          <w:rFonts w:ascii="Times New Roman" w:hAnsi="Times New Roman" w:eastAsia="Times New Roman"/>
          <w:b w:val="0"/>
          <w:i w:val="0"/>
          <w:sz w:val="24"/>
        </w:rPr>
        <w:t>Hagiu, A., &amp; Wright, J. (2015). Multi-sided platforms. International Journal of Industrial Organization, 43, 162-174.</w:t>
      </w:r>
    </w:p>
    <w:p>
      <w:pPr>
        <w:spacing w:after="40" w:line="240" w:lineRule="auto"/>
        <w:ind w:left="312" w:hanging="312"/>
        <w:jc w:val="left"/>
      </w:pPr>
      <w:r>
        <w:rPr>
          <w:rFonts w:ascii="Times New Roman" w:hAnsi="Times New Roman" w:eastAsia="Times New Roman"/>
          <w:b w:val="0"/>
          <w:i w:val="0"/>
          <w:sz w:val="24"/>
        </w:rPr>
        <w:t>IASB. (2014). IFRS 15: Revenue from Contracts with Customers.</w:t>
      </w:r>
    </w:p>
    <w:p>
      <w:pPr>
        <w:spacing w:after="40" w:line="240" w:lineRule="auto"/>
        <w:ind w:left="312" w:hanging="312"/>
        <w:jc w:val="left"/>
      </w:pPr>
      <w:r>
        <w:rPr>
          <w:rFonts w:ascii="Times New Roman" w:hAnsi="Times New Roman" w:eastAsia="Times New Roman"/>
          <w:b w:val="0"/>
          <w:i w:val="0"/>
          <w:sz w:val="24"/>
        </w:rPr>
        <w:t>International Labour Organization. (2021). World Employment and Social Outlook 2021: The Role of Digital Labour Platforms in Transforming the World of Work.</w:t>
      </w:r>
    </w:p>
    <w:p>
      <w:pPr>
        <w:spacing w:after="40" w:line="240" w:lineRule="auto"/>
        <w:ind w:left="312" w:hanging="312"/>
        <w:jc w:val="left"/>
      </w:pPr>
      <w:r>
        <w:rPr>
          <w:rFonts w:ascii="Times New Roman" w:hAnsi="Times New Roman" w:eastAsia="Times New Roman"/>
          <w:b w:val="0"/>
          <w:i w:val="0"/>
          <w:sz w:val="24"/>
        </w:rPr>
        <w:t>International Labour Organization. (2023). Resolution Concerning Statistics on the Informal Economy.</w:t>
      </w:r>
    </w:p>
    <w:p>
      <w:pPr>
        <w:spacing w:after="40" w:line="240" w:lineRule="auto"/>
        <w:ind w:left="312" w:hanging="312"/>
        <w:jc w:val="left"/>
      </w:pPr>
      <w:r>
        <w:rPr>
          <w:rFonts w:ascii="Times New Roman" w:hAnsi="Times New Roman" w:eastAsia="Times New Roman"/>
          <w:b w:val="0"/>
          <w:i w:val="0"/>
          <w:sz w:val="24"/>
        </w:rPr>
        <w:t>Kleven, H. J., Knudsen, M. B., Kreiner, C. T., Pedersen, S., &amp; Saez, E. (2011). Unwilling or unable to cheat? Evidence from a tax audit experiment in Denmark. Econometrica, 79(3), 651-692.</w:t>
      </w:r>
    </w:p>
    <w:p>
      <w:pPr>
        <w:spacing w:after="40" w:line="240" w:lineRule="auto"/>
        <w:ind w:left="312" w:hanging="312"/>
        <w:jc w:val="left"/>
      </w:pPr>
      <w:r>
        <w:rPr>
          <w:rFonts w:ascii="Times New Roman" w:hAnsi="Times New Roman" w:eastAsia="Times New Roman"/>
          <w:b w:val="0"/>
          <w:i w:val="0"/>
          <w:sz w:val="24"/>
        </w:rPr>
        <w:t>Kleven, H. J., Kreiner, C. T., &amp; Saez, E. (2016). Why can modern governments tax so much? An agency model of firms as fiscal intermediaries. Economica, 83(330), 219-246.</w:t>
      </w:r>
    </w:p>
    <w:p>
      <w:pPr>
        <w:spacing w:after="40" w:line="240" w:lineRule="auto"/>
        <w:ind w:left="312" w:hanging="312"/>
        <w:jc w:val="left"/>
      </w:pPr>
      <w:r>
        <w:rPr>
          <w:rFonts w:ascii="Times New Roman" w:hAnsi="Times New Roman" w:eastAsia="Times New Roman"/>
          <w:b w:val="0"/>
          <w:i w:val="0"/>
          <w:sz w:val="24"/>
        </w:rPr>
        <w:t>La Porta, R., &amp; Shleifer, A. (2014). Informality and development. Journal of Economic Perspectives, 28(3), 109-126.</w:t>
      </w:r>
    </w:p>
    <w:p>
      <w:pPr>
        <w:spacing w:after="40" w:line="240" w:lineRule="auto"/>
        <w:ind w:left="312" w:hanging="312"/>
        <w:jc w:val="left"/>
      </w:pPr>
      <w:r>
        <w:rPr>
          <w:rFonts w:ascii="Times New Roman" w:hAnsi="Times New Roman" w:eastAsia="Times New Roman"/>
          <w:b w:val="0"/>
          <w:i w:val="0"/>
          <w:sz w:val="24"/>
        </w:rPr>
        <w:t>Medina, L., &amp; Schneider, F. (2019). Shedding light on the shadow economy: A global database. CESifo Working Paper 7981.</w:t>
      </w:r>
    </w:p>
    <w:p>
      <w:pPr>
        <w:spacing w:after="40" w:line="240" w:lineRule="auto"/>
        <w:ind w:left="312" w:hanging="312"/>
        <w:jc w:val="left"/>
      </w:pPr>
      <w:r>
        <w:rPr>
          <w:rFonts w:ascii="Times New Roman" w:hAnsi="Times New Roman" w:eastAsia="Times New Roman"/>
          <w:b w:val="0"/>
          <w:i w:val="0"/>
          <w:sz w:val="24"/>
        </w:rPr>
        <w:t>OECD. (2019). The Sharing and Gig Economy: Effective Taxation of Platform Sellers. OECD Publishing.</w:t>
      </w:r>
    </w:p>
    <w:p>
      <w:pPr>
        <w:spacing w:after="40" w:line="240" w:lineRule="auto"/>
        <w:ind w:left="312" w:hanging="312"/>
        <w:jc w:val="left"/>
      </w:pPr>
      <w:r>
        <w:rPr>
          <w:rFonts w:ascii="Times New Roman" w:hAnsi="Times New Roman" w:eastAsia="Times New Roman"/>
          <w:b w:val="0"/>
          <w:i w:val="0"/>
          <w:sz w:val="24"/>
        </w:rPr>
        <w:t>OECD. (2020). Model Rules for Reporting by Platform Operators with respect to Sellers in the Sharing and Gig Economy. OECD Publishing.</w:t>
      </w:r>
    </w:p>
    <w:p>
      <w:pPr>
        <w:spacing w:after="40" w:line="240" w:lineRule="auto"/>
        <w:ind w:left="312" w:hanging="312"/>
        <w:jc w:val="left"/>
      </w:pPr>
      <w:r>
        <w:rPr>
          <w:rFonts w:ascii="Times New Roman" w:hAnsi="Times New Roman" w:eastAsia="Times New Roman"/>
          <w:b w:val="0"/>
          <w:i w:val="0"/>
          <w:sz w:val="24"/>
        </w:rPr>
        <w:t>Parker, G. G., &amp; Van Alstyne, M. W. (2005). Two-sided network effects: A theory of information product design. Management Science, 51(10), 1494-1504.</w:t>
      </w:r>
    </w:p>
    <w:p>
      <w:pPr>
        <w:spacing w:after="40" w:line="240" w:lineRule="auto"/>
        <w:ind w:left="312" w:hanging="312"/>
        <w:jc w:val="left"/>
      </w:pPr>
      <w:r>
        <w:rPr>
          <w:rFonts w:ascii="Times New Roman" w:hAnsi="Times New Roman" w:eastAsia="Times New Roman"/>
          <w:b w:val="0"/>
          <w:i w:val="0"/>
          <w:sz w:val="24"/>
        </w:rPr>
        <w:t>Pomeranz, D. (2015). No taxation without information: Deterrence and self-enforcement in the value added tax. American Economic Review, 105(8), 2539-2569.</w:t>
      </w:r>
    </w:p>
    <w:p>
      <w:pPr>
        <w:spacing w:after="40" w:line="240" w:lineRule="auto"/>
        <w:ind w:left="312" w:hanging="312"/>
        <w:jc w:val="left"/>
      </w:pPr>
      <w:r>
        <w:rPr>
          <w:rFonts w:ascii="Times New Roman" w:hAnsi="Times New Roman" w:eastAsia="Times New Roman"/>
          <w:b w:val="0"/>
          <w:i w:val="0"/>
          <w:sz w:val="24"/>
        </w:rPr>
        <w:t>Rochet, J.-C., &amp; Tirole, J. (2003). Platform competition in two-sided markets. Journal of the European Economic Association, 1(4), 990-1029.</w:t>
      </w:r>
    </w:p>
    <w:p>
      <w:pPr>
        <w:spacing w:after="40" w:line="240" w:lineRule="auto"/>
        <w:ind w:left="312" w:hanging="312"/>
        <w:jc w:val="left"/>
      </w:pPr>
      <w:r>
        <w:rPr>
          <w:rFonts w:ascii="Times New Roman" w:hAnsi="Times New Roman" w:eastAsia="Times New Roman"/>
          <w:b w:val="0"/>
          <w:i w:val="0"/>
          <w:sz w:val="24"/>
        </w:rPr>
        <w:t>Slemrod, J. (2019). Tax compliance and enforcement. Journal of Economic Literature, 57(4), 904-954.</w:t>
      </w:r>
    </w:p>
    <w:p>
      <w:pPr>
        <w:spacing w:after="40" w:line="240" w:lineRule="auto"/>
        <w:ind w:left="312" w:hanging="312"/>
        <w:jc w:val="left"/>
      </w:pPr>
      <w:r>
        <w:rPr>
          <w:rFonts w:ascii="Times New Roman" w:hAnsi="Times New Roman" w:eastAsia="Times New Roman"/>
          <w:b w:val="0"/>
          <w:i w:val="0"/>
          <w:sz w:val="24"/>
        </w:rPr>
        <w:t>Ulyssea, G. (2018). Firms, informality, and development: Theory and evidence from Brazil. American Economic Review, 108(8), 2015-2047.</w:t>
      </w:r>
    </w:p>
    <w:p>
      <w:pPr>
        <w:pStyle w:val="Heading1"/>
        <w:keepNext/>
        <w:pageBreakBefore/>
      </w:pPr>
      <w:r>
        <w:rPr>
          <w:rFonts w:ascii="Times New Roman" w:hAnsi="Times New Roman" w:eastAsia="Times New Roman"/>
          <w:b/>
          <w:sz w:val="24"/>
        </w:rPr>
        <w:t>Primary and Institutional Sources</w:t>
      </w:r>
    </w:p>
    <w:p>
      <w:pPr>
        <w:spacing w:after="80"/>
        <w:jc w:val="both"/>
      </w:pPr>
      <w:r>
        <w:rPr>
          <w:rFonts w:ascii="Times New Roman" w:hAnsi="Times New Roman" w:eastAsia="Times New Roman"/>
          <w:sz w:val="24"/>
        </w:rPr>
        <w:t>Data statement. Company filings, annual reports, prospectuses, and earnings materials provide the core platform data. BPS, Bank Indonesia, Ministry of Finance, and DJP publications provide the business, payment, and policy evidence. The working data keep source definitions, dates, and scope notes so every transaction-value and revenue measure can be checked against the original disclosure.</w:t>
      </w:r>
    </w:p>
    <w:p>
      <w:pPr>
        <w:spacing w:after="40" w:line="240" w:lineRule="auto"/>
        <w:ind w:left="312" w:hanging="312"/>
        <w:jc w:val="left"/>
      </w:pPr>
      <w:r>
        <w:rPr>
          <w:rFonts w:ascii="Times New Roman" w:hAnsi="Times New Roman" w:eastAsia="Times New Roman"/>
          <w:b w:val="0"/>
          <w:i w:val="0"/>
          <w:sz w:val="24"/>
        </w:rPr>
        <w:t>BPS-Statistics Indonesia. E-Commerce Statistics 2023 and E-Commerce Statistics 2024; published marketplace-use analysis based on the 2024 E-Commerce Survey.</w:t>
      </w:r>
    </w:p>
    <w:p>
      <w:pPr>
        <w:spacing w:after="40" w:line="240" w:lineRule="auto"/>
        <w:ind w:left="312" w:hanging="312"/>
        <w:jc w:val="left"/>
      </w:pPr>
      <w:r>
        <w:rPr>
          <w:rFonts w:ascii="Times New Roman" w:hAnsi="Times New Roman" w:eastAsia="Times New Roman"/>
          <w:b w:val="0"/>
          <w:i w:val="0"/>
          <w:sz w:val="24"/>
        </w:rPr>
        <w:t>Bank Indonesia. Payment System Statistics (SPIP); Monetary Policy Report Q4 2023; Bank Indonesia 2024 institutional report; Indonesia Economy Report 2025, Chapter 3.</w:t>
      </w:r>
    </w:p>
    <w:p>
      <w:pPr>
        <w:spacing w:after="40" w:line="240" w:lineRule="auto"/>
        <w:ind w:left="312" w:hanging="312"/>
        <w:jc w:val="left"/>
      </w:pPr>
      <w:r>
        <w:rPr>
          <w:rFonts w:ascii="Times New Roman" w:hAnsi="Times New Roman" w:eastAsia="Times New Roman"/>
          <w:b w:val="0"/>
          <w:i w:val="0"/>
          <w:sz w:val="24"/>
        </w:rPr>
        <w:t>Ministry of Finance, Republic of Indonesia. PMK 37/2025.</w:t>
      </w:r>
    </w:p>
    <w:p>
      <w:pPr>
        <w:spacing w:after="40" w:line="240" w:lineRule="auto"/>
        <w:ind w:left="312" w:hanging="312"/>
        <w:jc w:val="left"/>
      </w:pPr>
      <w:r>
        <w:rPr>
          <w:rFonts w:ascii="Times New Roman" w:hAnsi="Times New Roman" w:eastAsia="Times New Roman"/>
          <w:b w:val="0"/>
          <w:i w:val="0"/>
          <w:sz w:val="24"/>
        </w:rPr>
        <w:t>Directorate General of Taxes, Republic of Indonesia. Marketplace guidance, designated-marketplace announcement (1 July 2026), and postponement announcement (5 August 2026).</w:t>
      </w:r>
    </w:p>
    <w:p>
      <w:pPr>
        <w:spacing w:after="40" w:line="240" w:lineRule="auto"/>
        <w:ind w:left="312" w:hanging="312"/>
        <w:jc w:val="left"/>
      </w:pPr>
      <w:r>
        <w:rPr>
          <w:rFonts w:ascii="Times New Roman" w:hAnsi="Times New Roman" w:eastAsia="Times New Roman"/>
          <w:b w:val="0"/>
          <w:i w:val="0"/>
          <w:sz w:val="24"/>
        </w:rPr>
        <w:t>PT GoTo Gojek Tokopedia Tbk. Annual reports and financial statements, FY2021-FY2023.</w:t>
      </w:r>
    </w:p>
    <w:p>
      <w:pPr>
        <w:spacing w:after="40" w:line="240" w:lineRule="auto"/>
        <w:ind w:left="312" w:hanging="312"/>
        <w:jc w:val="left"/>
      </w:pPr>
      <w:r>
        <w:rPr>
          <w:rFonts w:ascii="Times New Roman" w:hAnsi="Times New Roman" w:eastAsia="Times New Roman"/>
          <w:b w:val="0"/>
          <w:i w:val="0"/>
          <w:sz w:val="24"/>
        </w:rPr>
        <w:t>PT Global Digital Niaga Tbk. Prospectus, annual reports, and results materials, FY2019-FY2025.</w:t>
      </w:r>
    </w:p>
    <w:p>
      <w:pPr>
        <w:spacing w:after="40" w:line="240" w:lineRule="auto"/>
        <w:ind w:left="312" w:hanging="312"/>
        <w:jc w:val="left"/>
      </w:pPr>
      <w:r>
        <w:rPr>
          <w:rFonts w:ascii="Times New Roman" w:hAnsi="Times New Roman" w:eastAsia="Times New Roman"/>
          <w:b w:val="0"/>
          <w:i w:val="0"/>
          <w:sz w:val="24"/>
        </w:rPr>
        <w:t>PT Bukalapak.com Tbk. Annual reports, FY2021-FY2023.</w:t>
      </w:r>
    </w:p>
    <w:p>
      <w:pPr>
        <w:spacing w:after="40" w:line="240" w:lineRule="auto"/>
        <w:ind w:left="312" w:hanging="312"/>
        <w:jc w:val="left"/>
      </w:pPr>
      <w:r>
        <w:rPr>
          <w:rFonts w:ascii="Times New Roman" w:hAnsi="Times New Roman" w:eastAsia="Times New Roman"/>
          <w:b w:val="0"/>
          <w:i w:val="0"/>
          <w:sz w:val="24"/>
        </w:rPr>
        <w:t>Grab Holdings Limited and Sea Limited. Annual reports, Forms 20-F, and results releases used for conditional/historical evidence.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304"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t xml:space="preserve">Yuan Ze University | Master of Science in Finance |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cs="Times New Roman"/>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D4D4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D4D4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D4D4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D4D4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D4D4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D4D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1F1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1F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9595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D4D4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D4D4D"/>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D4D4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D4D4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D4D4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D4D4D"/>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